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 w:line="240" w:lineRule="auto"/>
        <w:jc w:val="center"/>
      </w:pPr>
      <w:r>
        <w:rPr>
          <w:rFonts w:ascii="Calibri" w:hAnsi="Calibri" w:eastAsia="GB18030 Bitmap"/>
          <w:b/>
          <w:color w:val="000000"/>
          <w:sz w:val="42"/>
        </w:rPr>
        <w:t>知识规则样例抽取结果问题检查说明</w:t>
      </w:r>
    </w:p>
    <w:p>
      <w:pPr>
        <w:spacing w:before="0" w:after="360" w:line="264" w:lineRule="auto"/>
        <w:jc w:val="center"/>
      </w:pPr>
      <w:r>
        <w:rPr>
          <w:rFonts w:ascii="Calibri" w:hAnsi="Calibri" w:eastAsia="GB18030 Bitmap"/>
          <w:color w:val="555555"/>
          <w:sz w:val="24"/>
        </w:rPr>
        <w:t>第一版结果复核记录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/>
                <w:color w:val="000000"/>
                <w:sz w:val="19"/>
              </w:rPr>
              <w:t>检查对象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9"/>
              </w:rPr>
              <w:t>/Users/machong/shihua-project/extract_result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/>
                <w:color w:val="000000"/>
                <w:sz w:val="19"/>
              </w:rPr>
              <w:t>检查日期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9"/>
              </w:rPr>
              <w:t>2026年9月4日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/>
                <w:color w:val="000000"/>
                <w:sz w:val="19"/>
              </w:rPr>
              <w:t>结果规模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9"/>
              </w:rPr>
              <w:t>8个大类、90个小类文件、33条样例规则、63个pending小类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/>
                <w:color w:val="000000"/>
                <w:sz w:val="19"/>
              </w:rPr>
              <w:t>文档用途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9"/>
              </w:rPr>
              <w:t>记录第一版抽取结果中的结构、语义、来源和算法接入问题</w:t>
            </w:r>
          </w:p>
        </w:tc>
      </w:tr>
    </w:tbl>
    <w:p>
      <w:pPr>
        <w:pStyle w:val="Heading1"/>
        <w:spacing w:before="280" w:after="120" w:line="264" w:lineRule="auto"/>
      </w:pPr>
      <w:r>
        <w:rPr>
          <w:rFonts w:ascii="Calibri" w:hAnsi="Calibri" w:eastAsia="GB18030 Bitmap"/>
          <w:b/>
          <w:color w:val="000000"/>
          <w:sz w:val="30"/>
        </w:rPr>
        <w:t>一、总体结论</w:t>
      </w:r>
    </w:p>
    <w:p>
      <w:pPr>
        <w:spacing w:before="0" w:after="120" w:line="264" w:lineRule="auto"/>
      </w:pPr>
      <w:r>
        <w:rPr>
          <w:rFonts w:ascii="Calibri" w:hAnsi="Calibri" w:eastAsia="GB18030 Bitmap"/>
          <w:b w:val="0"/>
          <w:color w:val="000000"/>
          <w:sz w:val="21"/>
        </w:rPr>
        <w:t>当前结果已经完成 JSON 文件的基本组织和语法校验，但仍属于抽取草稿，不宜直接导入数据库或接入调度算法。主要原因是：部分记录的分类元数据与文件层级不一致；若干来源行号不能准确定位原始数据；事实数据、基础参数和真正的规则尚未完全区分；部分推导值和算法 mapping 不符合格式要求。</w:t>
      </w:r>
    </w:p>
    <w:p>
      <w:pPr>
        <w:spacing w:before="0" w:after="120" w:line="264" w:lineRule="auto"/>
      </w:pPr>
      <w:r>
        <w:rPr>
          <w:rFonts w:ascii="Calibri" w:hAnsi="Calibri" w:eastAsia="GB18030 Bitmap"/>
          <w:b w:val="0"/>
          <w:color w:val="000000"/>
          <w:sz w:val="21"/>
        </w:rPr>
        <w:t>本次复核共确认 6 项高优先级问题和 5 项中优先级问题。另有 63 个小类仍为 pending，这属于第一版覆盖不完整，不应直接视为抽取错误，但需要在后续补录计划中明确来源和负责人。</w:t>
      </w:r>
    </w:p>
    <w:p>
      <w:pPr>
        <w:pStyle w:val="Heading1"/>
        <w:spacing w:before="280" w:after="120" w:line="264" w:lineRule="auto"/>
      </w:pPr>
      <w:r>
        <w:rPr>
          <w:rFonts w:ascii="Calibri" w:hAnsi="Calibri" w:eastAsia="GB18030 Bitmap"/>
          <w:b/>
          <w:color w:val="000000"/>
          <w:sz w:val="30"/>
        </w:rPr>
        <w:t>二、问题总览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20"/>
        <w:gridCol w:w="600"/>
        <w:gridCol w:w="2150"/>
        <w:gridCol w:w="3450"/>
        <w:gridCol w:w="2440"/>
      </w:tblGrid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/>
                <w:color w:val="000000"/>
                <w:sz w:val="18"/>
              </w:rPr>
              <w:t>典型案例位置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/>
                <w:color w:val="000000"/>
                <w:sz w:val="18"/>
              </w:rPr>
              <w:t>主要影响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P0-01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文件层级与规则内部 category/subcategory 不一致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罐区类/原油罐.json:2-3 与 :11-12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后续按分类查询、入库和统计会出现错类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P0-02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文件 status 与 review_status 不一致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停工调度规则/复工后生产偏差补偿.json:5、:33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会把待确认内容误统计为可用结果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P0-03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多个 source 行号与真实数据行不对应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装置类/重整.json:56-60；催化装置协同规则.json:48-51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无法准确回溯和复核样例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P0-04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事实/参数被当作规则输出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原油类/原油罐物料平衡.json:9-45；产品类两文件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算法可能把历史状态或基础属性当成约束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P0-05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mapping 存在不符合目标算法的类型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all_rule_samples.json 中多条 MILP/state_feature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算法适配器无法按约定解释字段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P0-06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常压装置下限计算值存在明显错误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装置类/一次装置常减压.json:24-26、:39-45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会产生错误的装置运行边界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P1-01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缺少 quality_standard 类型样例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all_rule_samples.json 的全部 rules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无法验证五种算法类型是否完整覆盖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P1-02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停工规则的来源定位过于粗略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停工调度规则目录中多个 source paragraph=0 或仅指向目录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复核人员需要重新全文检索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P1-03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小类名称与文件名存在规范化差异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调度经验规则/极端天气、外部中断.json:3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索引定位和程序匹配可能失败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P1-04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罐区十类小类有部分是推定建立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index.json:15-19；罐区类目录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分类依据不足，需业务确认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P1-05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pending 文件缺少具体待抽取源文件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调合类和调度经验类 pending 文件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后续补录时缺少明确工作入口</w:t>
            </w:r>
          </w:p>
        </w:tc>
      </w:tr>
    </w:tbl>
    <w:p>
      <w:pPr>
        <w:pStyle w:val="Heading1"/>
        <w:spacing w:before="280" w:after="120" w:line="264" w:lineRule="auto"/>
      </w:pPr>
      <w:r>
        <w:rPr>
          <w:rFonts w:ascii="Calibri" w:hAnsi="Calibri" w:eastAsia="GB18030 Bitmap"/>
          <w:b/>
          <w:color w:val="000000"/>
          <w:sz w:val="30"/>
        </w:rPr>
        <w:t>三、问题详情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3.1 分类元数据与文件层级不一致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extract_result/罐区类/原油罐.json:2-3、:11-12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文件顶部声明 category=罐区类、subcategory=原油罐，但内部两条规则仍声明 category=原油类、subcategory=原油罐上下限约束。该文件实际是复制原油类样例后修改了 rule_id，没有同步修改内部分类字段。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按目录统计与按规则字段统计会得到不同结果，后续分类筛选和数据库入库会出现错类。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统一以文件所在大类/小类目录为准，或者保留跨分类引用但增加 source_rule_id，不要复制出第二套同义规则。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3.2 结果状态前后矛盾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extract_result/停工调度规则/复工后生产偏差补偿.json:5、:33；extract_result/index.json:17-19、:482-495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文件 status=ready，但规则 review_status=待人工确认，且规则本身说明尚未找到统一量化阈值。index.json 又将该小类计入 ready_subcategory_count。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管理人员可能误以为该条规则已经可以入库或用于算法。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将该文件改为 partial 或 pending；建议把‘已从资料抽取’改名为 draft，只有通过人工确认和字段校验后才使用 ready。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3.3 来源行号和内容不对应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extract_result/装置类/重整.json:56-60；装置类/汽柴油加氢.json:56-60；装置类/芳烃.json:56-60；装置类/气分.json:56-60；装置类/聚烯烃.json:56-60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二次加工装置基础数据中，重整、柴油加氢、苯抽提、气分、聚丙烯实际分别位于第15、16、17、18、19行，但结果中分别写成第5、6、7、8、9行。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来源位置指向了其他装置或错误数据，无法通过行号复核规则。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重新生成 source.row，并在校验程序中读取该行的装置名称，与规则 scope.unit 做自动比对。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3.4 Assay 和催化侧线的来源定位错误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extract_result/原油类/原油混合侧线产品收率.json:41-44；extract_result/流程特征和协同规则/催化装置协同规则.json:48-51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Assay 表第5行是 WN1 初常顶油，NK1 石脑油实际为第6行；催化侧线性质表第3行只是标记行，200万吨催化装置的侧线数据从第7行开始。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规则内容与 source 行号不一致，可能把错误的物料收率或空白行当作依据。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将 NK1 样例定位到第6行；催化侧线应记录第7至12行，或拆成多条关系/属性记录。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3.5 事实数据被当作规则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extract_result/原油类/原油罐物料平衡.json:9-45；extract_result/原油类/原油混合性质计算.json；extract_result/产品类/产品每日产量上下限.json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原油罐物料平衡文件当前只记录 6101 号罐某日库存；原油混合性质文件记录原油密度和硫含量；产品类文件记录历史产量。这些内容没有条件、结论或计算关系。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后续入库时会把库存快照、原油属性、历史产量误当作约束规则。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增加 record_type，至少区分 fact、parameter、rule；事实类数据使用 subject/predicate/object，只有存在约束或推理关系时才标记为 rule。原油罐物料平衡应补充库存平衡公式。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3.6 算法 mapping 不符合格式要求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extract_result/all_rule_samples.json 中 R-CRUDE-TANK-BALANCE-001、R-CRUDE-BLEND-PROPERTY-001、R-CRUDE-BLEND-YIELD-001、R-UNIT-MTBE-001、R-PRODUCT-OUTPUT-001 等记录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格式要求将 state_feature 定义为 RL 映射类型，但当前多条记录写成 target=MILP、type=state_feature。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MILP 接入程序无法按约定识别这些映射，或者将其错误地当作 MILP 约束。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MILP 只使用 hard_constraint、soft_constraint、variable_bound 等类型；state_feature 统一放在 RL 映射，普通基础数据则不设置算法 mapping。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3.7 常压装置下限计算值错误且推导过程不透明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extract_result/装置类/一次装置常减压.json:24-26、:39-45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源数据额定负荷为8580吨/天、最小负荷系数为0.85。若按 object.calculation 写明的 rated_load*min_max_factor 计算，下限应为7293吨/天，而结果写成6208.5吨/天。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错误边界会直接影响调度可行域。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重新核对计算口径；同时增加 value_origin=source 或 derived、calculation_expression、input_values，禁止把推导值标记为直接抽取值。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3.8 现有样例没有覆盖 quality_standard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extract_result/all_rule_samples.json 的 rules 数组；extract_result/index.json:17-19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当前 33 条样例中未出现 type=quality_standard。产品性质、柴油硫含量、汽油辛烷值和调合质量指标尚未形成质量规则样例。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无法验证五种算法规则类型的字段和映射是否完整。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从 Assay、点位性质和产品质量/调合资料中补充至少一组质量上下限规则，并确认单位、比较符号和产品牌号。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3.9 停工规则来源定位不充分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extract_result/停工调度规则/负荷变化幅度约束.json:40-49；停工前进料库存清空.json:40-49；复工后生产偏差补偿.json:30-34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停工 DOCX 样例使用 paragraph=0，或只指向一个方案目录，没有定位到实际段落。比如聚丙烯 470kg/m3、450kg/m3、400kg/m3 的内容实际位于源文档具体段落，MTBE 的上下游协调和缓慢降温降压也有明确段落。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领导或业务人员无法快速复核规则原文，规则可信度不足。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为 DOCX 增加 paragraph、heading 或文本摘录定位；若文档页码稳定，再补充 page。目录路径不能作为唯一 source.document。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3.10 文件名与小类名称不一致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extract_result/调度经验规则/极端天气、外部中断.json:3；extract_result/index.json:633-637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文件名使用中文顿号‘、’，JSON 内部 subcategory 使用斜杠‘/’。该差异来自文件名清洗，但索引和文件内容没有同步。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按 subcategory 拼接文件路径时可能找不到文件。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统一采用同一规范名称；对于原始分类中包含斜杠的名称，增加 filename 字段，不要让文件名替代分类标识。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3.11 罐区小类存在推定成分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extract_result/index.json:15-19；extract_result/罐区类目录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分类文件只明确提出‘10类罐子’，并举例汽油、柴油、煤油、芳烃、加氢料、轻烃、渣油、蜡油等，当前结果额外建立了原油罐、中间产品罐等小类以凑足十类。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如果业务分类并非如此，后续规则统计和知识库导航会偏离正式分类。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在业务确认前将这些小类标记 taxonomy_pending，并在分类文档中补充十类罐的正式名称。</w:t>
      </w:r>
    </w:p>
    <w:p>
      <w:pPr>
        <w:pStyle w:val="Heading2"/>
        <w:spacing w:before="180" w:after="80" w:line="264" w:lineRule="auto"/>
      </w:pPr>
      <w:r>
        <w:rPr>
          <w:rFonts w:ascii="Calibri" w:hAnsi="Calibri" w:eastAsia="GB18030 Bitmap"/>
          <w:b/>
          <w:color w:val="000000"/>
          <w:sz w:val="24"/>
        </w:rPr>
        <w:t>3.12 pending 小类没有提供具体补录入口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案例位置：</w:t>
      </w:r>
      <w:r>
        <w:rPr>
          <w:rFonts w:ascii="Calibri" w:hAnsi="Calibri" w:eastAsia="GB18030 Bitmap"/>
          <w:color w:val="000000"/>
          <w:sz w:val="21"/>
        </w:rPr>
        <w:t>extract_result/调合类/*.json；extract_result/调度经验规则/*.json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检查发现：</w:t>
      </w:r>
      <w:r>
        <w:rPr>
          <w:rFonts w:ascii="Calibri" w:hAnsi="Calibri" w:eastAsia="GB18030 Bitmap"/>
          <w:color w:val="000000"/>
          <w:sz w:val="21"/>
        </w:rPr>
        <w:t>多数 pending 文件的 source_candidates 只指向 docs/规则数26-V3.docx，没有列明下一步应抽取的实际表格、台账或操作规程。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影响：</w:t>
      </w:r>
      <w:r>
        <w:rPr>
          <w:rFonts w:ascii="Calibri" w:hAnsi="Calibri" w:eastAsia="GB18030 Bitmap"/>
          <w:color w:val="000000"/>
          <w:sz w:val="21"/>
        </w:rPr>
        <w:t>后续补录需要重新盘点资料，降低工作效率。</w:t>
      </w:r>
    </w:p>
    <w:p>
      <w:pPr>
        <w:spacing w:before="0" w:after="100" w:line="264" w:lineRule="auto"/>
      </w:pPr>
      <w:r>
        <w:rPr>
          <w:rFonts w:ascii="Calibri" w:hAnsi="Calibri" w:eastAsia="GB18030 Bitmap"/>
          <w:b/>
          <w:color w:val="000000"/>
          <w:sz w:val="21"/>
        </w:rPr>
        <w:t>建议：</w:t>
      </w:r>
      <w:r>
        <w:rPr>
          <w:rFonts w:ascii="Calibri" w:hAnsi="Calibri" w:eastAsia="GB18030 Bitmap"/>
          <w:color w:val="000000"/>
          <w:sz w:val="21"/>
        </w:rPr>
        <w:t>为每个 pending 小类增加 source_candidates、candidate_sheets 或 candidate_documents，并标记待抽取字段和责任人。</w:t>
      </w:r>
    </w:p>
    <w:p>
      <w:pPr>
        <w:pStyle w:val="Heading1"/>
        <w:spacing w:before="280" w:after="120" w:line="264" w:lineRule="auto"/>
      </w:pPr>
      <w:r>
        <w:rPr>
          <w:rFonts w:ascii="Calibri" w:hAnsi="Calibri" w:eastAsia="GB18030 Bitmap"/>
          <w:b/>
          <w:color w:val="000000"/>
          <w:sz w:val="30"/>
        </w:rPr>
        <w:t>四、建议修订顺序</w:t>
      </w:r>
    </w:p>
    <w:tbl>
      <w:tblPr>
        <w:tblW w:type="dxa" w:w="891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20"/>
        <w:gridCol w:w="3150"/>
        <w:gridCol w:w="5040"/>
      </w:tblGrid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/>
                <w:color w:val="000000"/>
                <w:sz w:val="18"/>
              </w:rPr>
              <w:t>顺序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/>
                <w:color w:val="000000"/>
                <w:sz w:val="18"/>
              </w:rPr>
              <w:t>修订内容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/>
                <w:color w:val="000000"/>
                <w:sz w:val="18"/>
              </w:rPr>
              <w:t>完成标准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修正分类、文件名和状态字段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目录、文件名、category、subcategory、status、review_status 可相互校验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修正 source 定位和错误数值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每条已抽取样例可回到正确文件、工作表、行/段落；推导值有计算表达式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区分事实、参数和规则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数据库入库对象不再把库存快照或历史记录当作规则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修正算法 mapping 并补充质量规则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五种 type 均有合法样例，RL/MILP mapping 可通过字段校验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继续补充 pending 小类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GB18030 Bitmap"/>
                <w:b w:val="0"/>
                <w:color w:val="000000"/>
                <w:sz w:val="18"/>
              </w:rPr>
              <w:t>每个小类明确来源、待补字段和审核状态</w:t>
            </w:r>
          </w:p>
        </w:tc>
      </w:tr>
    </w:tbl>
    <w:p>
      <w:pPr>
        <w:pStyle w:val="Heading1"/>
        <w:spacing w:before="280" w:after="120" w:line="264" w:lineRule="auto"/>
      </w:pPr>
      <w:r>
        <w:rPr>
          <w:rFonts w:ascii="Calibri" w:hAnsi="Calibri" w:eastAsia="GB18030 Bitmap"/>
          <w:b/>
          <w:color w:val="000000"/>
          <w:sz w:val="30"/>
        </w:rPr>
        <w:t>五、复核说明</w:t>
      </w:r>
    </w:p>
    <w:p>
      <w:pPr>
        <w:spacing w:before="0" w:after="120" w:line="264" w:lineRule="auto"/>
      </w:pPr>
      <w:r>
        <w:rPr>
          <w:rFonts w:ascii="Calibri" w:hAnsi="Calibri" w:eastAsia="GB18030 Bitmap"/>
          <w:b w:val="0"/>
          <w:color w:val="000000"/>
          <w:sz w:val="21"/>
        </w:rPr>
        <w:t>本说明只记录问题，不修改 extract_result 目录中的 JSON 文件。检查依据包括：规则分类文档、知识规则接入调度算法的数据格式要求、项目组提供的规则库数据格式案例，以及当前 source-materials/20260727调研资料中的表格、点位数据和停工方案。</w:t>
      </w:r>
    </w:p>
    <w:p>
      <w:pPr>
        <w:spacing w:before="0" w:after="120" w:line="264" w:lineRule="auto"/>
      </w:pPr>
      <w:r>
        <w:rPr>
          <w:rFonts w:ascii="Calibri" w:hAnsi="Calibri" w:eastAsia="GB18030 Bitmap"/>
          <w:b w:val="0"/>
          <w:color w:val="000000"/>
          <w:sz w:val="21"/>
        </w:rPr>
        <w:t>JSON 文件本身均能通过语法解析，且当前规则编号没有重复；本次发现的问题主要属于语义、分类、来源追溯和算法接入层面。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GB18030 Bitmap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GB18030 Bitmap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Calibri" w:hAnsi="Calibri" w:eastAsia="GB18030 Bitmap"/>
        <w:color w:val="666666"/>
        <w:sz w:val="18"/>
      </w:rPr>
      <w:t>石化知识规则样例抽取结果 | 问题检查说明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GB18030 Bitma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GB18030 Bitmap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GB18030 Bitmap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