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D3045">
      <w:pPr>
        <w:spacing w:before="2400" w:after="24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44"/>
        </w:rPr>
        <w:t>石化多元知识规则库构建与提取核验说明</w:t>
      </w:r>
    </w:p>
    <w:p w14:paraId="558BAF82">
      <w:pPr>
        <w:spacing w:before="0" w:after="56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505050"/>
          <w:sz w:val="26"/>
        </w:rPr>
        <w:t>多源资料规则抽取、结构化表达与核验成果</w:t>
      </w:r>
    </w:p>
    <w:p w14:paraId="40444774">
      <w:pPr>
        <w:spacing w:before="0" w:after="160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24"/>
        </w:rPr>
        <w:t>说明文档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2434BA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2659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项目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F3B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内容</w:t>
            </w:r>
          </w:p>
        </w:tc>
      </w:tr>
      <w:tr w14:paraId="6FEA9EE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033A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项目内容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7A41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石化知识规则库构建与规则提取核验</w:t>
            </w:r>
          </w:p>
        </w:tc>
      </w:tr>
      <w:tr w14:paraId="7DE544F1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923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成果范围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99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操作规程、质量标准、流程特征、工艺规范、调度经验五类规则</w:t>
            </w:r>
          </w:p>
        </w:tc>
      </w:tr>
      <w:tr w14:paraId="76AE2680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18E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规则规模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F256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五类规则共 1050 条</w:t>
            </w:r>
          </w:p>
        </w:tc>
      </w:tr>
      <w:tr w14:paraId="4E3228D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A44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文档日期</w:t>
            </w:r>
          </w:p>
        </w:tc>
        <w:tc>
          <w:tcPr>
            <w:tcW w:w="67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6DFA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2026 年 7 月</w:t>
            </w:r>
          </w:p>
        </w:tc>
      </w:tr>
    </w:tbl>
    <w:p w14:paraId="1593405E">
      <w:pPr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</w:rPr>
        <w:br w:type="page"/>
      </w:r>
    </w:p>
    <w:p w14:paraId="1EDC55A9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一、建设背景与目标</w:t>
      </w:r>
    </w:p>
    <w:p w14:paraId="0C7CDAC8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石化生产调度涉及装置操作、产品质量、流程协同、工艺约束和经验策略等多类知识。这些知识分散在操作规程、质量标准、工艺资料、调度管理文件以及历史经验材料中，形式多样、粒度不一，直接用于检索、核验和调度复用存在一定难度。</w:t>
      </w:r>
    </w:p>
    <w:p w14:paraId="632B61FE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本项目围绕多源资料中的规则知识，开展规则抽取、结构化表达和核验整理工作，目标是形成一套可管理、可追溯、可复用的石化多元知识规则库，为后续调度优化、方案生成、仿真验证和智能化辅助决策提供基础。</w:t>
      </w:r>
    </w:p>
    <w:p w14:paraId="17B906EF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将分散资料中的规则性知识统一整理为标准化规则条目。</w:t>
      </w:r>
    </w:p>
    <w:p w14:paraId="68DD4258">
      <w:pPr>
        <w:pStyle w:val="14"/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保留规则来源文件、页码和依据，支撑后续审查与追溯。</w:t>
      </w:r>
    </w:p>
    <w:p w14:paraId="02DC6953">
      <w:pPr>
        <w:pStyle w:val="14"/>
        <w:spacing w:after="80" w:line="269" w:lineRule="auto"/>
        <w:rPr>
          <w:rFonts w:hint="default" w:ascii="Times New Roman Regular" w:hAnsi="Times New Roman Regular" w:cs="Times New Roman Regular"/>
          <w:lang w:val="en-US" w:eastAsia="en-US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形成规则表和结构化表达，为持续扩展和应用接入提供基础。</w:t>
      </w:r>
    </w:p>
    <w:p w14:paraId="3E9F37D1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二、整体流程框架</w:t>
      </w:r>
    </w:p>
    <w:p w14:paraId="6866CE41">
      <w:pPr>
        <w:spacing w:before="0" w:after="120" w:line="264" w:lineRule="auto"/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规则库构建流程包括多源资料输入、文档解析与定位、规则抽取、结构化表达、规则核验、结果沉淀与复用等环节。整体流程见图 1。</w:t>
      </w:r>
    </w:p>
    <w:p w14:paraId="58CA40D3">
      <w:pPr>
        <w:spacing w:before="0" w:after="120" w:line="264" w:lineRule="auto"/>
        <w:rPr>
          <w:rFonts w:hint="default" w:ascii="Times New Roman Regular" w:hAnsi="Times New Roman Regular" w:eastAsia="黑体" w:cs="Times New Roman Regular"/>
          <w:b w:val="0"/>
          <w:color w:val="1F1F1F"/>
          <w:sz w:val="22"/>
          <w:lang w:eastAsia="zh-CN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  <w:lang w:eastAsia="zh-CN"/>
        </w:rPr>
        <w:drawing>
          <wp:inline distT="0" distB="0" distL="114300" distR="114300">
            <wp:extent cx="5936615" cy="3796030"/>
            <wp:effectExtent l="0" t="0" r="6985" b="13970"/>
            <wp:docPr id="1" name="图片 1" descr="规则提取路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规则提取路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8052">
      <w:pPr>
        <w:spacing w:before="0" w:after="200" w:line="264" w:lineRule="auto"/>
        <w:jc w:val="center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505050"/>
          <w:sz w:val="19"/>
        </w:rPr>
        <w:t>图 1 规则库构建整体流程框架</w:t>
      </w:r>
    </w:p>
    <w:p w14:paraId="56AA9AD5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流程说明：首先对多源资料进行解析和证据定位；随后识别规则内容并抽取关键字段；再通过来源回查和一致性核验提升规则可靠性；最终形成正式规则表、分类规则库和可复用成果。</w:t>
      </w:r>
    </w:p>
    <w:p w14:paraId="18418BF4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三、规则抽取与结构化方法</w:t>
      </w:r>
    </w:p>
    <w:p w14:paraId="54C96733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抽取环节以多源文档为输入，重点识别具有约束、判断、操作、控制、质量边界或调度经验含义的文本内容。抽取结果不仅保留自然语言规则，还同步提取规则编号、规则名称、规则类别、知识类型、子类型、适用范围、触发条件、参数范围、来源文件和来源页码等字段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C93E7A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9580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环节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C645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处理内容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9EF2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形成结果</w:t>
            </w:r>
          </w:p>
        </w:tc>
      </w:tr>
      <w:tr w14:paraId="6137F13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8CD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文档解析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0157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识别 PDF、Word、Excel 等资料中的正文、页码和章节信息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98BF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可定位的原文片段</w:t>
            </w:r>
          </w:p>
        </w:tc>
      </w:tr>
      <w:tr w14:paraId="30171CB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C80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规则识别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9DE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从原文中筛选具有规则意义的操作、质量、流程、工艺和经验要求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E37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规则候选条目</w:t>
            </w:r>
          </w:p>
        </w:tc>
      </w:tr>
      <w:tr w14:paraId="47C0627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4E77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字段抽取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CC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提取装置、参数、阈值、适用范围、触发条件和来源依据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850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结构化规则字段</w:t>
            </w:r>
          </w:p>
        </w:tc>
      </w:tr>
      <w:tr w14:paraId="4BCFA3F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8E6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结果沉淀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5E64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形成正式规则表，并保留可进一步转换和复用的结构化表达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51C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五类规则库成果</w:t>
            </w:r>
          </w:p>
        </w:tc>
      </w:tr>
    </w:tbl>
    <w:p w14:paraId="31206070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5846921C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四、规则核验机制</w:t>
      </w:r>
    </w:p>
    <w:p w14:paraId="56BADD36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规则核验的核心是保证规则内容能够回到原始资料中找到依据。核验过程围绕关键字段、规则正文和来源证据开展，对数值、文本和语义一致性进行检查；对于证据不足或存在歧义的条目，保留后续人工复核空间。</w:t>
      </w:r>
    </w:p>
    <w:p w14:paraId="3FF76DFC">
      <w:pPr>
        <w:pStyle w:val="14"/>
        <w:numPr>
          <w:numId w:val="7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来源可追溯：每条规则尽量保留来源文件、来源页码和原文依据。</w:t>
      </w:r>
    </w:p>
    <w:p w14:paraId="532B272C">
      <w:pPr>
        <w:pStyle w:val="14"/>
        <w:numPr>
          <w:numId w:val="7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内容可核验：围绕关键参数、阈值、操作要求和适用场景进行一致性检查。</w:t>
      </w:r>
    </w:p>
    <w:p w14:paraId="0CD0C446">
      <w:pPr>
        <w:pStyle w:val="14"/>
        <w:numPr>
          <w:numId w:val="7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结果可复用：通过统一字段整理，使规则能够用于后续检索、统计、扩展和调度应用。</w:t>
      </w:r>
    </w:p>
    <w:p w14:paraId="19425C69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五、知识规则库内容说明</w:t>
      </w:r>
    </w:p>
    <w:p w14:paraId="592A08F7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本次规则库成果按照知识来源和业务含义，整理为五大类规则。五类规则既覆盖生产操作和质量控制，也覆盖流程协同、工艺约束和调度经验，能够共同支撑石化生产调度场景下的知识沉淀与复用。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A2A3A65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9EDD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规则类别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3748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内容说明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4726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主要用途</w:t>
            </w:r>
          </w:p>
        </w:tc>
      </w:tr>
      <w:tr w14:paraId="623D8CB9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E88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BE6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来自装置操作规程、启停工步骤、异常处理和日常操作要求。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DD4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支撑操作约束识别、异常处置参考和操作流程校核。</w:t>
            </w:r>
          </w:p>
        </w:tc>
      </w:tr>
      <w:tr w14:paraId="370BBD7F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6F01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8119B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来自产品质量、半成品质量、指标边界和检测要求等内容。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973D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支撑质量边界控制、产品指标约束和质量合规检查。</w:t>
            </w:r>
          </w:p>
        </w:tc>
      </w:tr>
      <w:tr w14:paraId="06ADB9D7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AA56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11A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描述装置之间、物料流向、上下游协同和流程切换关系。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475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支撑流程关联识别、物料路径约束和协同调度分析。</w:t>
            </w:r>
          </w:p>
        </w:tc>
      </w:tr>
      <w:tr w14:paraId="4298301A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C62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0E38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反映工艺运行、参数控制、负荷调整、设备联动等规范性要求。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3D16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支撑工艺约束建模、生产调整校核和运行边界管理。</w:t>
            </w:r>
          </w:p>
        </w:tc>
      </w:tr>
      <w:tr w14:paraId="4D947B8F">
        <w:trPr>
          <w:jc w:val="center"/>
        </w:trPr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9E0D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BDE9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沉淀调度策略、平稳运行、安全边界和异常应对经验。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A927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支撑调度方案生成、经验复用和风险预判。</w:t>
            </w:r>
          </w:p>
        </w:tc>
      </w:tr>
    </w:tbl>
    <w:p w14:paraId="79526E96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7044E8C6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六、规则库成果统计</w:t>
      </w:r>
    </w:p>
    <w:p w14:paraId="288D764F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截至本次整理，五类知识规则共形成 1050 条。各类规则数量如下。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E3FCCA9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F9FA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规则类别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6B82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规则条数</w:t>
            </w:r>
          </w:p>
        </w:tc>
      </w:tr>
      <w:tr w14:paraId="67E0FB01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5A4B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63B31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257</w:t>
            </w:r>
          </w:p>
        </w:tc>
      </w:tr>
      <w:tr w14:paraId="10C5327E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852C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D56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158</w:t>
            </w:r>
          </w:p>
        </w:tc>
      </w:tr>
      <w:tr w14:paraId="00E70C8E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D600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B8D3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135</w:t>
            </w:r>
          </w:p>
        </w:tc>
      </w:tr>
      <w:tr w14:paraId="3C2088C8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5D2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CC75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275</w:t>
            </w:r>
          </w:p>
        </w:tc>
      </w:tr>
      <w:tr w14:paraId="09492B59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28D2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495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225</w:t>
            </w:r>
          </w:p>
        </w:tc>
      </w:tr>
      <w:tr w14:paraId="0B924D70">
        <w:trPr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7E6E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合计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4CDD">
            <w:pPr>
              <w:spacing w:after="0" w:line="259" w:lineRule="auto"/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1050</w:t>
            </w:r>
          </w:p>
        </w:tc>
      </w:tr>
    </w:tbl>
    <w:p w14:paraId="1C76CA03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75EC9B81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七、结果展示</w:t>
      </w:r>
    </w:p>
    <w:p w14:paraId="30081E07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正式提交表按照五大类分类工作表管理，并统一保留规则编号、规则名称、规则类别、知识类型、子类型、适用范围、触发条件、规则内容、参数范围、来源文件、来源页码、来源依据和备注等字段。下表展示各类规则的代表性条目。</w:t>
      </w:r>
    </w:p>
    <w:tbl>
      <w:tblPr>
        <w:tblStyle w:val="32"/>
        <w:tblW w:w="0" w:type="auto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F3715B9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84BE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类别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5A3F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规则编号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85C6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规则名称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ECB3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规则内容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5564">
            <w:pPr>
              <w:jc w:val="center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b/>
                <w:color w:val="1F1F1F"/>
                <w:sz w:val="20"/>
              </w:rPr>
              <w:t>来源</w:t>
            </w:r>
          </w:p>
        </w:tc>
      </w:tr>
      <w:tr w14:paraId="7A1C6126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F8E13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操作规程规则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7F72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SOP-001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606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DCS停电或死机处理规则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0B0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DCS停电或死机时，应利用UPS维持时间转入现场巡检、核对和应急操作，及时汇报处理。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226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永炼-210万吨常压蒸馏装置操作规程.pdf，页码：54</w:t>
            </w:r>
          </w:p>
        </w:tc>
      </w:tr>
      <w:tr w14:paraId="7BCBA644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1C44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质量标准规则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017D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QS-001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ED3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混合柴油半成品质量标准规则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018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混合柴油半成品应满足质量标准要求，重点指标包括95%点、铜片腐蚀、闭口闪点。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265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延炼-300万吨常压蒸馏装置操作规程.pdf，页码：14</w:t>
            </w:r>
          </w:p>
        </w:tc>
      </w:tr>
      <w:tr w14:paraId="2D8576C8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5FE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流程特征规则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FFF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FLOW-001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2F1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常压装置协同规则-FLOW-ATM-004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BF7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原油中断时，常压装置应联系调度通知罐区快速改正流程、倒原油罐或提高原油进入装置温度，并按需要调节原油进装量。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C365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延炼-300万吨常压蒸馏装置操作规程.pdf，页码：50</w:t>
            </w:r>
          </w:p>
        </w:tc>
      </w:tr>
      <w:tr w14:paraId="2346EC8B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779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工艺规范规则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240E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PROC-001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D239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跨装置负荷调整报批规则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B7F8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当装置负荷波动超过10%或调整将影响其他单位时，应先履行告知/请示程序后再实施负荷调整。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6FE1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集团公司生产调度管理规定（终）.doc，页码：第18、19、20条</w:t>
            </w:r>
          </w:p>
        </w:tc>
      </w:tr>
      <w:tr w14:paraId="0BCCA817">
        <w:trPr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9A3E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调度经验规则</w:t>
            </w:r>
          </w:p>
        </w:tc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4EF2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EXP-001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A80B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反应系统升降温速率平滑控制规则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98DA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开停工或大幅调整期间，反应系统温度升降速度应控制在≤5℃/h；严禁短时快速升温或降温，避免催化剂床层飞温和设备热应力集中。</w:t>
            </w:r>
          </w:p>
        </w:tc>
        <w:tc>
          <w:tcPr>
            <w:tcW w:w="165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27543">
            <w:pPr>
              <w:spacing w:after="0" w:line="259" w:lineRule="auto"/>
              <w:rPr>
                <w:rFonts w:hint="default" w:ascii="Times New Roman Regular" w:hAnsi="Times New Roman Regular" w:eastAsia="黑体" w:cs="Times New Roman Regular"/>
              </w:rPr>
            </w:pPr>
            <w:r>
              <w:rPr>
                <w:rFonts w:hint="default" w:ascii="Times New Roman Regular" w:hAnsi="Times New Roman Regular" w:eastAsia="黑体" w:cs="Times New Roman Regular"/>
                <w:color w:val="1F1F1F"/>
                <w:sz w:val="19"/>
              </w:rPr>
              <w:t>延炼-航煤加氢装置操作规程.pdf，页码：26</w:t>
            </w:r>
          </w:p>
        </w:tc>
      </w:tr>
    </w:tbl>
    <w:p w14:paraId="63EA7273">
      <w:pPr>
        <w:spacing w:before="0" w:after="40" w:line="264" w:lineRule="auto"/>
        <w:rPr>
          <w:rFonts w:hint="default" w:ascii="Times New Roman Regular" w:hAnsi="Times New Roman Regular" w:eastAsia="黑体" w:cs="Times New Roman Regular"/>
        </w:rPr>
      </w:pPr>
    </w:p>
    <w:p w14:paraId="6BF523EA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八、成果特点与应用价值</w:t>
      </w:r>
    </w:p>
    <w:p w14:paraId="65C9FB46">
      <w:pPr>
        <w:pStyle w:val="14"/>
        <w:numPr>
          <w:numId w:val="8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多源融合：规则来源覆盖操作规程、质量标准、工艺资料、调度文件和经验材料，能够更全面反映石化生产调度知识。</w:t>
      </w:r>
    </w:p>
    <w:p w14:paraId="60E21552">
      <w:pPr>
        <w:pStyle w:val="14"/>
        <w:numPr>
          <w:numId w:val="8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结构统一：不同来源和不同类型的规则被统一整理为标准字段，便于后续检索、统计、维护和扩展。</w:t>
      </w:r>
    </w:p>
    <w:p w14:paraId="7EF80CDE">
      <w:pPr>
        <w:pStyle w:val="14"/>
        <w:numPr>
          <w:numId w:val="8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可追溯核验：规则条目保留来源文件、页码和依据，有利于专家审查、版本管理和后续质量提升。</w:t>
      </w:r>
    </w:p>
    <w:p w14:paraId="1F94D05F">
      <w:pPr>
        <w:pStyle w:val="14"/>
        <w:numPr>
          <w:numId w:val="8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面向复用：规则库可进一步服务于调度优化、仿真验证、方案生成和智能问答等应用场景。</w:t>
      </w:r>
    </w:p>
    <w:p w14:paraId="0541034E">
      <w:pPr>
        <w:keepNext/>
        <w:spacing w:before="320" w:after="140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/>
          <w:color w:val="1F1F1F"/>
          <w:sz w:val="30"/>
        </w:rPr>
        <w:t>九、后续工作建议</w:t>
      </w:r>
      <w:bookmarkStart w:id="0" w:name="_GoBack"/>
      <w:bookmarkEnd w:id="0"/>
    </w:p>
    <w:p w14:paraId="1DE41A98">
      <w:pPr>
        <w:spacing w:before="0" w:after="120" w:line="264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b w:val="0"/>
          <w:color w:val="1F1F1F"/>
          <w:sz w:val="22"/>
        </w:rPr>
        <w:t>后续建议在现有规则库基础上，继续推进规则质量复核、版本管理和应用衔接工作。</w:t>
      </w:r>
    </w:p>
    <w:p w14:paraId="1D33FDAD">
      <w:pPr>
        <w:pStyle w:val="14"/>
        <w:numPr>
          <w:numId w:val="9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持续补充新的规程、标准、工艺资料和调度经验材料，扩展规则覆盖范围。</w:t>
      </w:r>
    </w:p>
    <w:p w14:paraId="78B862E5">
      <w:pPr>
        <w:pStyle w:val="14"/>
        <w:numPr>
          <w:numId w:val="9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组织专家对重点规则、关键参数和高风险场景进行复核确认。</w:t>
      </w:r>
    </w:p>
    <w:p w14:paraId="44652ABE">
      <w:pPr>
        <w:pStyle w:val="14"/>
        <w:numPr>
          <w:numId w:val="9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建立规则版本管理机制，记录规则新增、修订、废止和来源变化。</w:t>
      </w:r>
    </w:p>
    <w:p w14:paraId="24BBCFD7">
      <w:pPr>
        <w:pStyle w:val="14"/>
        <w:numPr>
          <w:numId w:val="9"/>
        </w:numPr>
        <w:spacing w:after="80" w:line="269" w:lineRule="auto"/>
        <w:rPr>
          <w:rFonts w:hint="default" w:ascii="Times New Roman Regular" w:hAnsi="Times New Roman Regular" w:eastAsia="黑体" w:cs="Times New Roman Regular"/>
        </w:rPr>
      </w:pPr>
      <w:r>
        <w:rPr>
          <w:rFonts w:hint="default" w:ascii="Times New Roman Regular" w:hAnsi="Times New Roman Regular" w:eastAsia="黑体" w:cs="Times New Roman Regular"/>
          <w:color w:val="1F1F1F"/>
          <w:sz w:val="22"/>
        </w:rPr>
        <w:t>推动规则库与调度优化、仿真验证和方案生成流程衔接，验证规则复用效果。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2B1F"/>
    <w:rsid w:val="00CB0664"/>
    <w:rsid w:val="00FC693F"/>
    <w:rsid w:val="1E6AEFF2"/>
    <w:rsid w:val="31AFA4B0"/>
    <w:rsid w:val="3FBD01FB"/>
    <w:rsid w:val="4BE8B68D"/>
    <w:rsid w:val="58EF4BC3"/>
    <w:rsid w:val="5BFA5DEB"/>
    <w:rsid w:val="5FEF4413"/>
    <w:rsid w:val="67F3B01C"/>
    <w:rsid w:val="75D35737"/>
    <w:rsid w:val="75FDDE63"/>
    <w:rsid w:val="7BAB918B"/>
    <w:rsid w:val="7DBE4D1F"/>
    <w:rsid w:val="7DF3B2B3"/>
    <w:rsid w:val="7F6B0B1A"/>
    <w:rsid w:val="7F7394F9"/>
    <w:rsid w:val="7FDE2EDE"/>
    <w:rsid w:val="BBF6FE88"/>
    <w:rsid w:val="D95757B7"/>
    <w:rsid w:val="DBF10D4A"/>
    <w:rsid w:val="DBFA7108"/>
    <w:rsid w:val="EBEB38C3"/>
    <w:rsid w:val="EFFDB6D3"/>
    <w:rsid w:val="EFFF5670"/>
    <w:rsid w:val="F3FFE455"/>
    <w:rsid w:val="F7E2CA2B"/>
    <w:rsid w:val="FCFFA8BF"/>
    <w:rsid w:val="FE77D225"/>
    <w:rsid w:val="FEF7658C"/>
    <w:rsid w:val="FF2E8827"/>
    <w:rsid w:val="FF7DF212"/>
    <w:rsid w:val="FFFB8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Arial Unicode MS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alibri" w:hAnsi="Calibri" w:eastAsia="Arial Unicode MS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Calibri" w:hAnsi="Calibri" w:eastAsia="Arial Unicode MS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同舟共济</cp:lastModifiedBy>
  <dcterms:modified xsi:type="dcterms:W3CDTF">2026-07-27T21:02:35Z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D5D0BEA0E3D39653C13F676A6F9D5242_42</vt:lpwstr>
  </property>
</Properties>
</file>