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>总计</w:t>
      </w:r>
      <w:r>
        <w:rPr>
          <w:rFonts w:hint="eastAsia"/>
        </w:rPr>
        <w:t>1</w:t>
      </w:r>
      <w:r>
        <w:t>200种</w:t>
      </w:r>
    </w:p>
    <w:p>
      <w:pPr>
        <w:pStyle w:val="2"/>
        <w:rPr>
          <w:rFonts w:hint="default" w:eastAsia="仿宋_GB2312"/>
          <w:lang w:val="en-US" w:eastAsia="zh-CN"/>
        </w:rPr>
      </w:pPr>
      <w:r>
        <w:t>原油</w:t>
      </w:r>
      <w:r>
        <w:rPr>
          <w:rFonts w:hint="eastAsia"/>
        </w:rPr>
        <w:t>类</w:t>
      </w:r>
      <w:r>
        <w:t>（50种）</w:t>
      </w:r>
      <w:r>
        <w:rPr>
          <w:rFonts w:hint="eastAsia"/>
          <w:lang w:val="en-US" w:eastAsia="zh-CN"/>
        </w:rPr>
        <w:t>描述+数值；边界确定</w:t>
      </w:r>
    </w:p>
    <w:p>
      <w:pPr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t>10个原油罐，30种原油，1个常减压，10个侧线</w:t>
      </w:r>
      <w:r>
        <w:rPr>
          <w:rFonts w:hint="eastAsia" w:ascii="Times New Roman" w:hAnsi="Times New Roman" w:eastAsia="仿宋_GB2312" w:cs="Times New Roman"/>
        </w:rPr>
        <w:t>；</w:t>
      </w:r>
      <w:r>
        <w:rPr>
          <w:rFonts w:ascii="Times New Roman" w:hAnsi="Times New Roman" w:eastAsia="仿宋_GB2312" w:cs="Times New Roman"/>
        </w:rPr>
        <w:t>原油罐物料平衡（10）</w:t>
      </w:r>
      <w:r>
        <w:rPr>
          <w:rFonts w:hint="eastAsia" w:ascii="Times New Roman" w:hAnsi="Times New Roman" w:eastAsia="仿宋_GB2312" w:cs="Times New Roman"/>
        </w:rPr>
        <w:t>；</w:t>
      </w:r>
      <w:r>
        <w:rPr>
          <w:rFonts w:ascii="Times New Roman" w:hAnsi="Times New Roman" w:eastAsia="仿宋_GB2312" w:cs="Times New Roman"/>
        </w:rPr>
        <w:t>原油罐不同收同付约束（1）</w:t>
      </w:r>
      <w:r>
        <w:rPr>
          <w:rFonts w:hint="eastAsia" w:ascii="Times New Roman" w:hAnsi="Times New Roman" w:eastAsia="仿宋_GB2312" w:cs="Times New Roman"/>
        </w:rPr>
        <w:t>；</w:t>
      </w:r>
      <w:r>
        <w:rPr>
          <w:rFonts w:ascii="Times New Roman" w:hAnsi="Times New Roman" w:eastAsia="仿宋_GB2312" w:cs="Times New Roman"/>
        </w:rPr>
        <w:t>原油罐上下限约束（1*10=10）</w:t>
      </w:r>
      <w:r>
        <w:rPr>
          <w:rFonts w:hint="eastAsia" w:ascii="Times New Roman" w:hAnsi="Times New Roman" w:eastAsia="仿宋_GB2312" w:cs="Times New Roman"/>
        </w:rPr>
        <w:t>；</w:t>
      </w:r>
      <w:r>
        <w:rPr>
          <w:rFonts w:ascii="Times New Roman" w:hAnsi="Times New Roman" w:eastAsia="仿宋_GB2312" w:cs="Times New Roman"/>
        </w:rPr>
        <w:t>原油罐最多同时供料给常减压装置的数量约束（1*10=10）</w:t>
      </w:r>
      <w:r>
        <w:rPr>
          <w:rFonts w:hint="eastAsia" w:ascii="Times New Roman" w:hAnsi="Times New Roman" w:eastAsia="仿宋_GB2312" w:cs="Times New Roman"/>
        </w:rPr>
        <w:t>；</w:t>
      </w:r>
      <w:r>
        <w:rPr>
          <w:rFonts w:ascii="Times New Roman" w:hAnsi="Times New Roman" w:eastAsia="仿宋_GB2312" w:cs="Times New Roman"/>
        </w:rPr>
        <w:t>原油罐静置（1）</w:t>
      </w:r>
      <w:r>
        <w:rPr>
          <w:rFonts w:hint="eastAsia" w:ascii="Times New Roman" w:hAnsi="Times New Roman" w:eastAsia="仿宋_GB2312" w:cs="Times New Roman"/>
        </w:rPr>
        <w:t>；</w:t>
      </w:r>
      <w:r>
        <w:rPr>
          <w:rFonts w:ascii="Times New Roman" w:hAnsi="Times New Roman" w:eastAsia="仿宋_GB2312" w:cs="Times New Roman"/>
        </w:rPr>
        <w:t>付油罐切换约束（1）</w:t>
      </w:r>
      <w:r>
        <w:rPr>
          <w:rFonts w:hint="eastAsia" w:ascii="Times New Roman" w:hAnsi="Times New Roman" w:eastAsia="仿宋_GB2312" w:cs="Times New Roman"/>
        </w:rPr>
        <w:t>；原油混合计算规则（混合原油总量计算规则、性质计算规则与侧线产品收率计算规则。3）</w:t>
      </w:r>
      <w:r>
        <w:rPr>
          <w:rFonts w:ascii="Times New Roman" w:hAnsi="Times New Roman" w:eastAsia="仿宋_GB2312" w:cs="Times New Roman"/>
        </w:rPr>
        <w:t>同时给常减压装置供油的原油罐数量上下限</w:t>
      </w:r>
      <w:r>
        <w:rPr>
          <w:rFonts w:hint="eastAsia" w:ascii="Times New Roman" w:hAnsi="Times New Roman" w:eastAsia="仿宋_GB2312" w:cs="Times New Roman"/>
          <w:lang w:val="en-US" w:eastAsia="zh-CN"/>
        </w:rPr>
        <w:t xml:space="preserve"> 混有比例</w:t>
      </w:r>
      <w:r>
        <w:rPr>
          <w:rFonts w:ascii="Times New Roman" w:hAnsi="Times New Roman" w:eastAsia="仿宋_GB2312" w:cs="Times New Roman"/>
        </w:rPr>
        <w:t>（1）</w:t>
      </w:r>
      <w:r>
        <w:rPr>
          <w:rFonts w:hint="eastAsia" w:ascii="Times New Roman" w:hAnsi="Times New Roman" w:eastAsia="仿宋_GB2312" w:cs="Times New Roman"/>
        </w:rPr>
        <w:t>；</w:t>
      </w:r>
      <w:r>
        <w:rPr>
          <w:rFonts w:ascii="Times New Roman" w:hAnsi="Times New Roman" w:eastAsia="仿宋_GB2312" w:cs="Times New Roman"/>
        </w:rPr>
        <w:t>原油罐收油速率上下限约束（1*10=10）</w:t>
      </w:r>
      <w:r>
        <w:rPr>
          <w:rFonts w:hint="eastAsia" w:ascii="Times New Roman" w:hAnsi="Times New Roman" w:eastAsia="仿宋_GB2312" w:cs="Times New Roman"/>
        </w:rPr>
        <w:t>；</w:t>
      </w:r>
      <w:r>
        <w:rPr>
          <w:rFonts w:ascii="Times New Roman" w:hAnsi="Times New Roman" w:eastAsia="仿宋_GB2312" w:cs="Times New Roman"/>
        </w:rPr>
        <w:t>进厂原油在调度期内需要全部收完（1）</w:t>
      </w:r>
      <w:r>
        <w:rPr>
          <w:rFonts w:hint="eastAsia" w:ascii="Times New Roman" w:hAnsi="Times New Roman" w:eastAsia="仿宋_GB2312" w:cs="Times New Roman"/>
        </w:rPr>
        <w:t>；</w:t>
      </w:r>
      <w:r>
        <w:rPr>
          <w:rFonts w:ascii="Times New Roman" w:hAnsi="Times New Roman" w:eastAsia="仿宋_GB2312" w:cs="Times New Roman"/>
        </w:rPr>
        <w:t>原油收油罐选择规则（1）</w:t>
      </w:r>
    </w:p>
    <w:p>
      <w:pPr>
        <w:pStyle w:val="2"/>
        <w:rPr>
          <w:rFonts w:hint="eastAsia" w:eastAsia="仿宋_GB2312"/>
          <w:lang w:eastAsia="zh-CN"/>
        </w:rPr>
      </w:pPr>
      <w:r>
        <w:rPr>
          <w:rFonts w:hint="eastAsia"/>
        </w:rPr>
        <w:t>装置类（</w:t>
      </w:r>
      <w:r>
        <w:t>550种）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侧线/容量上下限拆分</w:t>
      </w:r>
      <w:r>
        <w:rPr>
          <w:rFonts w:hint="eastAsia"/>
          <w:lang w:eastAsia="zh-CN"/>
        </w:rPr>
        <w:t>）</w:t>
      </w:r>
    </w:p>
    <w:p>
      <w:pPr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t>一次装置常减压：每年加工30种原油，每种原油有加工量和配方上下限（30×2=60）；常减压进料的上下限和性质的上下限（20）、侧线收率上下限（10）、10个侧线性质上下限（10×6=60），60+20+10+60=150种</w:t>
      </w:r>
    </w:p>
    <w:p>
      <w:pPr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t>上游装置（中压加裂、高压加裂、催拆改制、渣加、延迟焦化、汽柴油加氢、重整、催化、芳烃、乙烯）：每类装置有30种规则（进料、产品侧线、性质的上下限等），30×10=300种</w:t>
      </w:r>
    </w:p>
    <w:p>
      <w:pPr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t>下游装置（s-zorb、航煤加氢、PTA、轻烃回收、气分、MTBE、溶脱、油浆拔头、聚酯、聚烯烃）：每类装置有10种规则（进料、产品、性质的上下限等），10×10=100种</w:t>
      </w:r>
    </w:p>
    <w:p>
      <w:pPr>
        <w:pStyle w:val="2"/>
        <w:rPr>
          <w:rFonts w:hint="eastAsia" w:eastAsia="仿宋_GB2312"/>
          <w:lang w:eastAsia="zh-CN"/>
        </w:rPr>
      </w:pPr>
      <w:r>
        <w:rPr>
          <w:rFonts w:hint="eastAsia"/>
        </w:rPr>
        <w:t>罐区类（</w:t>
      </w:r>
      <w:r>
        <w:t>50种）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项目组讨论</w:t>
      </w:r>
      <w:r>
        <w:rPr>
          <w:rFonts w:hint="eastAsia"/>
          <w:lang w:eastAsia="zh-CN"/>
        </w:rPr>
        <w:t>）</w:t>
      </w:r>
    </w:p>
    <w:p>
      <w:pPr>
        <w:rPr>
          <w:rFonts w:hint="eastAsia"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t>实体罐</w:t>
      </w:r>
      <w:r>
        <w:rPr>
          <w:rFonts w:hint="eastAsia" w:ascii="Times New Roman" w:hAnsi="Times New Roman" w:eastAsia="仿宋_GB2312" w:cs="Times New Roman"/>
        </w:rPr>
        <w:t>（汽油3、柴油2、煤油1、芳烃、加氢料、轻烃、渣油、蜡油等）1</w:t>
      </w:r>
      <w:r>
        <w:rPr>
          <w:rFonts w:ascii="Times New Roman" w:hAnsi="Times New Roman" w:eastAsia="仿宋_GB2312" w:cs="Times New Roman"/>
        </w:rPr>
        <w:t>0</w:t>
      </w:r>
      <w:r>
        <w:rPr>
          <w:rFonts w:hint="eastAsia" w:ascii="Times New Roman" w:hAnsi="Times New Roman" w:eastAsia="仿宋_GB2312" w:cs="Times New Roman"/>
        </w:rPr>
        <w:t>类罐子</w:t>
      </w:r>
      <w:r>
        <w:rPr>
          <w:rFonts w:ascii="Times New Roman" w:hAnsi="Times New Roman" w:eastAsia="仿宋_GB2312" w:cs="Times New Roman"/>
        </w:rPr>
        <w:t>（</w:t>
      </w:r>
      <w:r>
        <w:rPr>
          <w:rFonts w:hint="eastAsia" w:ascii="Times New Roman" w:hAnsi="Times New Roman" w:eastAsia="仿宋_GB2312" w:cs="Times New Roman"/>
        </w:rPr>
        <w:t>每类5</w:t>
      </w:r>
      <w:r>
        <w:rPr>
          <w:rFonts w:ascii="Times New Roman" w:hAnsi="Times New Roman" w:eastAsia="仿宋_GB2312" w:cs="Times New Roman"/>
        </w:rPr>
        <w:t>条，只能收油、只能付油、可以同时收付、调整库存上下限、检修、调整收油种类等）</w:t>
      </w:r>
    </w:p>
    <w:p>
      <w:pPr>
        <w:pStyle w:val="2"/>
      </w:pPr>
      <w:r>
        <w:t>调合</w:t>
      </w:r>
      <w:r>
        <w:rPr>
          <w:rFonts w:hint="eastAsia"/>
        </w:rPr>
        <w:t>类</w:t>
      </w:r>
      <w:r>
        <w:t>（150种）</w:t>
      </w:r>
      <w:bookmarkStart w:id="1" w:name="_GoBack"/>
      <w:bookmarkEnd w:id="1"/>
    </w:p>
    <w:p>
      <w:pPr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t>92汽油 95汽油 98汽油 0#柴油 -20#柴油 航煤 船燃 等6-8种产品调合，参调组分（5个左右）、组分流量、组分配方、</w:t>
      </w:r>
      <w:r>
        <w:rPr>
          <w:rFonts w:ascii="Times New Roman" w:hAnsi="Times New Roman" w:eastAsia="仿宋_GB2312" w:cs="Times New Roman"/>
          <w:b/>
          <w:bCs/>
        </w:rPr>
        <w:t>性质</w:t>
      </w:r>
      <w:r>
        <w:rPr>
          <w:rFonts w:ascii="Times New Roman" w:hAnsi="Times New Roman" w:eastAsia="仿宋_GB2312" w:cs="Times New Roman"/>
        </w:rPr>
        <w:t>（10种）：8×（5×2+10）等于约</w:t>
      </w:r>
      <w:r>
        <w:rPr>
          <w:rFonts w:hint="eastAsia" w:ascii="Times New Roman" w:hAnsi="Times New Roman" w:eastAsia="仿宋_GB2312" w:cs="Times New Roman"/>
        </w:rPr>
        <w:t>1</w:t>
      </w:r>
      <w:r>
        <w:rPr>
          <w:rFonts w:ascii="Times New Roman" w:hAnsi="Times New Roman" w:eastAsia="仿宋_GB2312" w:cs="Times New Roman"/>
        </w:rPr>
        <w:t>50~160种</w:t>
      </w:r>
    </w:p>
    <w:p>
      <w:pPr>
        <w:pStyle w:val="2"/>
      </w:pPr>
      <w:r>
        <w:t>产品</w:t>
      </w:r>
      <w:r>
        <w:rPr>
          <w:rFonts w:hint="eastAsia"/>
        </w:rPr>
        <w:t>类</w:t>
      </w:r>
      <w:r>
        <w:t>（100种）</w:t>
      </w:r>
    </w:p>
    <w:p>
      <w:pPr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t>总计50种产品，每种产品的每日产量上下限，调度周期总产量上下限，50*2=100</w:t>
      </w:r>
    </w:p>
    <w:p>
      <w:pPr>
        <w:pStyle w:val="2"/>
      </w:pPr>
      <w:bookmarkStart w:id="0" w:name="OLE_LINK1"/>
      <w:r>
        <w:t>停工调度规则（100种）</w:t>
      </w:r>
    </w:p>
    <w:bookmarkEnd w:id="0"/>
    <w:p>
      <w:pPr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t>炼油装置10类，每类装置有11种规则，包括负荷变化幅度约束、负荷切换次数约束、停工持续时间约束、停机连续性（不能频繁启停）、停机前降负荷过渡期（不能一下从100%降到0）、停工后加负荷过渡期（不能一下从0加到100%）、停工前进料库存清空、停工前下游装置进料及产品库存备罐、停工期间外购料约束、复工后各装置负荷恢复至正常工况、复工后生产偏差补偿，共10*11=110种</w:t>
      </w:r>
    </w:p>
    <w:p>
      <w:pPr>
        <w:pStyle w:val="2"/>
        <w:rPr>
          <w:rFonts w:hint="default" w:eastAsia="仿宋_GB2312"/>
          <w:lang w:val="en-US" w:eastAsia="zh-CN"/>
        </w:rPr>
      </w:pPr>
      <w:r>
        <w:rPr>
          <w:rFonts w:hint="eastAsia"/>
        </w:rPr>
        <w:t>流程特征和协同规则</w:t>
      </w:r>
      <w:r>
        <w:t>（100种）</w:t>
      </w:r>
      <w:r>
        <w:rPr>
          <w:rFonts w:hint="eastAsia"/>
          <w:lang w:val="en-US" w:eastAsia="zh-CN"/>
        </w:rPr>
        <w:t>与其他装置</w:t>
      </w:r>
    </w:p>
    <w:p>
      <w:pPr>
        <w:rPr>
          <w:rFonts w:hint="eastAsia"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t>物料流向规则（约30条）</w:t>
      </w:r>
      <w:r>
        <w:rPr>
          <w:rFonts w:hint="eastAsia" w:ascii="Times New Roman" w:hAnsi="Times New Roman" w:eastAsia="仿宋_GB2312" w:cs="Times New Roman"/>
        </w:rPr>
        <w:t>；</w:t>
      </w:r>
      <w:r>
        <w:rPr>
          <w:rFonts w:ascii="Times New Roman" w:hAnsi="Times New Roman" w:eastAsia="仿宋_GB2312" w:cs="Times New Roman"/>
        </w:rPr>
        <w:t>常压装置协同规则（约20条）</w:t>
      </w:r>
      <w:r>
        <w:rPr>
          <w:rFonts w:hint="eastAsia" w:ascii="Times New Roman" w:hAnsi="Times New Roman" w:eastAsia="仿宋_GB2312" w:cs="Times New Roman"/>
        </w:rPr>
        <w:t>；</w:t>
      </w:r>
      <w:r>
        <w:rPr>
          <w:rFonts w:ascii="Times New Roman" w:hAnsi="Times New Roman" w:eastAsia="仿宋_GB2312" w:cs="Times New Roman"/>
        </w:rPr>
        <w:t>催化装置协同规则（约10条）</w:t>
      </w:r>
      <w:r>
        <w:rPr>
          <w:rFonts w:hint="eastAsia" w:ascii="Times New Roman" w:hAnsi="Times New Roman" w:eastAsia="仿宋_GB2312" w:cs="Times New Roman"/>
        </w:rPr>
        <w:t>；</w:t>
      </w:r>
      <w:r>
        <w:rPr>
          <w:rFonts w:ascii="Times New Roman" w:hAnsi="Times New Roman" w:eastAsia="仿宋_GB2312" w:cs="Times New Roman"/>
        </w:rPr>
        <w:t>加氢装置协同规则（约10条）</w:t>
      </w:r>
      <w:r>
        <w:rPr>
          <w:rFonts w:hint="eastAsia" w:ascii="Times New Roman" w:hAnsi="Times New Roman" w:eastAsia="仿宋_GB2312" w:cs="Times New Roman"/>
        </w:rPr>
        <w:t>；</w:t>
      </w:r>
      <w:r>
        <w:rPr>
          <w:rFonts w:ascii="Times New Roman" w:hAnsi="Times New Roman" w:eastAsia="仿宋_GB2312" w:cs="Times New Roman"/>
        </w:rPr>
        <w:t>芳烃链（重整-PX-PTA）协同规则（约10条）</w:t>
      </w:r>
      <w:r>
        <w:rPr>
          <w:rFonts w:hint="eastAsia" w:ascii="Times New Roman" w:hAnsi="Times New Roman" w:eastAsia="仿宋_GB2312" w:cs="Times New Roman"/>
        </w:rPr>
        <w:t>；</w:t>
      </w:r>
      <w:r>
        <w:rPr>
          <w:rFonts w:ascii="Times New Roman" w:hAnsi="Times New Roman" w:eastAsia="仿宋_GB2312" w:cs="Times New Roman"/>
        </w:rPr>
        <w:t>烯烃链（乙烯-塑料）协同规则（约10条）</w:t>
      </w:r>
      <w:r>
        <w:rPr>
          <w:rFonts w:hint="eastAsia" w:ascii="Times New Roman" w:hAnsi="Times New Roman" w:eastAsia="仿宋_GB2312" w:cs="Times New Roman"/>
        </w:rPr>
        <w:t>；</w:t>
      </w:r>
      <w:r>
        <w:rPr>
          <w:rFonts w:ascii="Times New Roman" w:hAnsi="Times New Roman" w:eastAsia="仿宋_GB2312" w:cs="Times New Roman"/>
        </w:rPr>
        <w:t>聚酯链（PTA-MEG-PET）协同规则（约10条）</w:t>
      </w:r>
      <w:r>
        <w:rPr>
          <w:rFonts w:hint="eastAsia" w:ascii="Times New Roman" w:hAnsi="Times New Roman" w:eastAsia="仿宋_GB2312" w:cs="Times New Roman"/>
        </w:rPr>
        <w:t>；</w:t>
      </w:r>
      <w:r>
        <w:rPr>
          <w:rFonts w:ascii="Times New Roman" w:hAnsi="Times New Roman" w:eastAsia="仿宋_GB2312" w:cs="Times New Roman"/>
        </w:rPr>
        <w:tab/>
      </w:r>
      <w:r>
        <w:rPr>
          <w:rFonts w:ascii="Times New Roman" w:hAnsi="Times New Roman" w:eastAsia="仿宋_GB2312" w:cs="Times New Roman"/>
        </w:rPr>
        <w:t>纺丝前纺与后纺协同规则（约10条）</w:t>
      </w:r>
      <w:r>
        <w:rPr>
          <w:rFonts w:hint="eastAsia" w:ascii="Times New Roman" w:hAnsi="Times New Roman" w:eastAsia="仿宋_GB2312" w:cs="Times New Roman"/>
        </w:rPr>
        <w:t>；</w:t>
      </w:r>
      <w:r>
        <w:rPr>
          <w:rFonts w:ascii="Times New Roman" w:hAnsi="Times New Roman" w:eastAsia="仿宋_GB2312" w:cs="Times New Roman"/>
        </w:rPr>
        <w:t>中间罐区缓冲与调合协同规则（约10条）</w:t>
      </w:r>
    </w:p>
    <w:p>
      <w:pPr>
        <w:pStyle w:val="2"/>
      </w:pPr>
      <w:r>
        <w:rPr>
          <w:rFonts w:hint="eastAsia"/>
        </w:rPr>
        <w:t>调度经验规则</w:t>
      </w:r>
      <w:r>
        <w:t>（</w:t>
      </w:r>
      <w:r>
        <w:rPr>
          <w:rFonts w:hint="eastAsia"/>
        </w:rPr>
        <w:t>1</w:t>
      </w:r>
      <w:r>
        <w:t>00</w:t>
      </w:r>
      <w:r>
        <w:rPr>
          <w:rFonts w:hint="eastAsia"/>
        </w:rPr>
        <w:t>种</w:t>
      </w:r>
      <w:r>
        <w:t>）</w:t>
      </w:r>
    </w:p>
    <w:p>
      <w:pPr>
        <w:rPr>
          <w:rFonts w:hint="eastAsia"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t>装置运行模型切换（10条左右，取决于具备多种工作模式的装置数量）</w:t>
      </w:r>
      <w:r>
        <w:rPr>
          <w:rFonts w:hint="eastAsia" w:ascii="Times New Roman" w:hAnsi="Times New Roman" w:eastAsia="仿宋_GB2312" w:cs="Times New Roman"/>
        </w:rPr>
        <w:t>；</w:t>
      </w:r>
      <w:r>
        <w:rPr>
          <w:rFonts w:ascii="Times New Roman" w:hAnsi="Times New Roman" w:eastAsia="仿宋_GB2312" w:cs="Times New Roman"/>
        </w:rPr>
        <w:t>物性平滑规则（约15-20条）</w:t>
      </w:r>
      <w:r>
        <w:rPr>
          <w:rFonts w:hint="eastAsia" w:ascii="Times New Roman" w:hAnsi="Times New Roman" w:eastAsia="仿宋_GB2312" w:cs="Times New Roman"/>
        </w:rPr>
        <w:t>；</w:t>
      </w:r>
      <w:r>
        <w:rPr>
          <w:rFonts w:ascii="Times New Roman" w:hAnsi="Times New Roman" w:eastAsia="仿宋_GB2312" w:cs="Times New Roman"/>
        </w:rPr>
        <w:t>负荷联动规则（约10-15条）</w:t>
      </w:r>
      <w:r>
        <w:rPr>
          <w:rFonts w:hint="eastAsia" w:ascii="Times New Roman" w:hAnsi="Times New Roman" w:eastAsia="仿宋_GB2312" w:cs="Times New Roman"/>
        </w:rPr>
        <w:t>；</w:t>
      </w:r>
      <w:r>
        <w:rPr>
          <w:rFonts w:ascii="Times New Roman" w:hAnsi="Times New Roman" w:eastAsia="仿宋_GB2312" w:cs="Times New Roman"/>
        </w:rPr>
        <w:t>操作频次规则（约15条）</w:t>
      </w:r>
      <w:r>
        <w:rPr>
          <w:rFonts w:hint="eastAsia" w:ascii="Times New Roman" w:hAnsi="Times New Roman" w:eastAsia="仿宋_GB2312" w:cs="Times New Roman"/>
        </w:rPr>
        <w:t>；</w:t>
      </w:r>
      <w:r>
        <w:rPr>
          <w:rFonts w:ascii="Times New Roman" w:hAnsi="Times New Roman" w:eastAsia="仿宋_GB2312" w:cs="Times New Roman"/>
        </w:rPr>
        <w:t>安全边际规则（约10条）</w:t>
      </w:r>
      <w:r>
        <w:rPr>
          <w:rFonts w:hint="eastAsia" w:ascii="Times New Roman" w:hAnsi="Times New Roman" w:eastAsia="仿宋_GB2312" w:cs="Times New Roman"/>
        </w:rPr>
        <w:t>；</w:t>
      </w:r>
      <w:r>
        <w:rPr>
          <w:rFonts w:ascii="Times New Roman" w:hAnsi="Times New Roman" w:eastAsia="仿宋_GB2312" w:cs="Times New Roman"/>
        </w:rPr>
        <w:t>库位平衡规则（约10条）</w:t>
      </w:r>
      <w:r>
        <w:rPr>
          <w:rFonts w:hint="eastAsia" w:ascii="Times New Roman" w:hAnsi="Times New Roman" w:eastAsia="仿宋_GB2312" w:cs="Times New Roman"/>
        </w:rPr>
        <w:t>；</w:t>
      </w:r>
      <w:r>
        <w:rPr>
          <w:rFonts w:ascii="Times New Roman" w:hAnsi="Times New Roman" w:eastAsia="仿宋_GB2312" w:cs="Times New Roman"/>
        </w:rPr>
        <w:t>预防性腾挪规则（约10条）</w:t>
      </w:r>
      <w:r>
        <w:rPr>
          <w:rFonts w:hint="eastAsia" w:ascii="Times New Roman" w:hAnsi="Times New Roman" w:eastAsia="仿宋_GB2312" w:cs="Times New Roman"/>
        </w:rPr>
        <w:t>；</w:t>
      </w:r>
      <w:r>
        <w:rPr>
          <w:rFonts w:ascii="Times New Roman" w:hAnsi="Times New Roman" w:eastAsia="仿宋_GB2312" w:cs="Times New Roman"/>
        </w:rPr>
        <w:t>效益优先规则（约10条）</w:t>
      </w:r>
      <w:r>
        <w:rPr>
          <w:rFonts w:hint="eastAsia" w:ascii="Times New Roman" w:hAnsi="Times New Roman" w:eastAsia="仿宋_GB2312" w:cs="Times New Roman"/>
        </w:rPr>
        <w:t>；</w:t>
      </w:r>
      <w:r>
        <w:rPr>
          <w:rFonts w:ascii="Times New Roman" w:hAnsi="Times New Roman" w:eastAsia="仿宋_GB2312" w:cs="Times New Roman"/>
        </w:rPr>
        <w:t>能耗成本规则（约10条）</w:t>
      </w:r>
      <w:r>
        <w:rPr>
          <w:rFonts w:hint="eastAsia" w:ascii="Times New Roman" w:hAnsi="Times New Roman" w:eastAsia="仿宋_GB2312" w:cs="Times New Roman"/>
        </w:rPr>
        <w:t>；</w:t>
      </w:r>
      <w:r>
        <w:rPr>
          <w:rFonts w:ascii="Times New Roman" w:hAnsi="Times New Roman" w:eastAsia="仿宋_GB2312" w:cs="Times New Roman"/>
        </w:rPr>
        <w:t>质量“卡边”规则（约5-10条）</w:t>
      </w:r>
      <w:r>
        <w:rPr>
          <w:rFonts w:hint="eastAsia" w:ascii="Times New Roman" w:hAnsi="Times New Roman" w:eastAsia="仿宋_GB2312" w:cs="Times New Roman"/>
        </w:rPr>
        <w:t>；</w:t>
      </w:r>
      <w:r>
        <w:rPr>
          <w:rFonts w:ascii="Times New Roman" w:hAnsi="Times New Roman" w:eastAsia="仿宋_GB2312" w:cs="Times New Roman"/>
        </w:rPr>
        <w:t>故障导向规则（约10条）</w:t>
      </w:r>
      <w:r>
        <w:rPr>
          <w:rFonts w:hint="eastAsia" w:ascii="Times New Roman" w:hAnsi="Times New Roman" w:eastAsia="仿宋_GB2312" w:cs="Times New Roman"/>
        </w:rPr>
        <w:t>；</w:t>
      </w:r>
      <w:r>
        <w:rPr>
          <w:rFonts w:ascii="Times New Roman" w:hAnsi="Times New Roman" w:eastAsia="仿宋_GB2312" w:cs="Times New Roman"/>
        </w:rPr>
        <w:t>指标超差处理（约10条）</w:t>
      </w:r>
      <w:r>
        <w:rPr>
          <w:rFonts w:hint="eastAsia" w:ascii="Times New Roman" w:hAnsi="Times New Roman" w:eastAsia="仿宋_GB2312" w:cs="Times New Roman"/>
        </w:rPr>
        <w:t>；</w:t>
      </w:r>
      <w:r>
        <w:rPr>
          <w:rFonts w:ascii="Times New Roman" w:hAnsi="Times New Roman" w:eastAsia="仿宋_GB2312" w:cs="Times New Roman"/>
        </w:rPr>
        <w:t>极端天气/外部中断（约5-10条）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36C1"/>
    <w:rsid w:val="00594219"/>
    <w:rsid w:val="0094321A"/>
    <w:rsid w:val="00CD7D9E"/>
    <w:rsid w:val="00DA32E8"/>
    <w:rsid w:val="00E054C1"/>
    <w:rsid w:val="00EA4FBD"/>
    <w:rsid w:val="00F636C1"/>
    <w:rsid w:val="196547FC"/>
    <w:rsid w:val="1CD06494"/>
    <w:rsid w:val="41322966"/>
    <w:rsid w:val="45C86107"/>
    <w:rsid w:val="47B440D5"/>
    <w:rsid w:val="4FAB48F5"/>
    <w:rsid w:val="51FD576F"/>
    <w:rsid w:val="5E8819C0"/>
    <w:rsid w:val="63DB7681"/>
    <w:rsid w:val="7128150C"/>
    <w:rsid w:val="78673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7"/>
    <w:qFormat/>
    <w:uiPriority w:val="9"/>
    <w:pPr>
      <w:keepNext/>
      <w:keepLines/>
      <w:adjustRightInd w:val="0"/>
      <w:snapToGrid w:val="0"/>
      <w:spacing w:line="300" w:lineRule="auto"/>
      <w:outlineLvl w:val="0"/>
    </w:pPr>
    <w:rPr>
      <w:rFonts w:ascii="Times New Roman" w:hAnsi="Times New Roman" w:eastAsia="仿宋_GB2312" w:cs="Times New Roman"/>
      <w:b/>
      <w:bCs/>
      <w:kern w:val="44"/>
      <w:sz w:val="24"/>
      <w:szCs w:val="40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semiHidden/>
    <w:unhideWhenUsed/>
    <w:uiPriority w:val="99"/>
    <w:pPr>
      <w:jc w:val="left"/>
    </w:pPr>
  </w:style>
  <w:style w:type="character" w:styleId="6">
    <w:name w:val="annotation reference"/>
    <w:basedOn w:val="5"/>
    <w:semiHidden/>
    <w:unhideWhenUsed/>
    <w:uiPriority w:val="99"/>
    <w:rPr>
      <w:sz w:val="21"/>
      <w:szCs w:val="21"/>
    </w:rPr>
  </w:style>
  <w:style w:type="character" w:customStyle="1" w:styleId="7">
    <w:name w:val="标题 1 字符"/>
    <w:basedOn w:val="5"/>
    <w:link w:val="2"/>
    <w:uiPriority w:val="9"/>
    <w:rPr>
      <w:rFonts w:ascii="Times New Roman" w:hAnsi="Times New Roman" w:eastAsia="仿宋_GB2312" w:cs="Times New Roman"/>
      <w:b/>
      <w:bCs/>
      <w:kern w:val="44"/>
      <w:sz w:val="24"/>
      <w:szCs w:val="4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208</Words>
  <Characters>1187</Characters>
  <Lines>9</Lines>
  <Paragraphs>2</Paragraphs>
  <TotalTime>41</TotalTime>
  <ScaleCrop>false</ScaleCrop>
  <LinksUpToDate>false</LinksUpToDate>
  <CharactersWithSpaces>1393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2026-03-01T22:12:00Z</dcterms:created>
  <dc:creator>ECUST</dc:creator>
  <cp:lastModifiedBy>汐落</cp:lastModifiedBy>
  <dcterms:modified xsi:type="dcterms:W3CDTF">2026-09-16T13:01:23Z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eyJoZGlkIjoiYmI4NTA3NjcxZGRiOGE2NzRhZTEzMWJiMGRmYjgyOGEiLCJ1c2VySWQiOiI5MTQ0MDQ0NTQifQ==</vt:lpwstr>
  </property>
  <property fmtid="{D5CDD505-2E9C-101B-9397-08002B2CF9AE}" pid="3" name="KSOProductBuildVer">
    <vt:lpwstr>2052-6.7.1.8828</vt:lpwstr>
  </property>
  <property fmtid="{D5CDD505-2E9C-101B-9397-08002B2CF9AE}" pid="4" name="ICV">
    <vt:lpwstr>5A223CEABA190247A322AA6A493C052F_43</vt:lpwstr>
  </property>
</Properties>
</file>