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知识规则本周工作</w:t>
      </w:r>
      <w:bookmarkStart w:id="0" w:name="_GoBack"/>
      <w:bookmarkEnd w:id="0"/>
    </w:p>
    <w:p>
      <w:r>
        <w:t>统计版本  2026年9月23日</w:t>
      </w:r>
    </w:p>
    <w:p>
      <w:r>
        <w:t>本周完成两厂其余装置收率提取、装置负荷单位统一及指定侧线收率集合拆分。当前目录15个规则文件共496条记录，涉及原油、装置和调合3个大类；495个不同rule_id中有1处ID冲突需要核对。</w:t>
      </w:r>
    </w:p>
    <w:p>
      <w:pPr>
        <w:pStyle w:val="3"/>
      </w:pPr>
      <w:r>
        <w:t>一、本周工作</w:t>
      </w:r>
    </w:p>
    <w:p>
      <w:pPr>
        <w:pStyle w:val="4"/>
      </w:pPr>
      <w:r>
        <w:t>1 提取其余装置的收率</w:t>
      </w:r>
    </w:p>
    <w:p>
      <w:r>
        <w:t>完成延炼与延石化装置生产完成情况表的收率提取，形成202条记录：炼油厂装置收率114条、石油化工装置收率88条，其中零值41条。仅使用“收率—本月”列，保留零值、损失和汇总指标；描述不添加年月和“本月”，参数统一以无量纲比例表达。</w:t>
      </w:r>
    </w:p>
    <w:p>
      <w:r>
        <w:t>两厂记录涵盖29个装置/单元名称条目和2个汇总项。该数量是报表对象覆盖数，不等同于独立物理装置套数；汇总指标不能作为独立出料流股重复计入物料平衡。</w:t>
      </w:r>
    </w:p>
    <w:p>
      <w:pPr>
        <w:pStyle w:val="4"/>
      </w:pPr>
      <w:r>
        <w:t>2 装置负荷上下限统一单位为t/d</w:t>
      </w:r>
    </w:p>
    <w:p>
      <w:r>
        <w:t>装置加工能力.json中的17条参数均使用t/d，涉及15个装置：15条下限、2条上限。现有上下限记录已统一单位；其中仅300万吨年常压装置和260万吨年常压装置同时具有上下限，其他13个装置仍缺上限。</w:t>
      </w:r>
    </w:p>
    <w:p>
      <w:pPr>
        <w:pStyle w:val="4"/>
      </w:pPr>
      <w:r>
        <w:t>3 对侧线收率的sets字段进行拆分</w:t>
      </w:r>
    </w:p>
    <w:p>
      <w:r>
        <w:t>二次加工侧线收率.json中的6条规则已将OU复合元素拆分为U装置集合与S侧线集合，subset_name均为null，规则ID、描述和收率值保持不变。按PetroRule符号定义，S表示侧线/流股，O表示原料油种。</w:t>
      </w:r>
    </w:p>
    <w:p>
      <w:r>
        <w:t>当前拆分范围仅为该6条规则；两厂新增的202条收率仍采用OU形式。OU是模板支持的装置—出料关联表达，如接口要求全库一致，需另行统一结构。</w:t>
      </w:r>
    </w:p>
    <w:p>
      <w:pPr>
        <w:pStyle w:val="3"/>
      </w:pPr>
      <w:r>
        <w:t>二、规则统计</w:t>
      </w:r>
    </w:p>
    <w:p>
      <w:r>
        <w:t>按当前目录内实际存在的规则JSON逐条计数，一级目录归类；“调和类”统一显示为PetroRule中的“调合类”。规则分类统计.json属于统计元数据，不计入规则记录。上下限拆成两条时按两条记录计数，不据此认定两个实体已覆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191"/>
        <w:gridCol w:w="907"/>
        <w:gridCol w:w="5046"/>
      </w:tblGrid>
      <w:tr>
        <w:trPr>
          <w:cantSplit/>
          <w:tblHeader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规则文件数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记录数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原油类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136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已存在规则文件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306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已存在规则文件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罐区类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当前目录未见规则文件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调合类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54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已存在规则文件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产品类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当前目录未见规则文件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停工调度规则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当前目录未见规则文件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流程特征和协同规则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当前目录未见规则文件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调度经验规则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当前目录未见规则文件</w:t>
            </w:r>
          </w:p>
        </w:tc>
      </w:tr>
      <w:tr>
        <w:trPr>
          <w:cantSplit/>
          <w:trHeight w:val="372" w:hRule="atLeast"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  <w:rPr>
                <w:color w:val="C00000"/>
              </w:rPr>
            </w:pPr>
            <w:r>
              <w:rPr>
                <w:b w:val="0"/>
                <w:color w:val="C00000"/>
                <w:sz w:val="19"/>
              </w:rPr>
              <w:t>合计</w:t>
            </w:r>
          </w:p>
        </w:tc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  <w:rPr>
                <w:color w:val="C00000"/>
              </w:rPr>
            </w:pPr>
            <w:r>
              <w:rPr>
                <w:b w:val="0"/>
                <w:color w:val="C00000"/>
                <w:sz w:val="19"/>
              </w:rPr>
              <w:t>15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color w:val="C00000"/>
              </w:rPr>
            </w:pPr>
            <w:r>
              <w:rPr>
                <w:b w:val="0"/>
                <w:color w:val="C00000"/>
                <w:sz w:val="19"/>
              </w:rPr>
              <w:t>496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不同rule_id为49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6</w:t>
            </w:r>
            <w:r>
              <w:rPr>
                <w:b w:val="0"/>
                <w:sz w:val="19"/>
              </w:rPr>
              <w:t>个</w:t>
            </w:r>
          </w:p>
        </w:tc>
      </w:tr>
    </w:tbl>
    <w:p>
      <w:pPr>
        <w:pStyle w:val="4"/>
      </w:pPr>
      <w:r>
        <w:t>规则文件明细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7257"/>
        <w:gridCol w:w="1247"/>
      </w:tblGrid>
      <w:tr>
        <w:trPr>
          <w:cantSplit/>
          <w:tblHeader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大类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规则文件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记录数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CDU侧线收率.json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20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原油基础性质.json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原油罐基础物性.json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60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原油罐边界.json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48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CDU侧线性质.json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70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二次加工侧线性质.json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二次加工侧线收率.json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炼油厂装置收率.json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114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石油化工装置收率.json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88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装置加工能力.json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17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调和类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允许参调组分.json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调和类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成品质量约束.json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调和类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调合组分性质.json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18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调和类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调合计算关系.json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调和类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配方比例上下限.json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20</w:t>
            </w:r>
          </w:p>
        </w:tc>
      </w:tr>
      <w:tr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w="72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15个规则文件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9"/>
              </w:rPr>
              <w:t>496</w:t>
            </w:r>
          </w:p>
        </w:tc>
      </w:tr>
    </w:tbl>
    <w:p>
      <w:pPr>
        <w:pStyle w:val="4"/>
      </w:pPr>
      <w:r>
        <w:t>统计口径核对</w:t>
      </w:r>
    </w:p>
    <w:p>
      <w:r>
        <w:t>现有规则分类统计.json合计444条，包含目录中已不存在的“装置基础负荷参数”138条和“二次加工侧线产出”12条，同时未纳入两厂新收率202条。按现存文件核对为444－138－12＋202＝496条，本报告采用496条记录口径。</w:t>
      </w:r>
    </w:p>
    <w:p>
      <w:r>
        <w:t>存在1处重复ID：UNIT_SIDECUT_YIELD_FCC200_LPG，同时出现在二次加工侧线收率.json和炼油厂装置收率.json，值分别为0.1735与0.15800135412571528。两条还使用不同流股名称和集合结构，应核查时点、口径与流股映射后再确定保留或版本化方式，不能按ID直接覆盖。495个不同ID不等于495条已完成语义去重的有效规则。</w:t>
      </w:r>
    </w:p>
    <w:p>
      <w:pPr>
        <w:pStyle w:val="3"/>
      </w:pPr>
      <w:r>
        <w:t>三、缺失统计</w:t>
      </w:r>
    </w:p>
    <w:p>
      <w:r>
        <w:t>依据PetroRule的知识规则模版、V3范围说明、符号说明及规则数量基线，逐一核对模板子类。缺失仅指当前2026.9.23目录未形成对应规则，不代表现场没有业务依据。固定收率和物性数据只作为相关基础数据，不直接替代上下限或计算约束。</w:t>
      </w:r>
    </w:p>
    <w:p>
      <w:r>
        <w:t>模板共69个子类条目，其中安全液位上下限、储罐容积上下限2项按V3范围处理后不计待补。其余67项按业务语义核对：3项已具备、2项部分具备、4项仅有基础数据、58项缺失。已具备表示当前实体已有相应业务内容，不表示满足全项目数量基线或全部字段规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134"/>
        <w:gridCol w:w="907"/>
        <w:gridCol w:w="907"/>
        <w:gridCol w:w="1134"/>
        <w:gridCol w:w="907"/>
        <w:gridCol w:w="680"/>
      </w:tblGrid>
      <w:tr>
        <w:trPr>
          <w:cantSplit/>
          <w:tblHeader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模板项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具备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仅数据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缺失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范围外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原油类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装置类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罐区类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调合类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产品类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停工调度规则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流程特征和协同规则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调度经验规则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r>
        <w:t>下列“现有证据”数字表示相关记录数量，不是同口径的合格规则数量；同一基础数据可能支持多个子类核查，不得跨行求和。</w:t>
      </w:r>
    </w:p>
    <w:p>
      <w:pPr>
        <w:pStyle w:val="4"/>
      </w:pPr>
      <w:r>
        <w:t>原油类子类核对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原油罐物料平衡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建立期末库存＝期初库存＋收油－付油及损耗关系，明确时间步长。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原油罐收付互斥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明确同一罐同时收油与付油的互斥条件及状态联动。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原油罐库存上下限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按罐给出质量库存上下限；液位与质量换算口径可核查。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已具备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直接记录24条；相关数据24条液位记录。原油罐边界：12个罐各有质量上下限，数值配对齐全；需统一参数名并确认逻辑实体罐映射。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单罐同时供料装置数量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给出单罐最多同时供料装置数及有效连接判定。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原油罐静置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明确收油结束后最短静置时间及重新计时条件。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付油罐切换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明确调度窗口内切换次数上限和切换事件定义。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原油混合总量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建立混流总进料与总出料的质量守恒关系。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原油混合性质计算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给出混合性质计算关系和输入；区分质量/体积加权。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仅有基础数据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直接记录0条；相关数据8。原油基础性质8条为单油物性；缺混合输入关系及质量/体积加权公式。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原油混合侧线收率计算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按原油进料及对应侧线收率加权计算产出，明确侧线映射。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仅有基础数据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直接记录0条；相关数据20。CDU侧线收率20条为固定系数；缺按原油进料加权的计算规则及CDUsk映射。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单装置同时供油罐数量上下限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给出装置运行时供油罐数量上下限和停机状态约束。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原油罐收油速率上下限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给出收油时最小/最大质量流率和停止收油状态。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进厂原油在期限内全部收完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明确到货批次、剩余质量、接收起止时间及收完期限。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原油收油罐选择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给出批次允许接收罐及相容性、可用性等条件。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</w:tbl>
    <w:p>
      <w:pPr>
        <w:pStyle w:val="4"/>
      </w:pPr>
      <w:r>
        <w:t>装置类子类核对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分原油加工量上下限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按装置×原油给出加工量上下限及未选用/停机条件。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原油配方比例上下限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按装置×原油给出占总进料比例上下限。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装置进料上下限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给出总进料负荷上下限，明确运行、停机与过渡期语义。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部分具备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直接记录17条。装置加工能力：15个装置有下限，仅2个常压装置有上限；13个装置缺上限，运行状态语义待补。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装置进料性质上下限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按装置×性质给出混合进料性质上下限。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侧线收率上下限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按装置×侧线给出收率下限和上限；实绩值不自动等同限值。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仅有基础数据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直接记录0条；相关数据228。20条CDU系数＋6条二次加工固定值＋202条两厂实绩；均无明确允许上下限。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侧线性质上下限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按装置×侧线×性质给出允许区间，不以基准物性替代。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仅有基础数据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直接记录0条；相关数据81。CDU性质70条、二次加工性质11条均为固定物性；缺允许区间，部分单位为空。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上下游装置产品产出上下限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按装置×产品给出产出流率上下限及运行条件。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上下游装置产品性质上下限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明确上下游装置产品性质的允许上下限。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直接记录0条。现有3条成品质量约束属于调合产品；尚无加工装置产品质量上下限规则。</w:t>
            </w:r>
          </w:p>
        </w:tc>
      </w:tr>
    </w:tbl>
    <w:p>
      <w:pPr>
        <w:pStyle w:val="4"/>
      </w:pPr>
      <w:r>
        <w:t>罐区类子类核对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只能收油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明确只收油模式，付油禁止，并区分许可与实际动作。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只能付油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明确只付油模式及收油禁止条件。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可以同时收付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明确同时收付许可及物料相容、能力等条件。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调整库存上下限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给出临时库存上下限及生效时间窗口。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检修不可用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给出罐检修窗口及收付禁用规则。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调整收油种类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给出允许接收的流股集合、切换窗口与相容条件。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安全液位上下限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V3默认不计；保留液位数据但不计当前缺失子类。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范围外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不计缺口；相关数据24。原油罐边界含24条液位记录；依V3默认不计入当前规则补缺。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储罐容积上下限（V2补充）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V2补充项；V3禁用，不列为本轮补缺目标。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范围外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不计缺口；相关数据12条固定容积。原油罐基础物性中的固定容积不是上下限；V3已禁用此子类。</w:t>
            </w:r>
          </w:p>
        </w:tc>
      </w:tr>
    </w:tbl>
    <w:p>
      <w:pPr>
        <w:pStyle w:val="4"/>
      </w:pPr>
      <w:r>
        <w:t>调合类子类核对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参调组分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按调合产品给出允许组分集合及对应输入/输出关系。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已具备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直接记录10条。允许参调组分：覆盖92#、95#汽油和0#柴油共10个产品—组分关系；需补齐模板OU产品定位。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组分流量上下限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给出各组分投入流率上下限，区分未选用时为0。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组分配方比例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按产品×组分给出质量比例上下限及必选/可选条件。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已具备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直接记录20条。配方比例上下限：10个产品—组分组合均有上下限，覆盖3种产品；未开展其他产品的无证据扩充。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调合性质计算及质量限值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给出性质计算关系及成品限值，计算基准与实际证据一致。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部分具备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直接记录6条；相关数据18。3条计算关系＋3条RON/CN下限，另18条组分物性；缺其余性质限值，现有线性加权假设需复核。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调合物料平衡（配套）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建立调合进出料质量守恒及损耗口径。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</w:tbl>
    <w:p>
      <w:pPr>
        <w:pStyle w:val="4"/>
      </w:pPr>
      <w:r>
        <w:t>产品类子类核对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每日产量上下限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给出产品日窗口、合格产量上下限；需求不等于产量限值。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调度周期总产量上下限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给出周期长度及产品周期总产量上下限。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</w:tbl>
    <w:p>
      <w:pPr>
        <w:pStyle w:val="4"/>
      </w:pPr>
      <w:r>
        <w:t>停工调度规则子类核对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负荷变化幅度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给出装置负荷最大升降速率与首时段比较基准。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负荷切换次数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给出时间窗口内负荷档位最大切换次数及事件定义。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停工持续时间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给出连续停工最短/最长时间及跨期处理。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停机连续性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给出最短连续开机与连续停机时间。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停机前降负荷过渡期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给出降负荷持续时间、单调性及速率限制。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复工加负荷过渡期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给出复工加负荷持续时间与上升速率限制。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停工前进料库存清空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给出指定进料缓冲罐的停机残余库存上限。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停工前下游备料及产品备罐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给出下游备料最低库存与产品罐最低可用容量。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停工期间外购料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给出停工窗口、外购量区间及接卸能力。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复工后恢复正常工况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给出恢复期限、正常负荷范围、质量和连续保持时间。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复工后生产偏差补偿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给出补产时间窗、基础目标、补产量及软惩罚。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</w:tbl>
    <w:p>
      <w:pPr>
        <w:pStyle w:val="4"/>
      </w:pPr>
      <w:r>
        <w:t>流程特征和协同规则子类核对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物料流向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明确装置与流股的允许连接和物料流向。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常压装置协同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明确常压装置共用供料/总管等能力约束。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催化装置协同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明确催化装置进料组合、供给关系及比例约束。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加氢装置协同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明确进料、耗氢系数与氢气供应的约束关系。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芳烃链协同（重整—PX—PTA）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明确芳烃链投入产出系数、供应及库存衔接。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烯烃链协同（乙烯—塑料）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明确烯烃单耗及上游供给和库存对下游的限制。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聚酯链协同（PTA—MEG—PET）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明确PTA/MEG消耗系数及可供量对PET产出的限制。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纺丝前纺后纺协同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明确中间品熟化时间和前后纺缓冲库存边界。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中间罐区缓冲与调合协同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明确罐区库存保障、收付模式与调合供料联动。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</w:tbl>
    <w:p>
      <w:pPr>
        <w:pStyle w:val="4"/>
      </w:pPr>
      <w:r>
        <w:t>调度经验规则子类核对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1020"/>
        <w:gridCol w:w="4309"/>
      </w:tblGrid>
      <w:tr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模板子类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现有证据及需补内容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装置运行模式切换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给出模式最短保持时间及允许切换关系。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物性平滑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给出相邻时段进料物性变化阈值和软惩罚。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负荷联动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给出上下游负荷与可供物料产出间的约束。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操作频次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给出窗口内操作次数偏好、事件定义及超限惩罚。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安全边际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给出硬界外的推荐库存/容量裕量及短缺惩罚。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库位平衡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给出多罐容量占用差异的目标阈值和惩罚。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预防性腾挪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给出预测到货、时间与提前预留空间要求。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效益优先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给出收入、成本和经济目标，明确不能突破硬约束。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能耗成本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给出装置单位能耗、能源单价及成本计入规则。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质量卡边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给出质量硬界、推荐裕量和偏好目标。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故障导向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给出故障触发、连接禁用、备用校核和重调度条件。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指标超差处理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给出质量超差阈值、隔离/复检和放行规则。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  <w:tr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极端天气或外部中断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给出外部事件触发、资源可用能力与重调度条件。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直接记录0条。本目录未见对应规则；需补充现场依据及本行所列约束。</w:t>
            </w:r>
          </w:p>
        </w:tc>
      </w:tr>
    </w:tbl>
    <w:p>
      <w:pPr>
        <w:pStyle w:val="4"/>
      </w:pPr>
      <w:r>
        <w:t>数量基线与补缺顺序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247"/>
        <w:gridCol w:w="1247"/>
        <w:gridCol w:w="4649"/>
      </w:tblGrid>
      <w:tr>
        <w:trPr>
          <w:cantSplit/>
          <w:tblHeader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V3大类基线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当前记录数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使用说明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原油类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136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装置类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550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306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罐区类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调合类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产品类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停工调度规则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流程特征和协同规则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调度经验规则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只作覆盖指导，不能直接相减为缺失条数</w:t>
            </w:r>
          </w:p>
        </w:tc>
      </w:tr>
      <w:tr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1200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496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固定参数、报表实绩及拆分记录与目标口径不同</w:t>
            </w:r>
          </w:p>
        </w:tc>
      </w:tr>
    </w:tbl>
    <w:p>
      <w:r>
        <w:t>原油类136条中含60条罐基础物性、8条原油基础性质、20条CDU收率系数及24条安全液位记录，不能因超过50条基线即判定原油类完成。原油库存质量上下限有24条，对应12个罐的成对边界；需先核对V3约10类逻辑实体罐的映射。</w:t>
      </w:r>
    </w:p>
    <w:p>
      <w:r>
        <w:t>装置类306条中包含202条报表实绩与其他固定数据。现有15个装置下限、2个装置上限不能等同15个完整上下限规则。分原油加工量和配方基线合计60条、常减压收率10条、侧线性质60条均需按模板语义与实体槽位核对，不以当前基础数据记录数抵扣。</w:t>
      </w:r>
    </w:p>
    <w:p>
      <w:r>
        <w:t>停工类标题100与11子类×10的110、流程类子项约120与标题100、调度经验类约数合计高于100等差异，按技能说明保留，不机械凑数。罐区按约10类逻辑实体；无实际产品或装置证据的航煤、聚酯、纺丝等链条须先确认适用性，不补造规则。</w:t>
      </w:r>
    </w:p>
    <w:p>
      <w:r>
        <w:t>补缺顺序建议：先处理重复ID、流股别名和统计清单；补齐13个装置的负荷上限并核查固定值与约束值；随后完善原油罐操作、调合组分流量和物料平衡；再按现场资料补充产品产量、停复工、流程协同和调度经验规则。</w:t>
      </w:r>
    </w:p>
    <w:p>
      <w:pPr>
        <w:pStyle w:val="4"/>
      </w:pPr>
      <w:r>
        <w:t>参考依据</w:t>
      </w:r>
    </w:p>
    <w:p>
      <w:r>
        <w:t>1. extract_result/2026.9.23目录下15个规则JSON；统计时未修改源文件。</w:t>
      </w:r>
    </w:p>
    <w:p>
      <w:r>
        <w:t>2. PetroRule SKILL.md：八大类范围、表格优先、实体粒度、数量不凑数和审计要求。</w:t>
      </w:r>
    </w:p>
    <w:p>
      <w:r>
        <w:t>3. references/知识规则模版.md：69个模板子类；本报告按V3排除其中2项。</w:t>
      </w:r>
    </w:p>
    <w:p>
      <w:r>
        <w:t>4. references/规则数26-V3(1).docx、调度专项符号统一说明-V1.docx，以及config/rule_count_baseline_v3.json：范围、符号与数量基线。</w:t>
      </w:r>
    </w:p>
    <w:sectPr>
      <w:footerReference r:id="rId5" w:type="default"/>
      <w:pgSz w:w="11906" w:h="16838"/>
      <w:pgMar w:top="1020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9A65348"/>
    <w:rsid w:val="F37F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Arial" w:hAnsi="Arial" w:eastAsia="Songti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20"/>
      <w:outlineLvl w:val="0"/>
    </w:pPr>
    <w:rPr>
      <w:rFonts w:ascii="Arial" w:hAnsi="Arial" w:eastAsia="Songti SC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outlineLvl w:val="1"/>
    </w:pPr>
    <w:rPr>
      <w:rFonts w:ascii="Arial" w:hAnsi="Arial" w:eastAsia="Songti SC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Arial" w:hAnsi="Arial" w:eastAsia="Songti SC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Songti SC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Songti SC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Songti SC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Songti SC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Songti SC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Songti SC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Songti SC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Songti SC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Songti SC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Songti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="Songti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Songti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Songti SC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Songti SC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Songti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Songti SC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eastAsia="Songti SC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Songti SC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Songti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Songti SC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Songti SC"/>
    </w:rPr>
  </w:style>
  <w:style w:type="paragraph" w:styleId="26">
    <w:name w:val="Subtitle"/>
    <w:basedOn w:val="1"/>
    <w:next w:val="1"/>
    <w:link w:val="142"/>
    <w:qFormat/>
    <w:uiPriority w:val="11"/>
    <w:rPr>
      <w:rFonts w:eastAsia="Songti SC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eastAsia="Songti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Songti SC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eastAsia="Songti SC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Songti SC"/>
    </w:rPr>
  </w:style>
  <w:style w:type="paragraph" w:styleId="31">
    <w:name w:val="Title"/>
    <w:basedOn w:val="1"/>
    <w:next w:val="1"/>
    <w:link w:val="141"/>
    <w:qFormat/>
    <w:uiPriority w:val="10"/>
    <w:pPr>
      <w:spacing w:before="180" w:after="120" w:line="240" w:lineRule="auto"/>
      <w:contextualSpacing/>
    </w:pPr>
    <w:rPr>
      <w:rFonts w:ascii="Arial" w:hAnsi="Arial" w:eastAsia="Songti SC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Songti SC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Songti SC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Songti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eastAsia="Songti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Songti SC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汐落</cp:lastModifiedBy>
  <dcterms:modified xsi:type="dcterms:W3CDTF">2026-09-23T21:49:49Z</dcterms:modified>
  <dc:subject>2026.9.23规则目录统计与PetroRule子类覆盖核对</dc:subject>
  <dc:title>知识规则本周工作与缺失统计报告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08AEA3CA8F81BBFAAABEB36A78F3EBC4_42</vt:lpwstr>
  </property>
</Properties>
</file>