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5DE088">
      <w:pPr>
        <w:widowControl/>
        <w:jc w:val="center"/>
        <w:rPr>
          <w:rFonts w:hint="eastAsia" w:ascii="宋体" w:hAnsi="宋体" w:eastAsia="宋体" w:cs="宋体"/>
          <w:b/>
          <w:bCs/>
          <w:kern w:val="0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kern w:val="0"/>
          <w:sz w:val="36"/>
          <w:szCs w:val="36"/>
        </w:rPr>
        <w:t>课题4质量标准、工艺规范、流程特征、操作规程、调度经验规则规模预估（≥400条）</w:t>
      </w:r>
    </w:p>
    <w:p w14:paraId="29BCBC17">
      <w:pPr>
        <w:widowControl/>
        <w:numPr>
          <w:ilvl w:val="0"/>
          <w:numId w:val="2"/>
        </w:numPr>
        <w:jc w:val="left"/>
        <w:rPr>
          <w:rFonts w:hint="eastAsia" w:ascii="宋体" w:hAnsi="宋体" w:eastAsia="宋体" w:cs="宋体"/>
          <w:b/>
          <w:bCs/>
          <w:kern w:val="0"/>
          <w:sz w:val="28"/>
          <w:szCs w:val="28"/>
        </w:rPr>
      </w:pPr>
      <w:commentRangeStart w:id="0"/>
      <w:r>
        <w:rPr>
          <w:rFonts w:hint="eastAsia" w:ascii="宋体" w:hAnsi="宋体" w:eastAsia="宋体" w:cs="宋体"/>
          <w:b/>
          <w:bCs/>
          <w:kern w:val="0"/>
          <w:sz w:val="28"/>
          <w:szCs w:val="28"/>
        </w:rPr>
        <w:t>质量标准规则</w:t>
      </w:r>
      <w:commentRangeEnd w:id="0"/>
      <w:r>
        <w:rPr>
          <w:rStyle w:val="9"/>
          <w:rFonts w:hint="eastAsia" w:ascii="宋体" w:hAnsi="宋体" w:eastAsia="宋体" w:cs="宋体"/>
          <w:b/>
          <w:bCs/>
          <w:kern w:val="0"/>
          <w:sz w:val="28"/>
          <w:szCs w:val="28"/>
        </w:rPr>
        <w:commentReference w:id="0"/>
      </w:r>
      <w:r>
        <w:rPr>
          <w:rFonts w:hint="eastAsia" w:ascii="宋体" w:hAnsi="宋体" w:eastAsia="宋体" w:cs="宋体"/>
          <w:b/>
          <w:bCs/>
          <w:kern w:val="0"/>
          <w:sz w:val="28"/>
          <w:szCs w:val="28"/>
        </w:rPr>
        <w:t>（≥40条）马</w:t>
      </w:r>
    </w:p>
    <w:p w14:paraId="72D000F2">
      <w:pPr>
        <w:widowControl/>
        <w:numPr>
          <w:ilvl w:val="0"/>
          <w:numId w:val="3"/>
        </w:numPr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原油质量标准（约5条）</w:t>
      </w:r>
    </w:p>
    <w:p w14:paraId="744C8F33">
      <w:pPr>
        <w:widowControl/>
        <w:numPr>
          <w:ilvl w:val="0"/>
          <w:numId w:val="3"/>
        </w:numPr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</w:rPr>
        <w:t>常压装置中间物料质量标准（约5-10条）</w:t>
      </w:r>
    </w:p>
    <w:p w14:paraId="3154AD04">
      <w:pPr>
        <w:widowControl/>
        <w:numPr>
          <w:ilvl w:val="0"/>
          <w:numId w:val="3"/>
        </w:numPr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</w:rPr>
        <w:t>航煤燃料质量标准（约5-10条）</w:t>
      </w:r>
    </w:p>
    <w:p w14:paraId="78FF10E3">
      <w:pPr>
        <w:widowControl/>
        <w:numPr>
          <w:ilvl w:val="0"/>
          <w:numId w:val="3"/>
        </w:numPr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</w:rPr>
        <w:t>汽油质量标准</w:t>
      </w:r>
      <w:r>
        <w:rPr>
          <w:rFonts w:hint="eastAsia" w:ascii="宋体" w:hAnsi="宋体" w:eastAsia="宋体" w:cs="宋体"/>
          <w:kern w:val="0"/>
          <w:sz w:val="28"/>
          <w:szCs w:val="28"/>
        </w:rPr>
        <w:t>（</w:t>
      </w:r>
      <w:r>
        <w:rPr>
          <w:rFonts w:ascii="宋体" w:hAnsi="宋体" w:eastAsia="宋体" w:cs="宋体"/>
          <w:kern w:val="0"/>
          <w:sz w:val="28"/>
          <w:szCs w:val="28"/>
        </w:rPr>
        <w:t>约5条</w:t>
      </w:r>
      <w:r>
        <w:rPr>
          <w:rFonts w:hint="eastAsia" w:ascii="宋体" w:hAnsi="宋体" w:eastAsia="宋体" w:cs="宋体"/>
          <w:kern w:val="0"/>
          <w:sz w:val="28"/>
          <w:szCs w:val="28"/>
        </w:rPr>
        <w:t>）</w:t>
      </w:r>
    </w:p>
    <w:p w14:paraId="0017778C">
      <w:pPr>
        <w:widowControl/>
        <w:numPr>
          <w:ilvl w:val="0"/>
          <w:numId w:val="3"/>
        </w:numPr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</w:rPr>
        <w:t>柴油质量标准（约5条）</w:t>
      </w:r>
    </w:p>
    <w:p w14:paraId="4E09F8C7">
      <w:pPr>
        <w:widowControl/>
        <w:numPr>
          <w:ilvl w:val="0"/>
          <w:numId w:val="3"/>
        </w:numPr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</w:rPr>
        <w:t>气体及化工产品质量标准（约10条）</w:t>
      </w:r>
    </w:p>
    <w:p w14:paraId="24091BF6">
      <w:pPr>
        <w:widowControl/>
        <w:numPr>
          <w:ilvl w:val="0"/>
          <w:numId w:val="3"/>
        </w:numPr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</w:rPr>
        <w:t>化工辅料（化料纤）质量标准（约10条）</w:t>
      </w:r>
    </w:p>
    <w:p w14:paraId="51F4DAD4">
      <w:pPr>
        <w:widowControl/>
        <w:numPr>
          <w:ilvl w:val="0"/>
          <w:numId w:val="3"/>
        </w:numPr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</w:rPr>
        <w:t>乙烯质量标准（约</w:t>
      </w:r>
      <w:r>
        <w:rPr>
          <w:rFonts w:hint="eastAsia" w:ascii="宋体" w:hAnsi="宋体" w:eastAsia="宋体" w:cs="宋体"/>
          <w:kern w:val="0"/>
          <w:sz w:val="28"/>
          <w:szCs w:val="28"/>
        </w:rPr>
        <w:t>5</w:t>
      </w:r>
      <w:r>
        <w:rPr>
          <w:rFonts w:ascii="宋体" w:hAnsi="宋体" w:eastAsia="宋体" w:cs="宋体"/>
          <w:kern w:val="0"/>
          <w:sz w:val="28"/>
          <w:szCs w:val="28"/>
        </w:rPr>
        <w:t>条）</w:t>
      </w:r>
    </w:p>
    <w:p w14:paraId="104E890F">
      <w:pPr>
        <w:widowControl/>
        <w:numPr>
          <w:ilvl w:val="0"/>
          <w:numId w:val="3"/>
        </w:numPr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</w:rPr>
        <w:t>丙烯质量标准（约</w:t>
      </w:r>
      <w:r>
        <w:rPr>
          <w:rFonts w:hint="eastAsia" w:ascii="宋体" w:hAnsi="宋体" w:eastAsia="宋体" w:cs="宋体"/>
          <w:kern w:val="0"/>
          <w:sz w:val="28"/>
          <w:szCs w:val="28"/>
        </w:rPr>
        <w:t>5</w:t>
      </w:r>
      <w:r>
        <w:rPr>
          <w:rFonts w:ascii="宋体" w:hAnsi="宋体" w:eastAsia="宋体" w:cs="宋体"/>
          <w:kern w:val="0"/>
          <w:sz w:val="28"/>
          <w:szCs w:val="28"/>
        </w:rPr>
        <w:t>条）</w:t>
      </w:r>
    </w:p>
    <w:p w14:paraId="3C0069EA">
      <w:pPr>
        <w:widowControl/>
        <w:numPr>
          <w:ilvl w:val="0"/>
          <w:numId w:val="3"/>
        </w:numPr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</w:rPr>
        <w:t>聚乙烯质量标准（约</w:t>
      </w:r>
      <w:r>
        <w:rPr>
          <w:rFonts w:hint="eastAsia" w:ascii="宋体" w:hAnsi="宋体" w:eastAsia="宋体" w:cs="宋体"/>
          <w:kern w:val="0"/>
          <w:sz w:val="28"/>
          <w:szCs w:val="28"/>
        </w:rPr>
        <w:t>5</w:t>
      </w:r>
      <w:r>
        <w:rPr>
          <w:rFonts w:ascii="宋体" w:hAnsi="宋体" w:eastAsia="宋体" w:cs="宋体"/>
          <w:kern w:val="0"/>
          <w:sz w:val="28"/>
          <w:szCs w:val="28"/>
        </w:rPr>
        <w:t>条）</w:t>
      </w:r>
    </w:p>
    <w:p w14:paraId="547645E4">
      <w:pPr>
        <w:widowControl/>
        <w:numPr>
          <w:ilvl w:val="0"/>
          <w:numId w:val="3"/>
        </w:numPr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聚酯切片质量标准</w:t>
      </w:r>
      <w:r>
        <w:rPr>
          <w:rFonts w:ascii="宋体" w:hAnsi="宋体" w:eastAsia="宋体" w:cs="宋体"/>
          <w:kern w:val="0"/>
          <w:sz w:val="28"/>
          <w:szCs w:val="28"/>
        </w:rPr>
        <w:t>（约</w:t>
      </w:r>
      <w:r>
        <w:rPr>
          <w:rFonts w:hint="eastAsia" w:ascii="宋体" w:hAnsi="宋体" w:eastAsia="宋体" w:cs="宋体"/>
          <w:kern w:val="0"/>
          <w:sz w:val="28"/>
          <w:szCs w:val="28"/>
        </w:rPr>
        <w:t>5</w:t>
      </w:r>
      <w:r>
        <w:rPr>
          <w:rFonts w:ascii="宋体" w:hAnsi="宋体" w:eastAsia="宋体" w:cs="宋体"/>
          <w:kern w:val="0"/>
          <w:sz w:val="28"/>
          <w:szCs w:val="28"/>
        </w:rPr>
        <w:t>条）</w:t>
      </w:r>
    </w:p>
    <w:p w14:paraId="40A70949">
      <w:pPr>
        <w:widowControl/>
        <w:numPr>
          <w:ilvl w:val="0"/>
          <w:numId w:val="3"/>
        </w:numPr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</w:rPr>
        <w:t>涤纶长丝质量标准（约</w:t>
      </w:r>
      <w:r>
        <w:rPr>
          <w:rFonts w:hint="eastAsia" w:ascii="宋体" w:hAnsi="宋体" w:eastAsia="宋体" w:cs="宋体"/>
          <w:kern w:val="0"/>
          <w:sz w:val="28"/>
          <w:szCs w:val="28"/>
        </w:rPr>
        <w:t>5</w:t>
      </w:r>
      <w:r>
        <w:rPr>
          <w:rFonts w:ascii="宋体" w:hAnsi="宋体" w:eastAsia="宋体" w:cs="宋体"/>
          <w:kern w:val="0"/>
          <w:sz w:val="28"/>
          <w:szCs w:val="28"/>
        </w:rPr>
        <w:t>条）</w:t>
      </w:r>
    </w:p>
    <w:p w14:paraId="3CFA17C2">
      <w:pPr>
        <w:widowControl/>
        <w:numPr>
          <w:ilvl w:val="0"/>
          <w:numId w:val="3"/>
        </w:numPr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</w:rPr>
        <w:t>涤纶短纤质量标准（约</w:t>
      </w:r>
      <w:r>
        <w:rPr>
          <w:rFonts w:hint="eastAsia" w:ascii="宋体" w:hAnsi="宋体" w:eastAsia="宋体" w:cs="宋体"/>
          <w:kern w:val="0"/>
          <w:sz w:val="28"/>
          <w:szCs w:val="28"/>
        </w:rPr>
        <w:t>5</w:t>
      </w:r>
      <w:r>
        <w:rPr>
          <w:rFonts w:ascii="宋体" w:hAnsi="宋体" w:eastAsia="宋体" w:cs="宋体"/>
          <w:kern w:val="0"/>
          <w:sz w:val="28"/>
          <w:szCs w:val="28"/>
        </w:rPr>
        <w:t>条）</w:t>
      </w:r>
    </w:p>
    <w:p w14:paraId="554492F0">
      <w:pPr>
        <w:widowControl/>
        <w:numPr>
          <w:ilvl w:val="0"/>
          <w:numId w:val="3"/>
        </w:numPr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</w:rPr>
        <w:t>质量管控通用规则（约5条）</w:t>
      </w:r>
    </w:p>
    <w:p w14:paraId="748F4D5C">
      <w:pPr>
        <w:widowControl/>
        <w:numPr>
          <w:ilvl w:val="0"/>
          <w:numId w:val="2"/>
        </w:numPr>
        <w:jc w:val="left"/>
        <w:rPr>
          <w:rFonts w:ascii="宋体" w:hAnsi="宋体" w:eastAsia="宋体" w:cs="宋体"/>
          <w:b/>
          <w:bCs/>
          <w:kern w:val="0"/>
          <w:sz w:val="28"/>
          <w:szCs w:val="28"/>
        </w:rPr>
      </w:pPr>
      <w:commentRangeStart w:id="1"/>
      <w:r>
        <w:rPr>
          <w:rFonts w:hint="eastAsia" w:ascii="宋体" w:hAnsi="宋体" w:eastAsia="宋体" w:cs="宋体"/>
          <w:b/>
          <w:bCs/>
          <w:kern w:val="0"/>
          <w:sz w:val="28"/>
          <w:szCs w:val="28"/>
        </w:rPr>
        <w:t>工艺规范规则</w:t>
      </w:r>
      <w:commentRangeEnd w:id="1"/>
      <w:r>
        <w:rPr>
          <w:rStyle w:val="9"/>
          <w:rFonts w:hint="eastAsia" w:ascii="宋体" w:hAnsi="宋体" w:eastAsia="宋体" w:cs="宋体"/>
          <w:b/>
          <w:bCs/>
          <w:kern w:val="0"/>
          <w:sz w:val="28"/>
          <w:szCs w:val="28"/>
        </w:rPr>
        <w:commentReference w:id="1"/>
      </w:r>
      <w:r>
        <w:rPr>
          <w:rFonts w:hint="eastAsia" w:ascii="宋体" w:hAnsi="宋体" w:eastAsia="宋体" w:cs="宋体"/>
          <w:b/>
          <w:bCs/>
          <w:kern w:val="0"/>
          <w:sz w:val="28"/>
          <w:szCs w:val="28"/>
        </w:rPr>
        <w:t>（≥80条）张</w:t>
      </w:r>
    </w:p>
    <w:p w14:paraId="1EFF51BA">
      <w:pPr>
        <w:widowControl/>
        <w:jc w:val="left"/>
        <w:rPr>
          <w:rFonts w:ascii="宋体" w:hAnsi="宋体" w:eastAsia="宋体" w:cs="宋体"/>
          <w:b/>
          <w:bCs/>
          <w:kern w:val="0"/>
          <w:sz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</w:rPr>
        <w:t>参考JSON格式：</w:t>
      </w:r>
    </w:p>
    <w:p w14:paraId="69364141">
      <w:pPr>
        <w:widowControl/>
        <w:jc w:val="left"/>
        <w:rPr>
          <w:rFonts w:hint="eastAsia"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【rule_id】：序号</w:t>
      </w:r>
    </w:p>
    <w:p w14:paraId="61723773">
      <w:pPr>
        <w:widowControl/>
        <w:jc w:val="left"/>
        <w:rPr>
          <w:rFonts w:hint="eastAsia"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【rule_name】：简要描述规则内容</w:t>
      </w:r>
    </w:p>
    <w:p w14:paraId="75C612A3">
      <w:pPr>
        <w:widowControl/>
        <w:jc w:val="left"/>
        <w:rPr>
          <w:rFonts w:hint="eastAsia"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【knowledge_type】：“工艺规范类/流程特征类”</w:t>
      </w:r>
    </w:p>
    <w:p w14:paraId="4AC5EB94">
      <w:pPr>
        <w:widowControl/>
        <w:jc w:val="left"/>
        <w:rPr>
          <w:rFonts w:hint="eastAsia"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【sub_type】：如“变负荷约束规则”</w:t>
      </w:r>
    </w:p>
    <w:p w14:paraId="25EB6A0E">
      <w:pPr>
        <w:widowControl/>
        <w:jc w:val="left"/>
        <w:rPr>
          <w:rFonts w:hint="eastAsia"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【applicable_scope】：适用的装置、工序或场景</w:t>
      </w:r>
    </w:p>
    <w:p w14:paraId="53505408">
      <w:pPr>
        <w:widowControl/>
        <w:jc w:val="left"/>
        <w:rPr>
          <w:rFonts w:hint="eastAsia"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【rule_content】：具体的约束、逻辑或参数范围</w:t>
      </w:r>
    </w:p>
    <w:p w14:paraId="4BB4928B">
      <w:pPr>
        <w:widowControl/>
        <w:jc w:val="left"/>
        <w:rPr>
          <w:rFonts w:hint="eastAsia"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【source】：来源于哪个文档、标准或经验</w:t>
      </w:r>
    </w:p>
    <w:p w14:paraId="23D38097">
      <w:pPr>
        <w:widowControl/>
        <w:jc w:val="left"/>
        <w:rPr>
          <w:rFonts w:hint="eastAsia" w:ascii="宋体" w:hAnsi="宋体" w:eastAsia="宋体" w:cs="宋体"/>
          <w:b/>
          <w:bCs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</w:rPr>
        <w:t>具体示例见：知识规则格式参考.json</w:t>
      </w:r>
    </w:p>
    <w:p w14:paraId="5AF4A2C9">
      <w:pPr>
        <w:pStyle w:val="12"/>
        <w:widowControl/>
        <w:numPr>
          <w:ilvl w:val="0"/>
          <w:numId w:val="4"/>
        </w:numPr>
        <w:tabs>
          <w:tab w:val="left" w:pos="312"/>
        </w:tabs>
        <w:ind w:firstLineChars="0"/>
        <w:jc w:val="left"/>
        <w:rPr>
          <w:rFonts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变负荷约束规则（约10条）</w:t>
      </w:r>
    </w:p>
    <w:p w14:paraId="784912B4">
      <w:pPr>
        <w:pStyle w:val="12"/>
        <w:widowControl/>
        <w:tabs>
          <w:tab w:val="left" w:pos="312"/>
        </w:tabs>
        <w:ind w:firstLine="0" w:firstLineChars="0"/>
        <w:jc w:val="left"/>
        <w:rPr>
          <w:rFonts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</w:rPr>
        <w:t>内容：</w:t>
      </w:r>
      <w:r>
        <w:rPr>
          <w:rFonts w:hint="eastAsia" w:ascii="宋体" w:hAnsi="宋体" w:eastAsia="宋体" w:cs="宋体"/>
          <w:kern w:val="0"/>
          <w:sz w:val="28"/>
          <w:szCs w:val="28"/>
        </w:rPr>
        <w:t>全厂所有主要生产装置（常压、催化、加氢、重整等）在调整处理量时的速率限制、台阶式调整要求、负荷调整对关键参数（如温度、压力）的耦合影响限制。</w:t>
      </w:r>
    </w:p>
    <w:p w14:paraId="3C52105C">
      <w:pPr>
        <w:pStyle w:val="12"/>
        <w:widowControl/>
        <w:tabs>
          <w:tab w:val="left" w:pos="312"/>
        </w:tabs>
        <w:ind w:firstLine="0" w:firstLineChars="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</w:rPr>
        <w:t>示例：</w:t>
      </w:r>
      <w:r>
        <w:rPr>
          <w:rFonts w:ascii="宋体" w:hAnsi="宋体" w:eastAsia="宋体" w:cs="宋体"/>
          <w:kern w:val="0"/>
          <w:sz w:val="28"/>
          <w:szCs w:val="28"/>
        </w:rPr>
        <w:t>常压装置变负荷速率≤3%/h</w:t>
      </w:r>
      <w:r>
        <w:rPr>
          <w:rFonts w:hint="eastAsia" w:ascii="宋体" w:hAnsi="宋体" w:eastAsia="宋体" w:cs="宋体"/>
          <w:kern w:val="0"/>
          <w:sz w:val="28"/>
          <w:szCs w:val="28"/>
        </w:rPr>
        <w:t>。</w:t>
      </w:r>
    </w:p>
    <w:p w14:paraId="2D137F12">
      <w:pPr>
        <w:pStyle w:val="12"/>
        <w:widowControl/>
        <w:numPr>
          <w:ilvl w:val="0"/>
          <w:numId w:val="4"/>
        </w:numPr>
        <w:tabs>
          <w:tab w:val="left" w:pos="312"/>
        </w:tabs>
        <w:ind w:firstLineChars="0"/>
        <w:jc w:val="left"/>
        <w:rPr>
          <w:rFonts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切油种规则（约5条）</w:t>
      </w:r>
    </w:p>
    <w:p w14:paraId="3B88B77A">
      <w:pPr>
        <w:pStyle w:val="12"/>
        <w:widowControl/>
        <w:tabs>
          <w:tab w:val="left" w:pos="312"/>
        </w:tabs>
        <w:ind w:firstLine="0" w:firstLineChars="0"/>
        <w:jc w:val="left"/>
        <w:rPr>
          <w:rFonts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</w:rPr>
        <w:t>内容：</w:t>
      </w:r>
      <w:r>
        <w:rPr>
          <w:rFonts w:ascii="宋体" w:hAnsi="宋体" w:eastAsia="宋体" w:cs="宋体"/>
          <w:kern w:val="0"/>
          <w:sz w:val="28"/>
          <w:szCs w:val="28"/>
        </w:rPr>
        <w:t>切换原油/原料油时的预热、置换、温度梯度调整、参数重新设定规则</w:t>
      </w:r>
      <w:r>
        <w:rPr>
          <w:rFonts w:hint="eastAsia" w:ascii="宋体" w:hAnsi="宋体" w:eastAsia="宋体" w:cs="宋体"/>
          <w:kern w:val="0"/>
          <w:sz w:val="28"/>
          <w:szCs w:val="28"/>
        </w:rPr>
        <w:t>。</w:t>
      </w:r>
    </w:p>
    <w:p w14:paraId="38308DB6">
      <w:pPr>
        <w:pStyle w:val="12"/>
        <w:widowControl/>
        <w:tabs>
          <w:tab w:val="left" w:pos="312"/>
        </w:tabs>
        <w:ind w:firstLine="0" w:firstLineChars="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</w:rPr>
        <w:t>示例：</w:t>
      </w:r>
      <w:r>
        <w:rPr>
          <w:rFonts w:hint="eastAsia" w:ascii="宋体" w:hAnsi="宋体" w:eastAsia="宋体" w:cs="宋体"/>
          <w:kern w:val="0"/>
          <w:sz w:val="28"/>
          <w:szCs w:val="28"/>
        </w:rPr>
        <w:t>常减压装置从轻质油切换至重质油时，需提前2小时降低处理量并调整电脱盐注水量。</w:t>
      </w:r>
    </w:p>
    <w:p w14:paraId="11167200">
      <w:pPr>
        <w:pStyle w:val="12"/>
        <w:widowControl/>
        <w:numPr>
          <w:ilvl w:val="0"/>
          <w:numId w:val="4"/>
        </w:numPr>
        <w:tabs>
          <w:tab w:val="left" w:pos="312"/>
        </w:tabs>
        <w:ind w:firstLineChars="0"/>
        <w:jc w:val="left"/>
        <w:rPr>
          <w:rFonts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常压装置负荷与运行模式规则（约10条）</w:t>
      </w:r>
    </w:p>
    <w:p w14:paraId="60E8F847">
      <w:pPr>
        <w:pStyle w:val="12"/>
        <w:widowControl/>
        <w:tabs>
          <w:tab w:val="left" w:pos="312"/>
        </w:tabs>
        <w:ind w:firstLine="0" w:firstLineChars="0"/>
        <w:jc w:val="left"/>
        <w:rPr>
          <w:rFonts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</w:rPr>
        <w:t>内容：</w:t>
      </w:r>
      <w:r>
        <w:rPr>
          <w:rFonts w:hint="eastAsia" w:ascii="宋体" w:hAnsi="宋体" w:eastAsia="宋体" w:cs="宋体"/>
          <w:kern w:val="0"/>
          <w:sz w:val="28"/>
          <w:szCs w:val="28"/>
        </w:rPr>
        <w:t>常减压装置在不同负荷下的循环模式（如大循环/小循环）、侧线抽出策略、电脱盐及初馏塔的运行切换逻辑。</w:t>
      </w:r>
    </w:p>
    <w:p w14:paraId="094F2EC0">
      <w:pPr>
        <w:pStyle w:val="12"/>
        <w:widowControl/>
        <w:tabs>
          <w:tab w:val="left" w:pos="312"/>
        </w:tabs>
        <w:ind w:firstLine="0" w:firstLineChars="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</w:rPr>
        <w:t>示例：</w:t>
      </w:r>
      <w:r>
        <w:rPr>
          <w:rFonts w:hint="eastAsia" w:ascii="宋体" w:hAnsi="宋体" w:eastAsia="宋体" w:cs="宋体"/>
          <w:kern w:val="0"/>
          <w:sz w:val="28"/>
          <w:szCs w:val="28"/>
        </w:rPr>
        <w:t>装置负荷低于60%时，必须开启塔底大循环流程以保持塔内流体力学稳定。</w:t>
      </w:r>
    </w:p>
    <w:p w14:paraId="3CD022D2">
      <w:pPr>
        <w:pStyle w:val="12"/>
        <w:widowControl/>
        <w:numPr>
          <w:ilvl w:val="0"/>
          <w:numId w:val="4"/>
        </w:numPr>
        <w:tabs>
          <w:tab w:val="left" w:pos="312"/>
        </w:tabs>
        <w:ind w:firstLineChars="0"/>
        <w:jc w:val="left"/>
        <w:rPr>
          <w:rFonts w:ascii="宋体" w:hAnsi="宋体" w:eastAsia="宋体" w:cs="宋体"/>
          <w:kern w:val="0"/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</w:rPr>
        <w:t>催化装置</w:t>
      </w:r>
      <w:r>
        <w:rPr>
          <w:rFonts w:hint="eastAsia" w:ascii="宋体" w:hAnsi="宋体" w:eastAsia="宋体" w:cs="宋体"/>
          <w:kern w:val="0"/>
          <w:sz w:val="28"/>
          <w:szCs w:val="28"/>
        </w:rPr>
        <w:t>负荷与运行模式规则（约10条）</w:t>
      </w:r>
    </w:p>
    <w:p w14:paraId="7DC44FB9">
      <w:pPr>
        <w:pStyle w:val="12"/>
        <w:widowControl/>
        <w:tabs>
          <w:tab w:val="left" w:pos="312"/>
        </w:tabs>
        <w:ind w:firstLine="0" w:firstLineChars="0"/>
        <w:jc w:val="left"/>
        <w:rPr>
          <w:rFonts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</w:rPr>
        <w:t>内容：</w:t>
      </w:r>
      <w:r>
        <w:rPr>
          <w:rFonts w:hint="eastAsia" w:ascii="宋体" w:hAnsi="宋体" w:eastAsia="宋体" w:cs="宋体"/>
          <w:kern w:val="0"/>
          <w:sz w:val="28"/>
          <w:szCs w:val="28"/>
        </w:rPr>
        <w:t>反应-再生系统的压力平衡约束、主风量与进料量的匹配逻辑、不同催化剂活性的操作模式调整。</w:t>
      </w:r>
    </w:p>
    <w:p w14:paraId="1C173798">
      <w:pPr>
        <w:pStyle w:val="12"/>
        <w:widowControl/>
        <w:tabs>
          <w:tab w:val="left" w:pos="312"/>
        </w:tabs>
        <w:ind w:firstLine="0" w:firstLineChars="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</w:rPr>
        <w:t>示例：</w:t>
      </w:r>
      <w:r>
        <w:rPr>
          <w:rFonts w:hint="eastAsia" w:ascii="宋体" w:hAnsi="宋体" w:eastAsia="宋体" w:cs="宋体"/>
          <w:kern w:val="0"/>
          <w:sz w:val="28"/>
          <w:szCs w:val="28"/>
        </w:rPr>
        <w:t>催化装置负荷率在80%-105%时，剂油比控制在6.5-8.0，再生器密相温度680-710℃，主风量与负荷保持线性关系。</w:t>
      </w:r>
    </w:p>
    <w:p w14:paraId="484E76F3">
      <w:pPr>
        <w:pStyle w:val="12"/>
        <w:widowControl/>
        <w:numPr>
          <w:ilvl w:val="0"/>
          <w:numId w:val="4"/>
        </w:numPr>
        <w:tabs>
          <w:tab w:val="left" w:pos="312"/>
        </w:tabs>
        <w:ind w:firstLineChars="0"/>
        <w:jc w:val="left"/>
        <w:rPr>
          <w:rFonts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加氢装置负荷与运行模式规则（约10条）</w:t>
      </w:r>
    </w:p>
    <w:p w14:paraId="27841056">
      <w:pPr>
        <w:pStyle w:val="12"/>
        <w:widowControl/>
        <w:tabs>
          <w:tab w:val="left" w:pos="312"/>
        </w:tabs>
        <w:ind w:firstLine="0" w:firstLineChars="0"/>
        <w:jc w:val="left"/>
        <w:rPr>
          <w:rFonts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</w:rPr>
        <w:t>内容：</w:t>
      </w:r>
      <w:r>
        <w:rPr>
          <w:rFonts w:ascii="宋体" w:hAnsi="宋体" w:eastAsia="宋体" w:cs="宋体"/>
          <w:kern w:val="0"/>
          <w:sz w:val="28"/>
          <w:szCs w:val="28"/>
        </w:rPr>
        <w:t>不同负荷区间下的反应温度控制</w:t>
      </w:r>
      <w:r>
        <w:rPr>
          <w:rFonts w:hint="eastAsia" w:ascii="宋体" w:hAnsi="宋体" w:eastAsia="宋体" w:cs="宋体"/>
          <w:kern w:val="0"/>
          <w:sz w:val="28"/>
          <w:szCs w:val="28"/>
        </w:rPr>
        <w:t>、</w:t>
      </w:r>
      <w:r>
        <w:rPr>
          <w:rFonts w:ascii="宋体" w:hAnsi="宋体" w:eastAsia="宋体" w:cs="宋体"/>
          <w:kern w:val="0"/>
          <w:sz w:val="28"/>
          <w:szCs w:val="28"/>
        </w:rPr>
        <w:t>氢油比调整规则、循环氢纯度下限、新氢补充量要求</w:t>
      </w:r>
      <w:r>
        <w:rPr>
          <w:rFonts w:hint="eastAsia" w:ascii="宋体" w:hAnsi="宋体" w:eastAsia="宋体" w:cs="宋体"/>
          <w:kern w:val="0"/>
          <w:sz w:val="28"/>
          <w:szCs w:val="28"/>
        </w:rPr>
        <w:t>等。</w:t>
      </w:r>
    </w:p>
    <w:p w14:paraId="3CD1A573">
      <w:pPr>
        <w:pStyle w:val="12"/>
        <w:widowControl/>
        <w:tabs>
          <w:tab w:val="left" w:pos="312"/>
        </w:tabs>
        <w:ind w:firstLine="0" w:firstLineChars="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</w:rPr>
        <w:t>示例：</w:t>
      </w:r>
      <w:r>
        <w:rPr>
          <w:rFonts w:hint="eastAsia" w:ascii="宋体" w:hAnsi="宋体" w:eastAsia="宋体" w:cs="宋体"/>
          <w:kern w:val="0"/>
          <w:sz w:val="28"/>
          <w:szCs w:val="28"/>
        </w:rPr>
        <w:t>加氢装置负荷率低于70%时，WABT控制在设计值以下5-10℃，氢油比提高至≥400 Nm³/m³，循环氢纯度≥85%。</w:t>
      </w:r>
    </w:p>
    <w:p w14:paraId="049972AF">
      <w:pPr>
        <w:pStyle w:val="12"/>
        <w:widowControl/>
        <w:numPr>
          <w:ilvl w:val="0"/>
          <w:numId w:val="4"/>
        </w:numPr>
        <w:tabs>
          <w:tab w:val="left" w:pos="312"/>
        </w:tabs>
        <w:ind w:firstLineChars="0"/>
        <w:jc w:val="left"/>
        <w:rPr>
          <w:rFonts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重整装置负荷与运行模式规则（约5条）</w:t>
      </w:r>
    </w:p>
    <w:p w14:paraId="5026C702">
      <w:pPr>
        <w:pStyle w:val="12"/>
        <w:widowControl/>
        <w:tabs>
          <w:tab w:val="left" w:pos="312"/>
        </w:tabs>
        <w:ind w:firstLine="0" w:firstLineChars="0"/>
        <w:jc w:val="left"/>
        <w:rPr>
          <w:rFonts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</w:rPr>
        <w:t>内容：</w:t>
      </w:r>
      <w:r>
        <w:rPr>
          <w:rFonts w:ascii="宋体" w:hAnsi="宋体" w:eastAsia="宋体" w:cs="宋体"/>
          <w:kern w:val="0"/>
          <w:sz w:val="28"/>
          <w:szCs w:val="28"/>
        </w:rPr>
        <w:t>不同负荷区间下的反应温度调整规则、催化剂循环速率与负荷的匹配关系、氢油比/氢烃比控制范围、C5+收率与负荷的关联</w:t>
      </w:r>
      <w:r>
        <w:rPr>
          <w:rFonts w:hint="eastAsia" w:ascii="宋体" w:hAnsi="宋体" w:eastAsia="宋体" w:cs="宋体"/>
          <w:kern w:val="0"/>
          <w:sz w:val="28"/>
          <w:szCs w:val="28"/>
        </w:rPr>
        <w:t>。</w:t>
      </w:r>
    </w:p>
    <w:p w14:paraId="4629509E">
      <w:pPr>
        <w:pStyle w:val="12"/>
        <w:widowControl/>
        <w:tabs>
          <w:tab w:val="left" w:pos="312"/>
        </w:tabs>
        <w:ind w:firstLine="0" w:firstLineChars="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</w:rPr>
        <w:t>示例：</w:t>
      </w:r>
      <w:r>
        <w:rPr>
          <w:rFonts w:hint="eastAsia" w:ascii="宋体" w:hAnsi="宋体" w:eastAsia="宋体" w:cs="宋体"/>
          <w:kern w:val="0"/>
          <w:sz w:val="28"/>
          <w:szCs w:val="28"/>
        </w:rPr>
        <w:t>重整装置负荷率在80%-105%时，WABT控制在520-535℃，氢烃比4-8 mol/mol，C5+收率≥85%。</w:t>
      </w:r>
    </w:p>
    <w:p w14:paraId="0265F0DC">
      <w:pPr>
        <w:pStyle w:val="12"/>
        <w:widowControl/>
        <w:numPr>
          <w:ilvl w:val="0"/>
          <w:numId w:val="4"/>
        </w:numPr>
        <w:tabs>
          <w:tab w:val="left" w:pos="312"/>
        </w:tabs>
        <w:ind w:firstLineChars="0"/>
        <w:jc w:val="left"/>
        <w:rPr>
          <w:rFonts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焦化装置负荷与运行模式规则（约5条）</w:t>
      </w:r>
    </w:p>
    <w:p w14:paraId="4BEAA7D1">
      <w:pPr>
        <w:pStyle w:val="12"/>
        <w:widowControl/>
        <w:tabs>
          <w:tab w:val="left" w:pos="312"/>
        </w:tabs>
        <w:ind w:firstLine="0" w:firstLineChars="0"/>
        <w:jc w:val="left"/>
        <w:rPr>
          <w:rFonts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</w:rPr>
        <w:t>内容：</w:t>
      </w:r>
      <w:r>
        <w:rPr>
          <w:rFonts w:ascii="宋体" w:hAnsi="宋体" w:eastAsia="宋体" w:cs="宋体"/>
          <w:kern w:val="0"/>
          <w:sz w:val="28"/>
          <w:szCs w:val="28"/>
        </w:rPr>
        <w:t>焦炭塔生焦周期与负荷的匹配关系、加热炉出口温度控制、大吹汽/小吹汽切换规则、除焦操作与负荷的协调、焦炭塔切换时序约束</w:t>
      </w:r>
      <w:r>
        <w:rPr>
          <w:rFonts w:hint="eastAsia" w:ascii="宋体" w:hAnsi="宋体" w:eastAsia="宋体" w:cs="宋体"/>
          <w:kern w:val="0"/>
          <w:sz w:val="28"/>
          <w:szCs w:val="28"/>
        </w:rPr>
        <w:t>。</w:t>
      </w:r>
    </w:p>
    <w:p w14:paraId="3FB15F0B">
      <w:pPr>
        <w:pStyle w:val="12"/>
        <w:widowControl/>
        <w:tabs>
          <w:tab w:val="left" w:pos="312"/>
        </w:tabs>
        <w:ind w:firstLine="0" w:firstLineChars="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</w:rPr>
        <w:t>示例：</w:t>
      </w:r>
      <w:r>
        <w:rPr>
          <w:rFonts w:hint="eastAsia" w:ascii="宋体" w:hAnsi="宋体" w:eastAsia="宋体" w:cs="宋体"/>
          <w:kern w:val="0"/>
          <w:sz w:val="28"/>
          <w:szCs w:val="28"/>
        </w:rPr>
        <w:t>焦化装置负荷率在80%-100%时，生焦周期控制在18-24小时，加热炉出口温度495-505℃。</w:t>
      </w:r>
    </w:p>
    <w:p w14:paraId="697C6508">
      <w:pPr>
        <w:pStyle w:val="12"/>
        <w:widowControl/>
        <w:numPr>
          <w:ilvl w:val="0"/>
          <w:numId w:val="4"/>
        </w:numPr>
        <w:tabs>
          <w:tab w:val="left" w:pos="312"/>
        </w:tabs>
        <w:ind w:firstLineChars="0"/>
        <w:jc w:val="left"/>
        <w:rPr>
          <w:rFonts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乙烯裂解装置负荷与运行模式规则（约10条）</w:t>
      </w:r>
    </w:p>
    <w:p w14:paraId="35D8D3DD">
      <w:pPr>
        <w:pStyle w:val="12"/>
        <w:widowControl/>
        <w:tabs>
          <w:tab w:val="left" w:pos="312"/>
        </w:tabs>
        <w:ind w:firstLine="0" w:firstLineChars="0"/>
        <w:jc w:val="left"/>
        <w:rPr>
          <w:rFonts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</w:rPr>
        <w:t>内容：</w:t>
      </w:r>
      <w:r>
        <w:rPr>
          <w:rFonts w:ascii="宋体" w:hAnsi="宋体" w:eastAsia="宋体" w:cs="宋体"/>
          <w:kern w:val="0"/>
          <w:sz w:val="28"/>
          <w:szCs w:val="28"/>
        </w:rPr>
        <w:t>裂解炉出口温度（COT）与负荷的联动关系、稀释蒸汽/原料比控制范围、裂解炉运行周期与负荷的关联、不同原料（石脑油、乙烷、LPG）切换时的负荷调整规则</w:t>
      </w:r>
      <w:r>
        <w:rPr>
          <w:rFonts w:hint="eastAsia" w:ascii="宋体" w:hAnsi="宋体" w:eastAsia="宋体" w:cs="宋体"/>
          <w:kern w:val="0"/>
          <w:sz w:val="28"/>
          <w:szCs w:val="28"/>
        </w:rPr>
        <w:t>。</w:t>
      </w:r>
    </w:p>
    <w:p w14:paraId="7012ED96">
      <w:pPr>
        <w:pStyle w:val="12"/>
        <w:widowControl/>
        <w:tabs>
          <w:tab w:val="left" w:pos="312"/>
        </w:tabs>
        <w:ind w:firstLine="0" w:firstLineChars="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</w:rPr>
        <w:t>示例：</w:t>
      </w:r>
      <w:r>
        <w:rPr>
          <w:rFonts w:hint="eastAsia" w:ascii="宋体" w:hAnsi="宋体" w:eastAsia="宋体" w:cs="宋体"/>
          <w:kern w:val="0"/>
          <w:sz w:val="28"/>
          <w:szCs w:val="28"/>
        </w:rPr>
        <w:t>乙烯裂解装置负荷率在80%-100%时，COT控制在820-845℃（石脑油原料），稀释蒸汽/原料比0.3-0.5。</w:t>
      </w:r>
    </w:p>
    <w:p w14:paraId="454E3BCA">
      <w:pPr>
        <w:pStyle w:val="12"/>
        <w:widowControl/>
        <w:numPr>
          <w:ilvl w:val="0"/>
          <w:numId w:val="4"/>
        </w:numPr>
        <w:tabs>
          <w:tab w:val="left" w:pos="312"/>
        </w:tabs>
        <w:ind w:firstLineChars="0"/>
        <w:jc w:val="left"/>
        <w:rPr>
          <w:rFonts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聚乙烯/聚丙烯装置工艺约束规则（约5条）</w:t>
      </w:r>
    </w:p>
    <w:p w14:paraId="301D5052">
      <w:pPr>
        <w:pStyle w:val="12"/>
        <w:widowControl/>
        <w:tabs>
          <w:tab w:val="left" w:pos="312"/>
        </w:tabs>
        <w:ind w:firstLine="0" w:firstLineChars="0"/>
        <w:jc w:val="left"/>
        <w:rPr>
          <w:rFonts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</w:rPr>
        <w:t>内容：</w:t>
      </w:r>
      <w:r>
        <w:rPr>
          <w:rFonts w:ascii="宋体" w:hAnsi="宋体" w:eastAsia="宋体" w:cs="宋体"/>
          <w:kern w:val="0"/>
          <w:sz w:val="28"/>
          <w:szCs w:val="28"/>
        </w:rPr>
        <w:t>反应温度/压力控制范围、催化剂进料速率与负荷匹配、氢气/乙烯比（或氢气/丙烯比）与熔融指数（MI）的关联、排放气回收系统操作约束、牌号切换时的过渡规则</w:t>
      </w:r>
      <w:r>
        <w:rPr>
          <w:rFonts w:hint="eastAsia" w:ascii="宋体" w:hAnsi="宋体" w:eastAsia="宋体" w:cs="宋体"/>
          <w:kern w:val="0"/>
          <w:sz w:val="28"/>
          <w:szCs w:val="28"/>
        </w:rPr>
        <w:t>。</w:t>
      </w:r>
    </w:p>
    <w:p w14:paraId="6BEA9595">
      <w:pPr>
        <w:pStyle w:val="12"/>
        <w:widowControl/>
        <w:tabs>
          <w:tab w:val="left" w:pos="312"/>
        </w:tabs>
        <w:ind w:firstLine="0" w:firstLineChars="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</w:rPr>
        <w:t>示例：</w:t>
      </w:r>
      <w:r>
        <w:rPr>
          <w:rFonts w:hint="eastAsia" w:ascii="宋体" w:hAnsi="宋体" w:eastAsia="宋体" w:cs="宋体"/>
          <w:kern w:val="0"/>
          <w:sz w:val="28"/>
          <w:szCs w:val="28"/>
        </w:rPr>
        <w:t>聚乙烯装置负荷率在85%-110%时，反应温度85-95℃，反应压力1.5-2.5MPa，氢气/乙烯比0.1-0.5。</w:t>
      </w:r>
    </w:p>
    <w:p w14:paraId="4F00D525">
      <w:pPr>
        <w:pStyle w:val="12"/>
        <w:widowControl/>
        <w:numPr>
          <w:ilvl w:val="0"/>
          <w:numId w:val="4"/>
        </w:numPr>
        <w:tabs>
          <w:tab w:val="left" w:pos="312"/>
        </w:tabs>
        <w:ind w:firstLineChars="0"/>
        <w:jc w:val="left"/>
        <w:rPr>
          <w:rFonts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聚酯装置聚合工艺约束规则（约5条）</w:t>
      </w:r>
    </w:p>
    <w:p w14:paraId="2AF86B77">
      <w:pPr>
        <w:pStyle w:val="12"/>
        <w:widowControl/>
        <w:tabs>
          <w:tab w:val="left" w:pos="312"/>
        </w:tabs>
        <w:ind w:firstLine="0" w:firstLineChars="0"/>
        <w:jc w:val="left"/>
        <w:rPr>
          <w:rFonts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</w:rPr>
        <w:t>内容：</w:t>
      </w:r>
      <w:r>
        <w:rPr>
          <w:rFonts w:ascii="宋体" w:hAnsi="宋体" w:eastAsia="宋体" w:cs="宋体"/>
          <w:kern w:val="0"/>
          <w:sz w:val="28"/>
          <w:szCs w:val="28"/>
        </w:rPr>
        <w:t>酯化反应温度/压力控制范围、缩聚反应真空度与负荷的匹配、摩尔比（PTA/EG）调整规则、熔体粘度与工艺参数的关联、切粒机操作与负荷的匹配</w:t>
      </w:r>
      <w:r>
        <w:rPr>
          <w:rFonts w:hint="eastAsia" w:ascii="宋体" w:hAnsi="宋体" w:eastAsia="宋体" w:cs="宋体"/>
          <w:kern w:val="0"/>
          <w:sz w:val="28"/>
          <w:szCs w:val="28"/>
        </w:rPr>
        <w:t>。</w:t>
      </w:r>
    </w:p>
    <w:p w14:paraId="0E39667C">
      <w:pPr>
        <w:pStyle w:val="12"/>
        <w:widowControl/>
        <w:tabs>
          <w:tab w:val="left" w:pos="312"/>
        </w:tabs>
        <w:ind w:firstLine="0" w:firstLineChars="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</w:rPr>
        <w:t>示例：</w:t>
      </w:r>
      <w:r>
        <w:rPr>
          <w:rFonts w:hint="eastAsia" w:ascii="宋体" w:hAnsi="宋体" w:eastAsia="宋体" w:cs="宋体"/>
          <w:kern w:val="0"/>
          <w:sz w:val="28"/>
          <w:szCs w:val="28"/>
        </w:rPr>
        <w:t>聚酯装置负荷率在80%-105%时，酯化反应温度240-260℃，缩聚反应真空度≤1.0 mbar，熔体粘度0.60-0.68 dL/g。</w:t>
      </w:r>
    </w:p>
    <w:p w14:paraId="3DDA30BD">
      <w:pPr>
        <w:pStyle w:val="12"/>
        <w:widowControl/>
        <w:numPr>
          <w:ilvl w:val="0"/>
          <w:numId w:val="4"/>
        </w:numPr>
        <w:tabs>
          <w:tab w:val="left" w:pos="312"/>
        </w:tabs>
        <w:ind w:firstLineChars="0"/>
        <w:jc w:val="left"/>
        <w:rPr>
          <w:rFonts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纺丝装置组件更换与工艺约束规则（约5条）</w:t>
      </w:r>
    </w:p>
    <w:p w14:paraId="6B6CADEE">
      <w:pPr>
        <w:pStyle w:val="12"/>
        <w:widowControl/>
        <w:tabs>
          <w:tab w:val="left" w:pos="312"/>
        </w:tabs>
        <w:ind w:firstLine="0" w:firstLineChars="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</w:rPr>
        <w:t>内容：</w:t>
      </w:r>
      <w:r>
        <w:rPr>
          <w:rFonts w:ascii="宋体" w:hAnsi="宋体" w:eastAsia="宋体" w:cs="宋体"/>
          <w:kern w:val="0"/>
          <w:sz w:val="28"/>
          <w:szCs w:val="28"/>
        </w:rPr>
        <w:t>纺丝组件更换周期与运行负荷的关联、组件更换后的预热/升压规则、纺丝温度/压力与组件使用时间的约束、过滤精度要求、断丝率与组件状态的关联</w:t>
      </w:r>
      <w:r>
        <w:rPr>
          <w:rFonts w:hint="eastAsia" w:ascii="宋体" w:hAnsi="宋体" w:eastAsia="宋体" w:cs="宋体"/>
          <w:kern w:val="0"/>
          <w:sz w:val="28"/>
          <w:szCs w:val="28"/>
        </w:rPr>
        <w:t>。</w:t>
      </w:r>
    </w:p>
    <w:p w14:paraId="0FAA1882">
      <w:pPr>
        <w:pStyle w:val="12"/>
        <w:widowControl/>
        <w:tabs>
          <w:tab w:val="left" w:pos="312"/>
        </w:tabs>
        <w:ind w:firstLine="0" w:firstLineChars="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</w:rPr>
        <w:t>示例：</w:t>
      </w:r>
      <w:r>
        <w:rPr>
          <w:rFonts w:hint="eastAsia" w:ascii="宋体" w:hAnsi="宋体" w:eastAsia="宋体" w:cs="宋体"/>
          <w:kern w:val="0"/>
          <w:sz w:val="28"/>
          <w:szCs w:val="28"/>
        </w:rPr>
        <w:t>纺丝组件运行周期≤45天，负荷率高于105%时周期缩短至35天。</w:t>
      </w:r>
    </w:p>
    <w:p w14:paraId="2D4D72FA">
      <w:pPr>
        <w:widowControl/>
        <w:numPr>
          <w:ilvl w:val="0"/>
          <w:numId w:val="2"/>
        </w:numPr>
        <w:jc w:val="left"/>
        <w:rPr>
          <w:rFonts w:hint="eastAsia" w:ascii="宋体" w:hAnsi="宋体" w:eastAsia="宋体" w:cs="宋体"/>
          <w:b/>
          <w:bCs/>
          <w:kern w:val="0"/>
          <w:sz w:val="28"/>
          <w:szCs w:val="28"/>
        </w:rPr>
      </w:pPr>
      <w:commentRangeStart w:id="2"/>
      <w:r>
        <w:rPr>
          <w:rFonts w:hint="eastAsia" w:ascii="宋体" w:hAnsi="宋体" w:eastAsia="宋体" w:cs="宋体"/>
          <w:b/>
          <w:bCs/>
          <w:kern w:val="0"/>
          <w:sz w:val="28"/>
          <w:szCs w:val="28"/>
        </w:rPr>
        <w:t>流程特征规则</w:t>
      </w:r>
      <w:commentRangeEnd w:id="2"/>
      <w:r>
        <w:rPr>
          <w:rStyle w:val="9"/>
          <w:rFonts w:hint="eastAsia" w:ascii="宋体" w:hAnsi="宋体" w:eastAsia="宋体" w:cs="宋体"/>
          <w:b/>
          <w:bCs/>
          <w:kern w:val="0"/>
          <w:sz w:val="28"/>
          <w:szCs w:val="28"/>
        </w:rPr>
        <w:commentReference w:id="2"/>
      </w:r>
      <w:r>
        <w:rPr>
          <w:rFonts w:hint="eastAsia" w:ascii="宋体" w:hAnsi="宋体" w:eastAsia="宋体" w:cs="宋体"/>
          <w:b/>
          <w:bCs/>
          <w:kern w:val="0"/>
          <w:sz w:val="28"/>
          <w:szCs w:val="28"/>
        </w:rPr>
        <w:t>（≥20条）马</w:t>
      </w:r>
    </w:p>
    <w:p w14:paraId="1C67B7AC">
      <w:pPr>
        <w:pStyle w:val="12"/>
        <w:widowControl/>
        <w:numPr>
          <w:ilvl w:val="0"/>
          <w:numId w:val="5"/>
        </w:numPr>
        <w:tabs>
          <w:tab w:val="left" w:pos="312"/>
        </w:tabs>
        <w:ind w:firstLineChars="0"/>
        <w:jc w:val="left"/>
        <w:rPr>
          <w:rFonts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物料流向规则（约20条）</w:t>
      </w:r>
    </w:p>
    <w:p w14:paraId="1FCCE7B5">
      <w:pPr>
        <w:pStyle w:val="12"/>
        <w:widowControl/>
        <w:tabs>
          <w:tab w:val="left" w:pos="312"/>
        </w:tabs>
        <w:ind w:firstLine="0" w:firstLineChars="0"/>
        <w:jc w:val="left"/>
        <w:rPr>
          <w:rFonts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</w:rPr>
        <w:t>内容：</w:t>
      </w:r>
      <w:r>
        <w:rPr>
          <w:rFonts w:hint="eastAsia" w:ascii="宋体" w:hAnsi="宋体" w:eastAsia="宋体" w:cs="宋体"/>
          <w:kern w:val="0"/>
          <w:sz w:val="28"/>
          <w:szCs w:val="28"/>
        </w:rPr>
        <w:t>关键物料的标准流向路径。</w:t>
      </w:r>
    </w:p>
    <w:p w14:paraId="69511500">
      <w:pPr>
        <w:pStyle w:val="12"/>
        <w:widowControl/>
        <w:tabs>
          <w:tab w:val="left" w:pos="312"/>
        </w:tabs>
        <w:ind w:firstLine="0" w:firstLineChars="0"/>
        <w:jc w:val="left"/>
        <w:rPr>
          <w:rFonts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</w:rPr>
        <w:t>示例：</w:t>
      </w:r>
      <w:r>
        <w:rPr>
          <w:rFonts w:ascii="宋体" w:hAnsi="宋体" w:eastAsia="宋体" w:cs="宋体"/>
          <w:kern w:val="0"/>
          <w:sz w:val="28"/>
          <w:szCs w:val="28"/>
        </w:rPr>
        <w:t>常压渣油→催化裂化装置</w:t>
      </w:r>
      <w:r>
        <w:rPr>
          <w:rFonts w:hint="eastAsia" w:ascii="宋体" w:hAnsi="宋体" w:eastAsia="宋体" w:cs="宋体"/>
          <w:kern w:val="0"/>
          <w:sz w:val="28"/>
          <w:szCs w:val="28"/>
        </w:rPr>
        <w:t>。</w:t>
      </w:r>
    </w:p>
    <w:p w14:paraId="2BE70725">
      <w:pPr>
        <w:pStyle w:val="12"/>
        <w:widowControl/>
        <w:tabs>
          <w:tab w:val="left" w:pos="312"/>
        </w:tabs>
        <w:ind w:firstLine="0" w:firstLineChars="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</w:rPr>
        <w:drawing>
          <wp:inline distT="0" distB="0" distL="0" distR="0">
            <wp:extent cx="2751455" cy="2395220"/>
            <wp:effectExtent l="0" t="0" r="0" b="5080"/>
            <wp:docPr id="17584054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0540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0410" cy="2402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EF974">
      <w:pPr>
        <w:pStyle w:val="12"/>
        <w:widowControl/>
        <w:numPr>
          <w:ilvl w:val="0"/>
          <w:numId w:val="5"/>
        </w:numPr>
        <w:tabs>
          <w:tab w:val="left" w:pos="312"/>
        </w:tabs>
        <w:ind w:firstLineChars="0"/>
        <w:jc w:val="left"/>
        <w:rPr>
          <w:rFonts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常压装置协同规则（约10条）</w:t>
      </w:r>
    </w:p>
    <w:p w14:paraId="3F6D862A">
      <w:pPr>
        <w:pStyle w:val="12"/>
        <w:widowControl/>
        <w:tabs>
          <w:tab w:val="left" w:pos="312"/>
        </w:tabs>
        <w:ind w:firstLine="0" w:firstLineChars="0"/>
        <w:jc w:val="left"/>
        <w:rPr>
          <w:rFonts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</w:rPr>
        <w:t>内容：</w:t>
      </w:r>
      <w:r>
        <w:rPr>
          <w:rFonts w:ascii="宋体" w:hAnsi="宋体" w:eastAsia="宋体" w:cs="宋体"/>
          <w:kern w:val="0"/>
          <w:sz w:val="28"/>
          <w:szCs w:val="28"/>
        </w:rPr>
        <w:t>常压装置与催化、加氢、重整、罐区、气分等上下游/关联装置在负荷匹配、物料性质、时序安排、异常处理等方面的协同约束</w:t>
      </w:r>
      <w:r>
        <w:rPr>
          <w:rFonts w:hint="eastAsia" w:ascii="宋体" w:hAnsi="宋体" w:eastAsia="宋体" w:cs="宋体"/>
          <w:kern w:val="0"/>
          <w:sz w:val="28"/>
          <w:szCs w:val="28"/>
        </w:rPr>
        <w:t>。</w:t>
      </w:r>
    </w:p>
    <w:p w14:paraId="7B061F8C">
      <w:pPr>
        <w:pStyle w:val="12"/>
        <w:widowControl/>
        <w:tabs>
          <w:tab w:val="left" w:pos="312"/>
        </w:tabs>
        <w:ind w:firstLine="0" w:firstLineChars="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</w:rPr>
        <w:t>示例：</w:t>
      </w:r>
      <w:r>
        <w:rPr>
          <w:rFonts w:hint="eastAsia" w:ascii="宋体" w:hAnsi="宋体" w:eastAsia="宋体" w:cs="宋体"/>
          <w:kern w:val="0"/>
          <w:sz w:val="28"/>
          <w:szCs w:val="28"/>
        </w:rPr>
        <w:t>常压装置负荷变化≥5%时，需提前1小时通知催化、加氢、重整装置同步调整。</w:t>
      </w:r>
    </w:p>
    <w:p w14:paraId="15BF3A9A">
      <w:pPr>
        <w:pStyle w:val="12"/>
        <w:widowControl/>
        <w:numPr>
          <w:ilvl w:val="0"/>
          <w:numId w:val="5"/>
        </w:numPr>
        <w:tabs>
          <w:tab w:val="left" w:pos="312"/>
        </w:tabs>
        <w:ind w:firstLineChars="0"/>
        <w:jc w:val="left"/>
        <w:rPr>
          <w:rFonts w:ascii="宋体" w:hAnsi="宋体" w:eastAsia="宋体" w:cs="宋体"/>
          <w:kern w:val="0"/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</w:rPr>
        <w:t>催化装置</w:t>
      </w:r>
      <w:r>
        <w:rPr>
          <w:rFonts w:hint="eastAsia" w:ascii="宋体" w:hAnsi="宋体" w:eastAsia="宋体" w:cs="宋体"/>
          <w:kern w:val="0"/>
          <w:sz w:val="28"/>
          <w:szCs w:val="28"/>
        </w:rPr>
        <w:t>协同规则（约10条）</w:t>
      </w:r>
    </w:p>
    <w:p w14:paraId="02553D05">
      <w:pPr>
        <w:pStyle w:val="12"/>
        <w:widowControl/>
        <w:tabs>
          <w:tab w:val="left" w:pos="312"/>
        </w:tabs>
        <w:ind w:firstLine="0" w:firstLineChars="0"/>
        <w:jc w:val="left"/>
        <w:rPr>
          <w:rFonts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</w:rPr>
        <w:t>内容：</w:t>
      </w:r>
      <w:r>
        <w:rPr>
          <w:rFonts w:ascii="宋体" w:hAnsi="宋体" w:eastAsia="宋体" w:cs="宋体"/>
          <w:kern w:val="0"/>
          <w:sz w:val="28"/>
          <w:szCs w:val="28"/>
        </w:rPr>
        <w:t>催化装置与气分、MTBE、油浆系统、加氢、罐区等在物料互供、负荷匹配、产品质量、异常处理等方面的协同约束</w:t>
      </w:r>
      <w:r>
        <w:rPr>
          <w:rFonts w:hint="eastAsia" w:ascii="宋体" w:hAnsi="宋体" w:eastAsia="宋体" w:cs="宋体"/>
          <w:kern w:val="0"/>
          <w:sz w:val="28"/>
          <w:szCs w:val="28"/>
        </w:rPr>
        <w:t>。</w:t>
      </w:r>
    </w:p>
    <w:p w14:paraId="1C4E5F21">
      <w:pPr>
        <w:pStyle w:val="12"/>
        <w:widowControl/>
        <w:tabs>
          <w:tab w:val="left" w:pos="312"/>
        </w:tabs>
        <w:ind w:firstLine="0" w:firstLineChars="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</w:rPr>
        <w:t>示例：</w:t>
      </w:r>
      <w:r>
        <w:rPr>
          <w:rFonts w:ascii="宋体" w:hAnsi="宋体" w:eastAsia="宋体" w:cs="宋体"/>
          <w:kern w:val="0"/>
          <w:sz w:val="28"/>
          <w:szCs w:val="28"/>
        </w:rPr>
        <w:t>催化装置负荷变化≥5%时，需提前2小时通知气分装置调整，气分处理能力需与催化液化气产量匹配</w:t>
      </w:r>
      <w:r>
        <w:rPr>
          <w:rFonts w:hint="eastAsia" w:ascii="宋体" w:hAnsi="宋体" w:eastAsia="宋体" w:cs="宋体"/>
          <w:kern w:val="0"/>
          <w:sz w:val="28"/>
          <w:szCs w:val="28"/>
        </w:rPr>
        <w:t>。</w:t>
      </w:r>
    </w:p>
    <w:p w14:paraId="08A8056D">
      <w:pPr>
        <w:pStyle w:val="12"/>
        <w:widowControl/>
        <w:numPr>
          <w:ilvl w:val="0"/>
          <w:numId w:val="5"/>
        </w:numPr>
        <w:tabs>
          <w:tab w:val="left" w:pos="312"/>
        </w:tabs>
        <w:ind w:firstLineChars="0"/>
        <w:jc w:val="left"/>
        <w:rPr>
          <w:rFonts w:ascii="宋体" w:hAnsi="宋体" w:eastAsia="宋体" w:cs="宋体"/>
          <w:kern w:val="0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加氢装置</w:t>
      </w:r>
      <w:r>
        <w:rPr>
          <w:rFonts w:hint="eastAsia" w:ascii="宋体" w:hAnsi="宋体" w:eastAsia="宋体" w:cs="宋体"/>
          <w:kern w:val="0"/>
          <w:sz w:val="28"/>
          <w:szCs w:val="28"/>
        </w:rPr>
        <w:t>协同规则（约10条）</w:t>
      </w:r>
    </w:p>
    <w:p w14:paraId="0359A8CD">
      <w:pPr>
        <w:pStyle w:val="12"/>
        <w:widowControl/>
        <w:tabs>
          <w:tab w:val="left" w:pos="312"/>
        </w:tabs>
        <w:ind w:firstLine="0" w:firstLineChars="0"/>
        <w:jc w:val="left"/>
        <w:rPr>
          <w:rFonts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</w:rPr>
        <w:t>内容：</w:t>
      </w:r>
      <w:r>
        <w:rPr>
          <w:rFonts w:ascii="宋体" w:hAnsi="宋体" w:eastAsia="宋体" w:cs="宋体"/>
          <w:kern w:val="0"/>
          <w:sz w:val="28"/>
          <w:szCs w:val="28"/>
        </w:rPr>
        <w:t>加氢装置与上游（常压、催化、焦化）、下游（汽油调合、柴油调合、重整）以及新氢供应系统、循环氢系统的协同约束</w:t>
      </w:r>
      <w:r>
        <w:rPr>
          <w:rFonts w:hint="eastAsia" w:ascii="宋体" w:hAnsi="宋体" w:eastAsia="宋体" w:cs="宋体"/>
          <w:kern w:val="0"/>
          <w:sz w:val="28"/>
          <w:szCs w:val="28"/>
        </w:rPr>
        <w:t>。</w:t>
      </w:r>
    </w:p>
    <w:p w14:paraId="17C1EF47">
      <w:pPr>
        <w:pStyle w:val="12"/>
        <w:widowControl/>
        <w:tabs>
          <w:tab w:val="left" w:pos="312"/>
        </w:tabs>
        <w:ind w:firstLine="0" w:firstLineChars="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</w:rPr>
        <w:t>示例：</w:t>
      </w:r>
      <w:r>
        <w:rPr>
          <w:rFonts w:hint="eastAsia" w:ascii="宋体" w:hAnsi="宋体" w:eastAsia="宋体" w:cs="宋体"/>
          <w:kern w:val="0"/>
          <w:sz w:val="28"/>
          <w:szCs w:val="28"/>
        </w:rPr>
        <w:t>加氢装置原料硫含量≥1.0%时，需通知上游常压/催化装置优化操作，同时新氢补充量提高10-15%。</w:t>
      </w:r>
    </w:p>
    <w:p w14:paraId="7B292AE3">
      <w:pPr>
        <w:pStyle w:val="12"/>
        <w:widowControl/>
        <w:numPr>
          <w:ilvl w:val="0"/>
          <w:numId w:val="5"/>
        </w:numPr>
        <w:tabs>
          <w:tab w:val="left" w:pos="312"/>
        </w:tabs>
        <w:ind w:firstLineChars="0"/>
        <w:jc w:val="left"/>
        <w:rPr>
          <w:rFonts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芳烃链（重整-PX-PTA）协同规则（约10条）</w:t>
      </w:r>
    </w:p>
    <w:p w14:paraId="7F440344">
      <w:pPr>
        <w:pStyle w:val="12"/>
        <w:widowControl/>
        <w:tabs>
          <w:tab w:val="left" w:pos="312"/>
        </w:tabs>
        <w:ind w:firstLine="0" w:firstLineChars="0"/>
        <w:jc w:val="left"/>
        <w:rPr>
          <w:rFonts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</w:rPr>
        <w:t>内容：</w:t>
      </w:r>
      <w:r>
        <w:rPr>
          <w:rFonts w:ascii="宋体" w:hAnsi="宋体" w:eastAsia="宋体" w:cs="宋体"/>
          <w:kern w:val="0"/>
          <w:sz w:val="28"/>
          <w:szCs w:val="28"/>
        </w:rPr>
        <w:t>重整生成油、芳烃抽提、PX装置、PTA装置之间的物料平衡约束、负荷匹配规则、质量指标传递约束、异常处理协同</w:t>
      </w:r>
      <w:r>
        <w:rPr>
          <w:rFonts w:hint="eastAsia" w:ascii="宋体" w:hAnsi="宋体" w:eastAsia="宋体" w:cs="宋体"/>
          <w:kern w:val="0"/>
          <w:sz w:val="28"/>
          <w:szCs w:val="28"/>
        </w:rPr>
        <w:t>。</w:t>
      </w:r>
    </w:p>
    <w:p w14:paraId="4CE80AC3">
      <w:pPr>
        <w:pStyle w:val="12"/>
        <w:widowControl/>
        <w:tabs>
          <w:tab w:val="left" w:pos="312"/>
        </w:tabs>
        <w:ind w:firstLine="0" w:firstLineChars="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</w:rPr>
        <w:t>示例：</w:t>
      </w:r>
      <w:r>
        <w:rPr>
          <w:rFonts w:hint="eastAsia" w:ascii="宋体" w:hAnsi="宋体" w:eastAsia="宋体" w:cs="宋体"/>
          <w:kern w:val="0"/>
          <w:sz w:val="28"/>
          <w:szCs w:val="28"/>
        </w:rPr>
        <w:t>重整装置生成油芳烃含量≥65%时，芳烃抽提装置负荷可提高至110%，PX收率提升2-3%。</w:t>
      </w:r>
    </w:p>
    <w:p w14:paraId="29230F25">
      <w:pPr>
        <w:pStyle w:val="12"/>
        <w:widowControl/>
        <w:numPr>
          <w:ilvl w:val="0"/>
          <w:numId w:val="5"/>
        </w:numPr>
        <w:tabs>
          <w:tab w:val="left" w:pos="312"/>
        </w:tabs>
        <w:ind w:firstLineChars="0"/>
        <w:jc w:val="left"/>
        <w:rPr>
          <w:rFonts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烯烃链（乙烯-塑料）协同规则（约10条）</w:t>
      </w:r>
    </w:p>
    <w:p w14:paraId="266913F8">
      <w:pPr>
        <w:pStyle w:val="12"/>
        <w:widowControl/>
        <w:tabs>
          <w:tab w:val="left" w:pos="312"/>
        </w:tabs>
        <w:ind w:firstLine="0" w:firstLineChars="0"/>
        <w:jc w:val="left"/>
        <w:rPr>
          <w:rFonts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</w:rPr>
        <w:t>内容：</w:t>
      </w:r>
      <w:r>
        <w:rPr>
          <w:rFonts w:ascii="宋体" w:hAnsi="宋体" w:eastAsia="宋体" w:cs="宋体"/>
          <w:kern w:val="0"/>
          <w:sz w:val="28"/>
          <w:szCs w:val="28"/>
        </w:rPr>
        <w:t>乙烯裂解、聚乙烯/聚丙烯装置之间的物料平衡、负荷匹配、牌号切换协同、紧急情况下的物料改线规则</w:t>
      </w:r>
      <w:r>
        <w:rPr>
          <w:rFonts w:hint="eastAsia" w:ascii="宋体" w:hAnsi="宋体" w:eastAsia="宋体" w:cs="宋体"/>
          <w:kern w:val="0"/>
          <w:sz w:val="28"/>
          <w:szCs w:val="28"/>
        </w:rPr>
        <w:t>。</w:t>
      </w:r>
    </w:p>
    <w:p w14:paraId="2FF52F42">
      <w:pPr>
        <w:pStyle w:val="12"/>
        <w:widowControl/>
        <w:tabs>
          <w:tab w:val="left" w:pos="312"/>
        </w:tabs>
        <w:ind w:firstLine="0" w:firstLineChars="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</w:rPr>
        <w:t>示例：</w:t>
      </w:r>
      <w:r>
        <w:rPr>
          <w:rFonts w:hint="eastAsia" w:ascii="宋体" w:hAnsi="宋体" w:eastAsia="宋体" w:cs="宋体"/>
          <w:kern w:val="0"/>
          <w:sz w:val="28"/>
          <w:szCs w:val="28"/>
        </w:rPr>
        <w:t>乙烯裂解装置负荷变化 ≥ 5%时，需提前2小时通知聚乙烯/聚丙烯装置，聚合装置负荷调整响应时间≤1小时。</w:t>
      </w:r>
    </w:p>
    <w:p w14:paraId="1E0C37AA">
      <w:pPr>
        <w:pStyle w:val="12"/>
        <w:widowControl/>
        <w:numPr>
          <w:ilvl w:val="0"/>
          <w:numId w:val="5"/>
        </w:numPr>
        <w:tabs>
          <w:tab w:val="left" w:pos="312"/>
        </w:tabs>
        <w:ind w:firstLineChars="0"/>
        <w:jc w:val="left"/>
        <w:rPr>
          <w:rFonts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聚酯链（PTA-MEG-PET）协同规则（约10条）</w:t>
      </w:r>
    </w:p>
    <w:p w14:paraId="4E0B2375">
      <w:pPr>
        <w:pStyle w:val="12"/>
        <w:widowControl/>
        <w:tabs>
          <w:tab w:val="left" w:pos="312"/>
        </w:tabs>
        <w:ind w:firstLine="0" w:firstLineChars="0"/>
        <w:jc w:val="left"/>
        <w:rPr>
          <w:rFonts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</w:rPr>
        <w:t>内容：</w:t>
      </w:r>
      <w:r>
        <w:rPr>
          <w:rFonts w:ascii="宋体" w:hAnsi="宋体" w:eastAsia="宋体" w:cs="宋体"/>
          <w:kern w:val="0"/>
          <w:sz w:val="28"/>
          <w:szCs w:val="28"/>
        </w:rPr>
        <w:t>PTA装置、MEG装置、聚酯（PET）装置之间的物料平衡、摩尔比控制、负荷匹配、产品质量联动、异常处理协同</w:t>
      </w:r>
      <w:r>
        <w:rPr>
          <w:rFonts w:hint="eastAsia" w:ascii="宋体" w:hAnsi="宋体" w:eastAsia="宋体" w:cs="宋体"/>
          <w:kern w:val="0"/>
          <w:sz w:val="28"/>
          <w:szCs w:val="28"/>
        </w:rPr>
        <w:t>。</w:t>
      </w:r>
    </w:p>
    <w:p w14:paraId="52ADAEDF">
      <w:pPr>
        <w:pStyle w:val="12"/>
        <w:widowControl/>
        <w:tabs>
          <w:tab w:val="left" w:pos="312"/>
        </w:tabs>
        <w:ind w:firstLine="0" w:firstLineChars="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</w:rPr>
        <w:t>示例：</w:t>
      </w:r>
      <w:r>
        <w:rPr>
          <w:rFonts w:hint="eastAsia" w:ascii="宋体" w:hAnsi="宋体" w:eastAsia="宋体" w:cs="宋体"/>
          <w:kern w:val="0"/>
          <w:sz w:val="28"/>
          <w:szCs w:val="28"/>
        </w:rPr>
        <w:t>PTA装置与MEG装置供料比例需满足PTA:MEG=1:1.1-1.2（摩尔比），偏差超过±2%时聚酯装置需调整进料。</w:t>
      </w:r>
    </w:p>
    <w:p w14:paraId="7922D8F5">
      <w:pPr>
        <w:pStyle w:val="12"/>
        <w:widowControl/>
        <w:numPr>
          <w:ilvl w:val="0"/>
          <w:numId w:val="5"/>
        </w:numPr>
        <w:tabs>
          <w:tab w:val="left" w:pos="312"/>
        </w:tabs>
        <w:ind w:firstLineChars="0"/>
        <w:jc w:val="left"/>
        <w:rPr>
          <w:rFonts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纺丝前纺与后纺协同规则（约10条）</w:t>
      </w:r>
    </w:p>
    <w:p w14:paraId="2B65812F">
      <w:pPr>
        <w:pStyle w:val="12"/>
        <w:widowControl/>
        <w:tabs>
          <w:tab w:val="left" w:pos="312"/>
        </w:tabs>
        <w:ind w:firstLine="0" w:firstLineChars="0"/>
        <w:jc w:val="left"/>
        <w:rPr>
          <w:rFonts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</w:rPr>
        <w:t>内容：</w:t>
      </w:r>
      <w:r>
        <w:rPr>
          <w:rFonts w:ascii="宋体" w:hAnsi="宋体" w:eastAsia="宋体" w:cs="宋体"/>
          <w:kern w:val="0"/>
          <w:sz w:val="28"/>
          <w:szCs w:val="28"/>
        </w:rPr>
        <w:t>前纺（纺丝）与后纺（牵伸、卷绕、切断）之间的生产节奏匹配、产品规格传递、质量联动、组件更换协同</w:t>
      </w:r>
      <w:r>
        <w:rPr>
          <w:rFonts w:hint="eastAsia" w:ascii="宋体" w:hAnsi="宋体" w:eastAsia="宋体" w:cs="宋体"/>
          <w:kern w:val="0"/>
          <w:sz w:val="28"/>
          <w:szCs w:val="28"/>
        </w:rPr>
        <w:t>。</w:t>
      </w:r>
    </w:p>
    <w:p w14:paraId="0F6451C8">
      <w:pPr>
        <w:pStyle w:val="12"/>
        <w:widowControl/>
        <w:tabs>
          <w:tab w:val="left" w:pos="312"/>
        </w:tabs>
        <w:ind w:firstLine="0" w:firstLineChars="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</w:rPr>
        <w:t>示例：</w:t>
      </w:r>
      <w:r>
        <w:rPr>
          <w:rFonts w:hint="eastAsia" w:ascii="宋体" w:hAnsi="宋体" w:eastAsia="宋体" w:cs="宋体"/>
          <w:kern w:val="0"/>
          <w:sz w:val="28"/>
          <w:szCs w:val="28"/>
        </w:rPr>
        <w:t>前纺纺丝速度变化≥5%时，需提前30分钟通知后纺调整牵伸比，牵伸比调整范围±0.2。</w:t>
      </w:r>
    </w:p>
    <w:p w14:paraId="44319841">
      <w:pPr>
        <w:pStyle w:val="12"/>
        <w:widowControl/>
        <w:numPr>
          <w:ilvl w:val="0"/>
          <w:numId w:val="5"/>
        </w:numPr>
        <w:tabs>
          <w:tab w:val="left" w:pos="312"/>
        </w:tabs>
        <w:ind w:firstLineChars="0"/>
        <w:jc w:val="left"/>
        <w:rPr>
          <w:rFonts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中间罐区缓冲与调合协同规则（约10条）</w:t>
      </w:r>
    </w:p>
    <w:p w14:paraId="0EA7A2F8">
      <w:pPr>
        <w:pStyle w:val="12"/>
        <w:widowControl/>
        <w:tabs>
          <w:tab w:val="left" w:pos="312"/>
        </w:tabs>
        <w:ind w:firstLine="0" w:firstLineChars="0"/>
        <w:jc w:val="left"/>
        <w:rPr>
          <w:rFonts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</w:rPr>
        <w:t>内容：</w:t>
      </w:r>
      <w:r>
        <w:rPr>
          <w:rFonts w:ascii="宋体" w:hAnsi="宋体" w:eastAsia="宋体" w:cs="宋体"/>
          <w:kern w:val="0"/>
          <w:sz w:val="28"/>
          <w:szCs w:val="28"/>
        </w:rPr>
        <w:t>中间原料罐的液位控制范围、收付料速率匹配、调合配方执行、罐区切换操作、异常情况下的缓冲能力约束</w:t>
      </w:r>
      <w:r>
        <w:rPr>
          <w:rFonts w:hint="eastAsia" w:ascii="宋体" w:hAnsi="宋体" w:eastAsia="宋体" w:cs="宋体"/>
          <w:kern w:val="0"/>
          <w:sz w:val="28"/>
          <w:szCs w:val="28"/>
        </w:rPr>
        <w:t>。</w:t>
      </w:r>
    </w:p>
    <w:p w14:paraId="35B95D46">
      <w:pPr>
        <w:pStyle w:val="12"/>
        <w:widowControl/>
        <w:tabs>
          <w:tab w:val="left" w:pos="312"/>
        </w:tabs>
        <w:ind w:firstLine="0" w:firstLineChars="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</w:rPr>
        <w:t>示例：</w:t>
      </w:r>
      <w:r>
        <w:rPr>
          <w:rFonts w:hint="eastAsia" w:ascii="宋体" w:hAnsi="宋体" w:eastAsia="宋体" w:cs="宋体"/>
          <w:kern w:val="0"/>
          <w:sz w:val="28"/>
          <w:szCs w:val="28"/>
        </w:rPr>
        <w:t>各中间原料罐液位控制在30%-80%之间，低于30%时通知上游装置提负荷或减少下游装置供料。</w:t>
      </w:r>
    </w:p>
    <w:p w14:paraId="09B6572F">
      <w:pPr>
        <w:widowControl/>
        <w:numPr>
          <w:ilvl w:val="0"/>
          <w:numId w:val="2"/>
        </w:numPr>
        <w:jc w:val="left"/>
        <w:rPr>
          <w:rFonts w:hint="eastAsia" w:ascii="宋体" w:hAnsi="宋体" w:eastAsia="宋体" w:cs="宋体"/>
          <w:b/>
          <w:bCs/>
          <w:kern w:val="0"/>
          <w:sz w:val="28"/>
          <w:szCs w:val="28"/>
        </w:rPr>
      </w:pPr>
      <w:commentRangeStart w:id="3"/>
      <w:r>
        <w:rPr>
          <w:rFonts w:hint="eastAsia" w:ascii="宋体" w:hAnsi="宋体" w:eastAsia="宋体" w:cs="宋体"/>
          <w:b/>
          <w:bCs/>
          <w:kern w:val="0"/>
          <w:sz w:val="28"/>
          <w:szCs w:val="28"/>
        </w:rPr>
        <w:t>操作规程规则</w:t>
      </w:r>
      <w:commentRangeEnd w:id="3"/>
      <w:r>
        <w:rPr>
          <w:rStyle w:val="9"/>
          <w:rFonts w:hint="eastAsia" w:ascii="宋体" w:hAnsi="宋体" w:eastAsia="宋体" w:cs="宋体"/>
          <w:b/>
          <w:bCs/>
          <w:kern w:val="0"/>
          <w:sz w:val="28"/>
          <w:szCs w:val="28"/>
        </w:rPr>
        <w:commentReference w:id="3"/>
      </w:r>
      <w:r>
        <w:rPr>
          <w:rFonts w:hint="eastAsia" w:ascii="宋体" w:hAnsi="宋体" w:eastAsia="宋体" w:cs="宋体"/>
          <w:b/>
          <w:bCs/>
          <w:kern w:val="0"/>
          <w:sz w:val="28"/>
          <w:szCs w:val="28"/>
        </w:rPr>
        <w:t>【2，4】（≥80条）马</w:t>
      </w:r>
    </w:p>
    <w:p w14:paraId="476CE638">
      <w:pPr>
        <w:widowControl/>
        <w:numPr>
          <w:ilvl w:val="0"/>
          <w:numId w:val="6"/>
        </w:numPr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</w:rPr>
        <w:t>原料罐区操作规程（约</w:t>
      </w:r>
      <w:r>
        <w:rPr>
          <w:rFonts w:hint="eastAsia" w:ascii="宋体" w:hAnsi="宋体" w:eastAsia="宋体" w:cs="宋体"/>
          <w:kern w:val="0"/>
          <w:sz w:val="28"/>
          <w:szCs w:val="28"/>
        </w:rPr>
        <w:t>15</w:t>
      </w:r>
      <w:r>
        <w:rPr>
          <w:rFonts w:ascii="宋体" w:hAnsi="宋体" w:eastAsia="宋体" w:cs="宋体"/>
          <w:kern w:val="0"/>
          <w:sz w:val="28"/>
          <w:szCs w:val="28"/>
        </w:rPr>
        <w:t>条）</w:t>
      </w:r>
    </w:p>
    <w:p w14:paraId="7864466F">
      <w:pPr>
        <w:widowControl/>
        <w:numPr>
          <w:ilvl w:val="0"/>
          <w:numId w:val="6"/>
        </w:numPr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常压装置操作规程（</w:t>
      </w:r>
      <w:r>
        <w:rPr>
          <w:rFonts w:ascii="宋体" w:hAnsi="宋体" w:eastAsia="宋体" w:cs="宋体"/>
          <w:kern w:val="0"/>
          <w:sz w:val="28"/>
          <w:szCs w:val="28"/>
        </w:rPr>
        <w:t>约</w:t>
      </w:r>
      <w:r>
        <w:rPr>
          <w:rFonts w:hint="eastAsia" w:ascii="宋体" w:hAnsi="宋体" w:eastAsia="宋体" w:cs="宋体"/>
          <w:sz w:val="28"/>
          <w:szCs w:val="28"/>
        </w:rPr>
        <w:t>20</w:t>
      </w:r>
      <w:r>
        <w:rPr>
          <w:rFonts w:ascii="宋体" w:hAnsi="宋体" w:eastAsia="宋体" w:cs="宋体"/>
          <w:sz w:val="28"/>
          <w:szCs w:val="28"/>
        </w:rPr>
        <w:t>条）</w:t>
      </w:r>
    </w:p>
    <w:p w14:paraId="7F46BD69">
      <w:pPr>
        <w:widowControl/>
        <w:numPr>
          <w:ilvl w:val="0"/>
          <w:numId w:val="6"/>
        </w:numPr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航煤加氢装置操作规程（</w:t>
      </w:r>
      <w:r>
        <w:rPr>
          <w:rFonts w:ascii="宋体" w:hAnsi="宋体" w:eastAsia="宋体" w:cs="宋体"/>
          <w:kern w:val="0"/>
          <w:sz w:val="28"/>
          <w:szCs w:val="28"/>
        </w:rPr>
        <w:t>约</w:t>
      </w:r>
      <w:r>
        <w:rPr>
          <w:rFonts w:hint="eastAsia" w:ascii="宋体" w:hAnsi="宋体" w:eastAsia="宋体" w:cs="宋体"/>
          <w:sz w:val="28"/>
          <w:szCs w:val="28"/>
        </w:rPr>
        <w:t>15</w:t>
      </w:r>
      <w:r>
        <w:rPr>
          <w:rFonts w:ascii="宋体" w:hAnsi="宋体" w:eastAsia="宋体" w:cs="宋体"/>
          <w:sz w:val="28"/>
          <w:szCs w:val="28"/>
        </w:rPr>
        <w:t>条）</w:t>
      </w:r>
    </w:p>
    <w:p w14:paraId="0CB9B46E">
      <w:pPr>
        <w:widowControl/>
        <w:numPr>
          <w:ilvl w:val="0"/>
          <w:numId w:val="6"/>
        </w:numPr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</w:rPr>
        <w:t>催化装置操作规程（约10-20条）</w:t>
      </w:r>
    </w:p>
    <w:p w14:paraId="1308EC20">
      <w:pPr>
        <w:widowControl/>
        <w:numPr>
          <w:ilvl w:val="0"/>
          <w:numId w:val="6"/>
        </w:numPr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气体深加工操作规程</w:t>
      </w:r>
      <w:r>
        <w:rPr>
          <w:rFonts w:ascii="宋体" w:hAnsi="宋体" w:eastAsia="宋体" w:cs="宋体"/>
          <w:sz w:val="28"/>
          <w:szCs w:val="28"/>
        </w:rPr>
        <w:t>（</w:t>
      </w:r>
      <w:r>
        <w:rPr>
          <w:rFonts w:ascii="宋体" w:hAnsi="宋体" w:eastAsia="宋体" w:cs="宋体"/>
          <w:kern w:val="0"/>
          <w:sz w:val="28"/>
          <w:szCs w:val="28"/>
        </w:rPr>
        <w:t>约</w:t>
      </w:r>
      <w:r>
        <w:rPr>
          <w:rFonts w:hint="eastAsia" w:ascii="宋体" w:hAnsi="宋体" w:eastAsia="宋体" w:cs="宋体"/>
          <w:sz w:val="28"/>
          <w:szCs w:val="28"/>
        </w:rPr>
        <w:t>10</w:t>
      </w:r>
      <w:r>
        <w:rPr>
          <w:rFonts w:ascii="宋体" w:hAnsi="宋体" w:eastAsia="宋体" w:cs="宋体"/>
          <w:sz w:val="28"/>
          <w:szCs w:val="28"/>
        </w:rPr>
        <w:t>条）</w:t>
      </w:r>
    </w:p>
    <w:p w14:paraId="4BFDAF85">
      <w:pPr>
        <w:widowControl/>
        <w:numPr>
          <w:ilvl w:val="0"/>
          <w:numId w:val="6"/>
        </w:numPr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</w:rPr>
        <w:t>汽油柴油调和操作规程</w:t>
      </w:r>
      <w:r>
        <w:rPr>
          <w:rFonts w:ascii="宋体" w:hAnsi="宋体" w:eastAsia="宋体" w:cs="宋体"/>
          <w:sz w:val="28"/>
          <w:szCs w:val="28"/>
        </w:rPr>
        <w:t>（</w:t>
      </w:r>
      <w:r>
        <w:rPr>
          <w:rFonts w:ascii="宋体" w:hAnsi="宋体" w:eastAsia="宋体" w:cs="宋体"/>
          <w:kern w:val="0"/>
          <w:sz w:val="28"/>
          <w:szCs w:val="28"/>
        </w:rPr>
        <w:t>约</w:t>
      </w:r>
      <w:r>
        <w:rPr>
          <w:rFonts w:hint="eastAsia" w:ascii="宋体" w:hAnsi="宋体" w:eastAsia="宋体" w:cs="宋体"/>
          <w:sz w:val="28"/>
          <w:szCs w:val="28"/>
        </w:rPr>
        <w:t>10</w:t>
      </w:r>
      <w:r>
        <w:rPr>
          <w:rFonts w:ascii="宋体" w:hAnsi="宋体" w:eastAsia="宋体" w:cs="宋体"/>
          <w:sz w:val="28"/>
          <w:szCs w:val="28"/>
        </w:rPr>
        <w:t>条）</w:t>
      </w:r>
    </w:p>
    <w:p w14:paraId="3D99FDBE">
      <w:pPr>
        <w:widowControl/>
        <w:numPr>
          <w:ilvl w:val="0"/>
          <w:numId w:val="6"/>
        </w:numPr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</w:rPr>
        <w:t>乙烯装置操作规程（约1</w:t>
      </w:r>
      <w:r>
        <w:rPr>
          <w:rFonts w:hint="eastAsia" w:ascii="宋体" w:hAnsi="宋体" w:eastAsia="宋体" w:cs="宋体"/>
          <w:kern w:val="0"/>
          <w:sz w:val="28"/>
          <w:szCs w:val="28"/>
        </w:rPr>
        <w:t>0</w:t>
      </w:r>
      <w:r>
        <w:rPr>
          <w:rFonts w:ascii="宋体" w:hAnsi="宋体" w:eastAsia="宋体" w:cs="宋体"/>
          <w:kern w:val="0"/>
          <w:sz w:val="28"/>
          <w:szCs w:val="28"/>
        </w:rPr>
        <w:t>条）</w:t>
      </w:r>
    </w:p>
    <w:p w14:paraId="1C31D392">
      <w:pPr>
        <w:widowControl/>
        <w:numPr>
          <w:ilvl w:val="0"/>
          <w:numId w:val="6"/>
        </w:numPr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</w:rPr>
        <w:t>芳烃重整装置操作规程（约1</w:t>
      </w:r>
      <w:r>
        <w:rPr>
          <w:rFonts w:hint="eastAsia" w:ascii="宋体" w:hAnsi="宋体" w:eastAsia="宋体" w:cs="宋体"/>
          <w:kern w:val="0"/>
          <w:sz w:val="28"/>
          <w:szCs w:val="28"/>
        </w:rPr>
        <w:t>0</w:t>
      </w:r>
      <w:r>
        <w:rPr>
          <w:rFonts w:ascii="宋体" w:hAnsi="宋体" w:eastAsia="宋体" w:cs="宋体"/>
          <w:kern w:val="0"/>
          <w:sz w:val="28"/>
          <w:szCs w:val="28"/>
        </w:rPr>
        <w:t>条）</w:t>
      </w:r>
    </w:p>
    <w:p w14:paraId="4BB597F4">
      <w:pPr>
        <w:widowControl/>
        <w:numPr>
          <w:ilvl w:val="0"/>
          <w:numId w:val="6"/>
        </w:numPr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</w:rPr>
        <w:t>聚乙烯装置操作规程（约1</w:t>
      </w:r>
      <w:r>
        <w:rPr>
          <w:rFonts w:hint="eastAsia" w:ascii="宋体" w:hAnsi="宋体" w:eastAsia="宋体" w:cs="宋体"/>
          <w:kern w:val="0"/>
          <w:sz w:val="28"/>
          <w:szCs w:val="28"/>
        </w:rPr>
        <w:t>0</w:t>
      </w:r>
      <w:r>
        <w:rPr>
          <w:rFonts w:ascii="宋体" w:hAnsi="宋体" w:eastAsia="宋体" w:cs="宋体"/>
          <w:kern w:val="0"/>
          <w:sz w:val="28"/>
          <w:szCs w:val="28"/>
        </w:rPr>
        <w:t>条）</w:t>
      </w:r>
    </w:p>
    <w:p w14:paraId="637506C4">
      <w:pPr>
        <w:widowControl/>
        <w:numPr>
          <w:ilvl w:val="0"/>
          <w:numId w:val="6"/>
        </w:numPr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</w:rPr>
        <w:t>聚丙烯装置操作规程（约1</w:t>
      </w:r>
      <w:r>
        <w:rPr>
          <w:rFonts w:hint="eastAsia" w:ascii="宋体" w:hAnsi="宋体" w:eastAsia="宋体" w:cs="宋体"/>
          <w:kern w:val="0"/>
          <w:sz w:val="28"/>
          <w:szCs w:val="28"/>
        </w:rPr>
        <w:t>0</w:t>
      </w:r>
      <w:r>
        <w:rPr>
          <w:rFonts w:ascii="宋体" w:hAnsi="宋体" w:eastAsia="宋体" w:cs="宋体"/>
          <w:kern w:val="0"/>
          <w:sz w:val="28"/>
          <w:szCs w:val="28"/>
        </w:rPr>
        <w:t>条）</w:t>
      </w:r>
    </w:p>
    <w:p w14:paraId="55DDF68F">
      <w:pPr>
        <w:widowControl/>
        <w:numPr>
          <w:ilvl w:val="0"/>
          <w:numId w:val="6"/>
        </w:numPr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</w:rPr>
        <w:t>聚酯装置操作规程（约1</w:t>
      </w:r>
      <w:r>
        <w:rPr>
          <w:rFonts w:hint="eastAsia" w:ascii="宋体" w:hAnsi="宋体" w:eastAsia="宋体" w:cs="宋体"/>
          <w:kern w:val="0"/>
          <w:sz w:val="28"/>
          <w:szCs w:val="28"/>
        </w:rPr>
        <w:t>0</w:t>
      </w:r>
      <w:r>
        <w:rPr>
          <w:rFonts w:ascii="宋体" w:hAnsi="宋体" w:eastAsia="宋体" w:cs="宋体"/>
          <w:kern w:val="0"/>
          <w:sz w:val="28"/>
          <w:szCs w:val="28"/>
        </w:rPr>
        <w:t>条）</w:t>
      </w:r>
    </w:p>
    <w:p w14:paraId="6BC614A6">
      <w:pPr>
        <w:widowControl/>
        <w:numPr>
          <w:ilvl w:val="0"/>
          <w:numId w:val="6"/>
        </w:numPr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</w:rPr>
        <w:t>涤纶纺丝装置操作规程（约1</w:t>
      </w:r>
      <w:r>
        <w:rPr>
          <w:rFonts w:hint="eastAsia" w:ascii="宋体" w:hAnsi="宋体" w:eastAsia="宋体" w:cs="宋体"/>
          <w:kern w:val="0"/>
          <w:sz w:val="28"/>
          <w:szCs w:val="28"/>
        </w:rPr>
        <w:t>0</w:t>
      </w:r>
      <w:r>
        <w:rPr>
          <w:rFonts w:ascii="宋体" w:hAnsi="宋体" w:eastAsia="宋体" w:cs="宋体"/>
          <w:kern w:val="0"/>
          <w:sz w:val="28"/>
          <w:szCs w:val="28"/>
        </w:rPr>
        <w:t>条）</w:t>
      </w:r>
    </w:p>
    <w:p w14:paraId="7EEEAD69">
      <w:pPr>
        <w:widowControl/>
        <w:numPr>
          <w:ilvl w:val="0"/>
          <w:numId w:val="2"/>
        </w:numPr>
        <w:jc w:val="left"/>
        <w:rPr>
          <w:rFonts w:hint="eastAsia" w:ascii="宋体" w:hAnsi="宋体" w:eastAsia="宋体" w:cs="宋体"/>
          <w:b/>
          <w:bCs/>
          <w:kern w:val="0"/>
          <w:sz w:val="28"/>
          <w:szCs w:val="28"/>
        </w:rPr>
      </w:pPr>
      <w:commentRangeStart w:id="4"/>
      <w:r>
        <w:rPr>
          <w:rFonts w:hint="eastAsia" w:ascii="宋体" w:hAnsi="宋体" w:eastAsia="宋体" w:cs="宋体"/>
          <w:b/>
          <w:bCs/>
          <w:kern w:val="0"/>
          <w:sz w:val="28"/>
          <w:szCs w:val="28"/>
        </w:rPr>
        <w:t>调度经验规则【12】</w:t>
      </w:r>
      <w:commentRangeEnd w:id="4"/>
      <w:r>
        <w:rPr>
          <w:rStyle w:val="9"/>
          <w:rFonts w:hint="eastAsia" w:ascii="宋体" w:hAnsi="宋体" w:eastAsia="宋体" w:cs="宋体"/>
          <w:b/>
          <w:bCs/>
          <w:kern w:val="0"/>
          <w:sz w:val="28"/>
          <w:szCs w:val="28"/>
        </w:rPr>
        <w:commentReference w:id="4"/>
      </w:r>
      <w:r>
        <w:rPr>
          <w:rFonts w:hint="eastAsia" w:ascii="宋体" w:hAnsi="宋体" w:eastAsia="宋体" w:cs="宋体"/>
          <w:b/>
          <w:bCs/>
          <w:kern w:val="0"/>
          <w:sz w:val="28"/>
          <w:szCs w:val="28"/>
        </w:rPr>
        <w:t>（≥80条）张</w:t>
      </w:r>
    </w:p>
    <w:p w14:paraId="4D3A70D0">
      <w:pPr>
        <w:widowControl/>
        <w:numPr>
          <w:ilvl w:val="0"/>
          <w:numId w:val="7"/>
        </w:numPr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</w:rPr>
        <w:t>物性平滑规则</w:t>
      </w:r>
      <w:r>
        <w:rPr>
          <w:rFonts w:hint="eastAsia" w:ascii="宋体" w:hAnsi="宋体" w:eastAsia="宋体" w:cs="宋体"/>
          <w:kern w:val="0"/>
          <w:sz w:val="28"/>
          <w:szCs w:val="28"/>
        </w:rPr>
        <w:t>（</w:t>
      </w:r>
      <w:r>
        <w:rPr>
          <w:rFonts w:ascii="宋体" w:hAnsi="宋体" w:eastAsia="宋体" w:cs="宋体"/>
          <w:kern w:val="0"/>
          <w:sz w:val="28"/>
          <w:szCs w:val="28"/>
        </w:rPr>
        <w:t>约15-20条</w:t>
      </w:r>
      <w:r>
        <w:rPr>
          <w:rFonts w:hint="eastAsia" w:ascii="宋体" w:hAnsi="宋体" w:eastAsia="宋体" w:cs="宋体"/>
          <w:kern w:val="0"/>
          <w:sz w:val="28"/>
          <w:szCs w:val="28"/>
        </w:rPr>
        <w:t>）</w:t>
      </w:r>
    </w:p>
    <w:p w14:paraId="1F796E66">
      <w:pPr>
        <w:widowControl/>
        <w:numPr>
          <w:ilvl w:val="0"/>
          <w:numId w:val="7"/>
        </w:numPr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</w:rPr>
        <w:t>负荷联动规则</w:t>
      </w:r>
      <w:r>
        <w:rPr>
          <w:rFonts w:hint="eastAsia" w:ascii="宋体" w:hAnsi="宋体" w:eastAsia="宋体" w:cs="宋体"/>
          <w:kern w:val="0"/>
          <w:sz w:val="28"/>
          <w:szCs w:val="28"/>
        </w:rPr>
        <w:t>（</w:t>
      </w:r>
      <w:r>
        <w:rPr>
          <w:rFonts w:ascii="宋体" w:hAnsi="宋体" w:eastAsia="宋体" w:cs="宋体"/>
          <w:kern w:val="0"/>
          <w:sz w:val="28"/>
          <w:szCs w:val="28"/>
        </w:rPr>
        <w:t>约10-15条</w:t>
      </w:r>
      <w:r>
        <w:rPr>
          <w:rFonts w:hint="eastAsia" w:ascii="宋体" w:hAnsi="宋体" w:eastAsia="宋体" w:cs="宋体"/>
          <w:kern w:val="0"/>
          <w:sz w:val="28"/>
          <w:szCs w:val="28"/>
        </w:rPr>
        <w:t>）</w:t>
      </w:r>
    </w:p>
    <w:p w14:paraId="0BB5E55B">
      <w:pPr>
        <w:widowControl/>
        <w:numPr>
          <w:ilvl w:val="0"/>
          <w:numId w:val="7"/>
        </w:numPr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</w:rPr>
        <w:t>操作频次规则</w:t>
      </w:r>
      <w:r>
        <w:rPr>
          <w:rFonts w:hint="eastAsia" w:ascii="宋体" w:hAnsi="宋体" w:eastAsia="宋体" w:cs="宋体"/>
          <w:kern w:val="0"/>
          <w:sz w:val="28"/>
          <w:szCs w:val="28"/>
        </w:rPr>
        <w:t>（</w:t>
      </w:r>
      <w:r>
        <w:rPr>
          <w:rFonts w:ascii="宋体" w:hAnsi="宋体" w:eastAsia="宋体" w:cs="宋体"/>
          <w:kern w:val="0"/>
          <w:sz w:val="28"/>
          <w:szCs w:val="28"/>
        </w:rPr>
        <w:t>约15条</w:t>
      </w:r>
      <w:r>
        <w:rPr>
          <w:rFonts w:hint="eastAsia" w:ascii="宋体" w:hAnsi="宋体" w:eastAsia="宋体" w:cs="宋体"/>
          <w:kern w:val="0"/>
          <w:sz w:val="28"/>
          <w:szCs w:val="28"/>
        </w:rPr>
        <w:t>）</w:t>
      </w:r>
    </w:p>
    <w:p w14:paraId="531306B4">
      <w:pPr>
        <w:widowControl/>
        <w:numPr>
          <w:ilvl w:val="0"/>
          <w:numId w:val="7"/>
        </w:numPr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安全边际规则（约10条）</w:t>
      </w:r>
    </w:p>
    <w:p w14:paraId="05900CDF">
      <w:pPr>
        <w:widowControl/>
        <w:numPr>
          <w:ilvl w:val="0"/>
          <w:numId w:val="7"/>
        </w:numPr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库位平衡规则（约10条）</w:t>
      </w:r>
    </w:p>
    <w:p w14:paraId="3A3E8AE8">
      <w:pPr>
        <w:widowControl/>
        <w:numPr>
          <w:ilvl w:val="0"/>
          <w:numId w:val="7"/>
        </w:numPr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预防性腾挪规则（约10条）</w:t>
      </w:r>
    </w:p>
    <w:p w14:paraId="5ADA5ABF">
      <w:pPr>
        <w:widowControl/>
        <w:numPr>
          <w:ilvl w:val="0"/>
          <w:numId w:val="7"/>
        </w:numPr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</w:rPr>
        <w:t>效益优先规则</w:t>
      </w:r>
      <w:r>
        <w:rPr>
          <w:rFonts w:hint="eastAsia" w:ascii="宋体" w:hAnsi="宋体" w:eastAsia="宋体" w:cs="宋体"/>
          <w:kern w:val="0"/>
          <w:sz w:val="28"/>
          <w:szCs w:val="28"/>
        </w:rPr>
        <w:t>（</w:t>
      </w:r>
      <w:r>
        <w:rPr>
          <w:rFonts w:ascii="宋体" w:hAnsi="宋体" w:eastAsia="宋体" w:cs="宋体"/>
          <w:kern w:val="0"/>
          <w:sz w:val="28"/>
          <w:szCs w:val="28"/>
        </w:rPr>
        <w:t>约10条</w:t>
      </w:r>
      <w:r>
        <w:rPr>
          <w:rFonts w:hint="eastAsia" w:ascii="宋体" w:hAnsi="宋体" w:eastAsia="宋体" w:cs="宋体"/>
          <w:kern w:val="0"/>
          <w:sz w:val="28"/>
          <w:szCs w:val="28"/>
        </w:rPr>
        <w:t>）</w:t>
      </w:r>
    </w:p>
    <w:p w14:paraId="3F05AD46">
      <w:pPr>
        <w:widowControl/>
        <w:numPr>
          <w:ilvl w:val="0"/>
          <w:numId w:val="7"/>
        </w:numPr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</w:rPr>
        <w:t>能耗成本规则</w:t>
      </w:r>
      <w:r>
        <w:rPr>
          <w:rFonts w:hint="eastAsia" w:ascii="宋体" w:hAnsi="宋体" w:eastAsia="宋体" w:cs="宋体"/>
          <w:kern w:val="0"/>
          <w:sz w:val="28"/>
          <w:szCs w:val="28"/>
        </w:rPr>
        <w:t>（</w:t>
      </w:r>
      <w:r>
        <w:rPr>
          <w:rFonts w:ascii="宋体" w:hAnsi="宋体" w:eastAsia="宋体" w:cs="宋体"/>
          <w:kern w:val="0"/>
          <w:sz w:val="28"/>
          <w:szCs w:val="28"/>
        </w:rPr>
        <w:t>约10条</w:t>
      </w:r>
      <w:r>
        <w:rPr>
          <w:rFonts w:hint="eastAsia" w:ascii="宋体" w:hAnsi="宋体" w:eastAsia="宋体" w:cs="宋体"/>
          <w:kern w:val="0"/>
          <w:sz w:val="28"/>
          <w:szCs w:val="28"/>
        </w:rPr>
        <w:t>）</w:t>
      </w:r>
    </w:p>
    <w:p w14:paraId="32D29E22">
      <w:pPr>
        <w:widowControl/>
        <w:numPr>
          <w:ilvl w:val="0"/>
          <w:numId w:val="7"/>
        </w:numPr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</w:rPr>
        <w:t>质量“卡边”规则</w:t>
      </w:r>
      <w:r>
        <w:rPr>
          <w:rFonts w:hint="eastAsia" w:ascii="宋体" w:hAnsi="宋体" w:eastAsia="宋体" w:cs="宋体"/>
          <w:kern w:val="0"/>
          <w:sz w:val="28"/>
          <w:szCs w:val="28"/>
        </w:rPr>
        <w:t>（</w:t>
      </w:r>
      <w:r>
        <w:rPr>
          <w:rFonts w:ascii="宋体" w:hAnsi="宋体" w:eastAsia="宋体" w:cs="宋体"/>
          <w:kern w:val="0"/>
          <w:sz w:val="28"/>
          <w:szCs w:val="28"/>
        </w:rPr>
        <w:t>约5-10条</w:t>
      </w:r>
      <w:r>
        <w:rPr>
          <w:rFonts w:hint="eastAsia" w:ascii="宋体" w:hAnsi="宋体" w:eastAsia="宋体" w:cs="宋体"/>
          <w:kern w:val="0"/>
          <w:sz w:val="28"/>
          <w:szCs w:val="28"/>
        </w:rPr>
        <w:t>）</w:t>
      </w:r>
    </w:p>
    <w:p w14:paraId="1F66340C">
      <w:pPr>
        <w:widowControl/>
        <w:numPr>
          <w:ilvl w:val="0"/>
          <w:numId w:val="7"/>
        </w:numPr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</w:rPr>
        <w:t>故障导向规则</w:t>
      </w:r>
      <w:r>
        <w:rPr>
          <w:rFonts w:hint="eastAsia" w:ascii="宋体" w:hAnsi="宋体" w:eastAsia="宋体" w:cs="宋体"/>
          <w:kern w:val="0"/>
          <w:sz w:val="28"/>
          <w:szCs w:val="28"/>
        </w:rPr>
        <w:t>（</w:t>
      </w:r>
      <w:r>
        <w:rPr>
          <w:rFonts w:ascii="宋体" w:hAnsi="宋体" w:eastAsia="宋体" w:cs="宋体"/>
          <w:kern w:val="0"/>
          <w:sz w:val="28"/>
          <w:szCs w:val="28"/>
        </w:rPr>
        <w:t>约10条</w:t>
      </w:r>
      <w:r>
        <w:rPr>
          <w:rFonts w:hint="eastAsia" w:ascii="宋体" w:hAnsi="宋体" w:eastAsia="宋体" w:cs="宋体"/>
          <w:kern w:val="0"/>
          <w:sz w:val="28"/>
          <w:szCs w:val="28"/>
        </w:rPr>
        <w:t>）</w:t>
      </w:r>
    </w:p>
    <w:p w14:paraId="38CD7AAC">
      <w:pPr>
        <w:widowControl/>
        <w:numPr>
          <w:ilvl w:val="0"/>
          <w:numId w:val="7"/>
        </w:numPr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</w:rPr>
        <w:t>指标超差处理</w:t>
      </w:r>
      <w:r>
        <w:rPr>
          <w:rFonts w:hint="eastAsia" w:ascii="宋体" w:hAnsi="宋体" w:eastAsia="宋体" w:cs="宋体"/>
          <w:kern w:val="0"/>
          <w:sz w:val="28"/>
          <w:szCs w:val="28"/>
        </w:rPr>
        <w:t>（</w:t>
      </w:r>
      <w:r>
        <w:rPr>
          <w:rFonts w:ascii="宋体" w:hAnsi="宋体" w:eastAsia="宋体" w:cs="宋体"/>
          <w:kern w:val="0"/>
          <w:sz w:val="28"/>
          <w:szCs w:val="28"/>
        </w:rPr>
        <w:t>约10条</w:t>
      </w:r>
      <w:r>
        <w:rPr>
          <w:rFonts w:hint="eastAsia" w:ascii="宋体" w:hAnsi="宋体" w:eastAsia="宋体" w:cs="宋体"/>
          <w:kern w:val="0"/>
          <w:sz w:val="28"/>
          <w:szCs w:val="28"/>
        </w:rPr>
        <w:t>）</w:t>
      </w:r>
    </w:p>
    <w:p w14:paraId="0C5C1399">
      <w:pPr>
        <w:widowControl/>
        <w:numPr>
          <w:ilvl w:val="0"/>
          <w:numId w:val="7"/>
        </w:numPr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</w:rPr>
        <w:t>极端天气/外部中断</w:t>
      </w:r>
      <w:r>
        <w:rPr>
          <w:rFonts w:hint="eastAsia" w:ascii="宋体" w:hAnsi="宋体" w:eastAsia="宋体" w:cs="宋体"/>
          <w:kern w:val="0"/>
          <w:sz w:val="28"/>
          <w:szCs w:val="28"/>
        </w:rPr>
        <w:t>（</w:t>
      </w:r>
      <w:r>
        <w:rPr>
          <w:rFonts w:ascii="宋体" w:hAnsi="宋体" w:eastAsia="宋体" w:cs="宋体"/>
          <w:kern w:val="0"/>
          <w:sz w:val="28"/>
          <w:szCs w:val="28"/>
        </w:rPr>
        <w:t>约5-10条</w:t>
      </w:r>
      <w:r>
        <w:rPr>
          <w:rFonts w:hint="eastAsia" w:ascii="宋体" w:hAnsi="宋体" w:eastAsia="宋体" w:cs="宋体"/>
          <w:kern w:val="0"/>
          <w:sz w:val="28"/>
          <w:szCs w:val="28"/>
        </w:rPr>
        <w:t>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黄荟霖" w:date="2026-04-03T16:13:00Z" w:initials="">
    <w:p w14:paraId="2090BACC">
      <w:pPr>
        <w:pStyle w:val="2"/>
        <w:rPr>
          <w:rFonts w:hint="eastAsia" w:ascii="宋体" w:hAnsi="宋体" w:eastAsia="宋体" w:cs="宋体"/>
          <w:kern w:val="0"/>
          <w:sz w:val="28"/>
          <w:szCs w:val="28"/>
        </w:rPr>
      </w:pPr>
      <w:bookmarkStart w:id="0" w:name="_GoBack"/>
      <w:r>
        <w:rPr>
          <w:rFonts w:hint="eastAsia" w:ascii="宋体" w:hAnsi="宋体" w:eastAsia="宋体" w:cs="宋体"/>
          <w:kern w:val="0"/>
          <w:sz w:val="28"/>
          <w:szCs w:val="28"/>
        </w:rPr>
        <w:t>质量标准包含原油、组分、产品的质量标准，可以写原油、组分、产品物性指标的上限、物性指标的下限。</w:t>
      </w:r>
    </w:p>
    <w:p w14:paraId="798C6366">
      <w:pPr>
        <w:pStyle w:val="2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物性指标有硫含量、密度、研究法辛烷值、抗爆指数、烯烃含量、苯含量、MTBE含量、粘度指数等等。</w:t>
      </w:r>
    </w:p>
    <w:bookmarkEnd w:id="0"/>
    <w:p w14:paraId="510F5F12">
      <w:pPr>
        <w:pStyle w:val="2"/>
        <w:numPr>
          <w:ilvl w:val="0"/>
          <w:numId w:val="1"/>
        </w:numPr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是一些通用的质量管控规则</w:t>
      </w:r>
    </w:p>
    <w:p w14:paraId="574A9E11">
      <w:pPr>
        <w:pStyle w:val="2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这部分可以写成自然语言+JSON的格式，JSON格式参考文件为</w:t>
      </w:r>
      <w:r>
        <w:rPr>
          <w:rFonts w:ascii="宋体" w:hAnsi="宋体" w:eastAsia="宋体" w:cs="宋体"/>
          <w:kern w:val="0"/>
          <w:sz w:val="28"/>
          <w:szCs w:val="28"/>
        </w:rPr>
        <w:t>”</w:t>
      </w:r>
      <w:r>
        <w:rPr>
          <w:rFonts w:hint="eastAsia" w:ascii="宋体" w:hAnsi="宋体" w:eastAsia="宋体" w:cs="宋体"/>
          <w:kern w:val="0"/>
          <w:sz w:val="28"/>
          <w:szCs w:val="28"/>
        </w:rPr>
        <w:t>规则库</w:t>
      </w:r>
      <w:r>
        <w:rPr>
          <w:rFonts w:ascii="宋体" w:hAnsi="宋体" w:eastAsia="宋体" w:cs="宋体"/>
          <w:kern w:val="0"/>
          <w:sz w:val="28"/>
          <w:szCs w:val="28"/>
        </w:rPr>
        <w:t>”</w:t>
      </w:r>
    </w:p>
    <w:p w14:paraId="76670FE2">
      <w:pPr>
        <w:pStyle w:val="2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例：胜利混合原油的API度为18.54。</w:t>
      </w:r>
    </w:p>
    <w:p w14:paraId="5255B245">
      <w:pPr>
        <w:pStyle w:val="2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以下是部分原油的信息表~</w:t>
      </w:r>
    </w:p>
    <w:p w14:paraId="39AAA9BC">
      <w:pPr>
        <w:pStyle w:val="2"/>
        <w:rPr>
          <w:rFonts w:hint="eastAsia" w:ascii="宋体" w:hAnsi="宋体" w:eastAsia="宋体" w:cs="宋体"/>
          <w:kern w:val="0"/>
          <w:sz w:val="28"/>
          <w:szCs w:val="28"/>
        </w:rPr>
      </w:pPr>
      <w:r>
        <w:drawing>
          <wp:inline distT="0" distB="0" distL="114300" distR="114300">
            <wp:extent cx="5264150" cy="791845"/>
            <wp:effectExtent l="0" t="0" r="635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</w:comment>
  <w:comment w:id="1" w:author="Jaelyn J" w:date="2026-04-03T18:27:00Z" w:initials="JJ">
    <w:p w14:paraId="5B7F4030">
      <w:pPr>
        <w:pStyle w:val="2"/>
      </w:pPr>
      <w:r>
        <w:rPr>
          <w:rFonts w:hint="eastAsia"/>
        </w:rPr>
        <w:t>聚焦于</w:t>
      </w:r>
      <w:r>
        <w:rPr>
          <w:rFonts w:hint="eastAsia"/>
          <w:color w:val="060A26"/>
          <w:highlight w:val="white"/>
        </w:rPr>
        <w:t>单装置内部的硬性约束、操作红线、运行模式切换逻辑及工艺参数边界</w:t>
      </w:r>
      <w:r>
        <w:rPr>
          <w:rFonts w:hint="eastAsia"/>
        </w:rPr>
        <w:t>。</w:t>
      </w:r>
    </w:p>
  </w:comment>
  <w:comment w:id="2" w:author="Jaelyn J" w:date="2026-04-03T18:49:00Z" w:initials="JJ">
    <w:p w14:paraId="17228D2E">
      <w:pPr>
        <w:pStyle w:val="2"/>
      </w:pPr>
      <w:r>
        <w:rPr>
          <w:rFonts w:hint="eastAsia"/>
          <w:color w:val="060A26"/>
          <w:highlight w:val="white"/>
        </w:rPr>
        <w:t>聚焦于装置与装置之间、单元与单元之间的物料平衡、能量耦合及上下游协同逻辑</w:t>
      </w:r>
      <w:r>
        <w:t xml:space="preserve"> </w:t>
      </w:r>
    </w:p>
  </w:comment>
  <w:comment w:id="3" w:author="黄荟霖" w:date="2026-04-03T16:20:00Z" w:initials="">
    <w:p w14:paraId="2F433D05">
      <w:pPr>
        <w:pStyle w:val="2"/>
      </w:pPr>
      <w:r>
        <w:rPr>
          <w:rFonts w:hint="eastAsia"/>
        </w:rPr>
        <w:t>操作规程规则包括但不限于各装置的：</w:t>
      </w:r>
    </w:p>
    <w:p w14:paraId="5AA9E1A0">
      <w:pPr>
        <w:pStyle w:val="2"/>
      </w:pPr>
      <w:r>
        <w:rPr>
          <w:rFonts w:hint="eastAsia"/>
        </w:rPr>
        <w:t>1）</w:t>
      </w:r>
      <w:r>
        <w:t>开工、正常运行、停工、异常处理全流程操作步骤</w:t>
      </w:r>
    </w:p>
    <w:p w14:paraId="372AFB22">
      <w:pPr>
        <w:pStyle w:val="2"/>
      </w:pPr>
      <w:r>
        <w:rPr>
          <w:rFonts w:hint="eastAsia"/>
        </w:rPr>
        <w:t>2）</w:t>
      </w:r>
      <w:r>
        <w:t>关键工艺参数控制范围与调整方法</w:t>
      </w:r>
    </w:p>
    <w:p w14:paraId="78A26DD8">
      <w:pPr>
        <w:pStyle w:val="2"/>
      </w:pPr>
      <w:r>
        <w:rPr>
          <w:rFonts w:hint="eastAsia"/>
        </w:rPr>
        <w:t>3）</w:t>
      </w:r>
      <w:r>
        <w:t>设备启停、切换、巡检、维护操作要求</w:t>
      </w:r>
    </w:p>
    <w:p w14:paraId="298FF0F6">
      <w:pPr>
        <w:pStyle w:val="2"/>
      </w:pPr>
      <w:r>
        <w:rPr>
          <w:rFonts w:hint="eastAsia"/>
        </w:rPr>
        <w:t>4）</w:t>
      </w:r>
      <w:r>
        <w:t>联锁、报警、紧急停车操作原则</w:t>
      </w:r>
    </w:p>
    <w:p w14:paraId="1F73B15F">
      <w:pPr>
        <w:pStyle w:val="2"/>
      </w:pPr>
      <w:r>
        <w:rPr>
          <w:rFonts w:hint="eastAsia"/>
        </w:rPr>
        <w:t>5）</w:t>
      </w:r>
      <w:r>
        <w:t>物料收付、调合、输送安全操作</w:t>
      </w:r>
    </w:p>
    <w:p w14:paraId="1B74C9C3">
      <w:pPr>
        <w:pStyle w:val="2"/>
      </w:pPr>
      <w:r>
        <w:rPr>
          <w:rFonts w:hint="eastAsia"/>
        </w:rPr>
        <w:t>6）</w:t>
      </w:r>
      <w:r>
        <w:t>采样、分析、质量控制操作规范</w:t>
      </w:r>
    </w:p>
    <w:p w14:paraId="6144B816">
      <w:pPr>
        <w:pStyle w:val="2"/>
      </w:pPr>
      <w:r>
        <w:rPr>
          <w:rFonts w:hint="eastAsia"/>
        </w:rPr>
        <w:t>7）</w:t>
      </w:r>
      <w:r>
        <w:t>安全环保、防静电、防泄漏、防超温超压强制条款</w:t>
      </w:r>
    </w:p>
    <w:p w14:paraId="030F32F2">
      <w:pPr>
        <w:pStyle w:val="2"/>
      </w:pPr>
      <w:r>
        <w:rPr>
          <w:rFonts w:hint="eastAsia"/>
        </w:rPr>
        <w:t>8）</w:t>
      </w:r>
      <w:r>
        <w:t>交接班、记录填写、操作票执行管理要求</w:t>
      </w:r>
    </w:p>
    <w:p w14:paraId="39885912">
      <w:pPr>
        <w:widowControl/>
        <w:jc w:val="left"/>
        <w:rPr>
          <w:rFonts w:ascii="Times New Roman" w:hAnsi="Times New Roman" w:eastAsia="宋体" w:cs="Times New Roman"/>
          <w:color w:val="000000"/>
          <w:kern w:val="0"/>
          <w:sz w:val="18"/>
          <w:szCs w:val="18"/>
          <w:lang w:bidi="ar"/>
        </w:rPr>
      </w:pPr>
      <w:r>
        <w:rPr>
          <w:rFonts w:hint="eastAsia"/>
        </w:rPr>
        <w:t>例：常压装置</w:t>
      </w: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bidi="ar"/>
        </w:rPr>
        <w:t>常顶油气压力设计值≤</w:t>
      </w:r>
      <w:r>
        <w:rPr>
          <w:rFonts w:ascii="Times New Roman" w:hAnsi="Times New Roman" w:eastAsia="宋体" w:cs="Times New Roman"/>
          <w:color w:val="000000"/>
          <w:kern w:val="0"/>
          <w:sz w:val="18"/>
          <w:szCs w:val="18"/>
          <w:lang w:bidi="ar"/>
        </w:rPr>
        <w:t>0.12</w:t>
      </w:r>
      <w:r>
        <w:rPr>
          <w:rFonts w:hint="eastAsia" w:ascii="Times New Roman" w:hAnsi="Times New Roman" w:eastAsia="宋体" w:cs="Times New Roman"/>
          <w:color w:val="000000"/>
          <w:kern w:val="0"/>
          <w:sz w:val="18"/>
          <w:szCs w:val="18"/>
          <w:lang w:bidi="ar"/>
        </w:rPr>
        <w:t>；</w:t>
      </w:r>
    </w:p>
    <w:p w14:paraId="432F8BA0">
      <w:pPr>
        <w:widowControl/>
        <w:jc w:val="left"/>
        <w:rPr>
          <w:rFonts w:ascii="Times New Roman" w:hAnsi="Times New Roman" w:eastAsia="宋体" w:cs="Times New Roman"/>
          <w:color w:val="000000"/>
          <w:kern w:val="0"/>
          <w:sz w:val="18"/>
          <w:szCs w:val="18"/>
          <w:lang w:bidi="ar"/>
        </w:rPr>
      </w:pPr>
      <w:r>
        <w:rPr>
          <w:rFonts w:hint="eastAsia"/>
        </w:rPr>
        <w:t>常压装置</w:t>
      </w: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bidi="ar"/>
        </w:rPr>
        <w:t>常顶油气压力最低报警值≤</w:t>
      </w:r>
      <w:r>
        <w:rPr>
          <w:rFonts w:ascii="Times New Roman" w:hAnsi="Times New Roman" w:eastAsia="宋体" w:cs="Times New Roman"/>
          <w:color w:val="000000"/>
          <w:kern w:val="0"/>
          <w:sz w:val="18"/>
          <w:szCs w:val="18"/>
          <w:lang w:bidi="ar"/>
        </w:rPr>
        <w:t>0.</w:t>
      </w:r>
      <w:r>
        <w:rPr>
          <w:rFonts w:hint="eastAsia" w:ascii="Times New Roman" w:hAnsi="Times New Roman" w:eastAsia="宋体" w:cs="Times New Roman"/>
          <w:color w:val="000000"/>
          <w:kern w:val="0"/>
          <w:sz w:val="18"/>
          <w:szCs w:val="18"/>
          <w:lang w:bidi="ar"/>
        </w:rPr>
        <w:t>02；</w:t>
      </w:r>
    </w:p>
  </w:comment>
  <w:comment w:id="4" w:author="黄荟霖" w:date="2026-04-03T16:26:00Z" w:initials="">
    <w:p w14:paraId="10B96560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极端天气包含大风沙尘、高温、雷暴雨、大雾、冰雪极寒等</w:t>
      </w:r>
    </w:p>
    <w:p w14:paraId="01BE6A3C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例：</w:t>
      </w:r>
      <w:r>
        <w:rPr>
          <w:rFonts w:hint="eastAsia" w:ascii="宋体" w:hAnsi="宋体" w:eastAsia="宋体" w:cs="宋体"/>
          <w:color w:val="000000"/>
          <w:kern w:val="0"/>
          <w:sz w:val="31"/>
          <w:szCs w:val="31"/>
          <w:lang w:bidi="ar"/>
        </w:rPr>
        <w:t>高温天气需提前制定计划，安排给各冷换设备进行冲洗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9AAA9BC" w15:done="0"/>
  <w15:commentEx w15:paraId="5B7F4030" w15:done="0"/>
  <w15:commentEx w15:paraId="17228D2E" w15:done="0"/>
  <w15:commentEx w15:paraId="432F8BA0" w15:done="0"/>
  <w15:commentEx w15:paraId="01BE6A3C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73AFF9"/>
    <w:multiLevelType w:val="singleLevel"/>
    <w:tmpl w:val="8973AFF9"/>
    <w:lvl w:ilvl="0" w:tentative="0">
      <w:start w:val="14"/>
      <w:numFmt w:val="decimal"/>
      <w:suff w:val="nothing"/>
      <w:lvlText w:val="（%1）"/>
      <w:lvlJc w:val="left"/>
    </w:lvl>
  </w:abstractNum>
  <w:abstractNum w:abstractNumId="1">
    <w:nsid w:val="970B92B6"/>
    <w:multiLevelType w:val="singleLevel"/>
    <w:tmpl w:val="970B92B6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A796F878"/>
    <w:multiLevelType w:val="singleLevel"/>
    <w:tmpl w:val="A796F878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15C32FE9"/>
    <w:multiLevelType w:val="singleLevel"/>
    <w:tmpl w:val="15C32FE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34DC2247"/>
    <w:multiLevelType w:val="multilevel"/>
    <w:tmpl w:val="34DC2247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47BF0BF0"/>
    <w:multiLevelType w:val="singleLevel"/>
    <w:tmpl w:val="47BF0BF0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71F4B446"/>
    <w:multiLevelType w:val="multilevel"/>
    <w:tmpl w:val="71F4B446"/>
    <w:lvl w:ilvl="0" w:tentative="0">
      <w:start w:val="1"/>
      <w:numFmt w:val="decimal"/>
      <w:suff w:val="nothing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6"/>
  </w:num>
  <w:num w:numId="5">
    <w:abstractNumId w:val="4"/>
  </w:num>
  <w:num w:numId="6">
    <w:abstractNumId w:val="2"/>
  </w:num>
  <w:num w:numId="7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黄荟霖">
    <w15:presenceInfo w15:providerId="None" w15:userId="黄荟霖"/>
  </w15:person>
  <w15:person w15:author="Jaelyn J">
    <w15:presenceInfo w15:providerId="Windows Live" w15:userId="f5e5248f3fb9836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DE1"/>
    <w:rsid w:val="00110186"/>
    <w:rsid w:val="004B47B3"/>
    <w:rsid w:val="00526DE1"/>
    <w:rsid w:val="00664475"/>
    <w:rsid w:val="006B57F0"/>
    <w:rsid w:val="007056BD"/>
    <w:rsid w:val="00812E78"/>
    <w:rsid w:val="00EC085E"/>
    <w:rsid w:val="03C97144"/>
    <w:rsid w:val="060D2627"/>
    <w:rsid w:val="06E11A9E"/>
    <w:rsid w:val="06FA0280"/>
    <w:rsid w:val="0B8A2AEF"/>
    <w:rsid w:val="0DE325EB"/>
    <w:rsid w:val="0E43308A"/>
    <w:rsid w:val="111E575C"/>
    <w:rsid w:val="16096967"/>
    <w:rsid w:val="18A84B5D"/>
    <w:rsid w:val="1E401394"/>
    <w:rsid w:val="22D30A28"/>
    <w:rsid w:val="24B623B0"/>
    <w:rsid w:val="26A34BB6"/>
    <w:rsid w:val="280A7ACB"/>
    <w:rsid w:val="28D92B11"/>
    <w:rsid w:val="28EC1379"/>
    <w:rsid w:val="2AB6067F"/>
    <w:rsid w:val="30442F65"/>
    <w:rsid w:val="32BD2B5B"/>
    <w:rsid w:val="362D624A"/>
    <w:rsid w:val="3ED23E32"/>
    <w:rsid w:val="45107462"/>
    <w:rsid w:val="45372C41"/>
    <w:rsid w:val="484511D1"/>
    <w:rsid w:val="4AF759D7"/>
    <w:rsid w:val="4EA32699"/>
    <w:rsid w:val="503B1BA2"/>
    <w:rsid w:val="52224331"/>
    <w:rsid w:val="57374425"/>
    <w:rsid w:val="584C2108"/>
    <w:rsid w:val="5D5061F6"/>
    <w:rsid w:val="62065A1D"/>
    <w:rsid w:val="624246C7"/>
    <w:rsid w:val="64862D68"/>
    <w:rsid w:val="66F138C8"/>
    <w:rsid w:val="68643C47"/>
    <w:rsid w:val="688B0A2A"/>
    <w:rsid w:val="699E02E9"/>
    <w:rsid w:val="69B12712"/>
    <w:rsid w:val="6DAF1303"/>
    <w:rsid w:val="6DEC02D9"/>
    <w:rsid w:val="707D50FC"/>
    <w:rsid w:val="71614A1E"/>
    <w:rsid w:val="76C33FE6"/>
    <w:rsid w:val="77A64F39"/>
    <w:rsid w:val="788334CC"/>
    <w:rsid w:val="78EC2E1F"/>
    <w:rsid w:val="79386064"/>
    <w:rsid w:val="794E2DB3"/>
    <w:rsid w:val="7D133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4"/>
    <w:qFormat/>
    <w:uiPriority w:val="0"/>
    <w:pPr>
      <w:jc w:val="left"/>
    </w:pPr>
  </w:style>
  <w:style w:type="paragraph" w:styleId="3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annotation subject"/>
    <w:basedOn w:val="2"/>
    <w:next w:val="2"/>
    <w:link w:val="15"/>
    <w:qFormat/>
    <w:uiPriority w:val="0"/>
    <w:rPr>
      <w:b/>
      <w:bCs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annotation reference"/>
    <w:basedOn w:val="7"/>
    <w:qFormat/>
    <w:uiPriority w:val="0"/>
    <w:rPr>
      <w:sz w:val="21"/>
      <w:szCs w:val="21"/>
    </w:rPr>
  </w:style>
  <w:style w:type="character" w:customStyle="1" w:styleId="10">
    <w:name w:val="页眉 字符"/>
    <w:basedOn w:val="7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  <w14:ligatures w14:val="none"/>
    </w:rPr>
  </w:style>
  <w:style w:type="character" w:customStyle="1" w:styleId="11">
    <w:name w:val="页脚 字符"/>
    <w:basedOn w:val="7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  <w14:ligatures w14:val="none"/>
    </w:rPr>
  </w:style>
  <w:style w:type="paragraph" w:customStyle="1" w:styleId="12">
    <w:name w:val="列表段落1"/>
    <w:basedOn w:val="1"/>
    <w:unhideWhenUsed/>
    <w:qFormat/>
    <w:uiPriority w:val="99"/>
    <w:pPr>
      <w:ind w:firstLine="420" w:firstLineChars="200"/>
    </w:pPr>
  </w:style>
  <w:style w:type="paragraph" w:customStyle="1" w:styleId="13">
    <w:name w:val="Revision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customStyle="1" w:styleId="14">
    <w:name w:val="批注文字 字符"/>
    <w:basedOn w:val="7"/>
    <w:link w:val="2"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15">
    <w:name w:val="批注主题 字符"/>
    <w:basedOn w:val="14"/>
    <w:link w:val="5"/>
    <w:qFormat/>
    <w:uiPriority w:val="0"/>
    <w:rPr>
      <w:rFonts w:asciiTheme="minorHAnsi" w:hAnsiTheme="minorHAnsi" w:eastAsiaTheme="minorEastAsia" w:cstheme="minorBidi"/>
      <w:b/>
      <w:bCs/>
      <w:kern w:val="2"/>
      <w:sz w:val="21"/>
      <w:szCs w:val="24"/>
    </w:rPr>
  </w:style>
</w:style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376</Words>
  <Characters>461</Characters>
  <Lines>24</Lines>
  <Paragraphs>6</Paragraphs>
  <TotalTime>33</TotalTime>
  <ScaleCrop>false</ScaleCrop>
  <LinksUpToDate>false</LinksUpToDate>
  <CharactersWithSpaces>461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2026-04-03T10:50:00Z</dcterms:created>
  <dc:creator>黄荟霖</dc:creator>
  <cp:lastModifiedBy>WPS_1646801268</cp:lastModifiedBy>
  <dcterms:modified xsi:type="dcterms:W3CDTF">2026-04-06T01:27:43Z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0AB699BD5E1B42439B0ECD55FAD1ED5A_13</vt:lpwstr>
  </property>
  <property fmtid="{D5CDD505-2E9C-101B-9397-08002B2CF9AE}" pid="4" name="KSOTemplateDocerSaveRecord">
    <vt:lpwstr>eyJoZGlkIjoiNjY0YTcyNmViYTI2NDYyMjY5MWFjNjIyZDA3OTkxM2QiLCJ1c2VySWQiOiIxMzQyMjgyMTQwIn0=</vt:lpwstr>
  </property>
</Properties>
</file>