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62E9E8">
      <w:pPr>
        <w:spacing w:before="0" w:after="6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17365D"/>
          <w:sz w:val="42"/>
        </w:rPr>
        <w:t>石化项目规则拆分与语义重构阶段汇报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6"/>
        <w:gridCol w:w="3306"/>
        <w:gridCol w:w="3306"/>
      </w:tblGrid>
      <w:tr w14:paraId="4D6B60E3">
        <w:trPr>
          <w:trHeight w:val="809" w:hRule="atLeast"/>
          <w:jc w:val="center"/>
        </w:trPr>
        <w:tc>
          <w:tcPr>
            <w:tcW w:w="3293" w:type="dxa"/>
            <w:shd w:val="clear" w:color="auto" w:fill="D9EAF7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78D16D05">
            <w:pPr>
              <w:spacing w:line="240" w:lineRule="auto"/>
              <w:jc w:val="center"/>
              <w:rPr>
                <w:rFonts w:hint="eastAsia" w:ascii="PingFang SC Regular" w:hAnsi="PingFang SC Regular" w:eastAsia="PingFang SC Regular" w:cs="PingFang SC Regular"/>
                <w:sz w:val="20"/>
                <w:szCs w:val="20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  <w:szCs w:val="20"/>
              </w:rPr>
              <w:t>拆分前</w:t>
            </w:r>
          </w:p>
          <w:p w14:paraId="712896CD">
            <w:pPr>
              <w:spacing w:before="0" w:after="0" w:line="240" w:lineRule="auto"/>
              <w:jc w:val="center"/>
              <w:rPr>
                <w:rFonts w:hint="eastAsia" w:ascii="PingFang SC Regular" w:hAnsi="PingFang SC Regular" w:eastAsia="PingFang SC Regular" w:cs="PingFang SC Regular"/>
                <w:sz w:val="20"/>
                <w:szCs w:val="20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  <w:szCs w:val="20"/>
              </w:rPr>
              <w:t>118 条</w:t>
            </w:r>
          </w:p>
        </w:tc>
        <w:tc>
          <w:tcPr>
            <w:tcW w:w="3293" w:type="dxa"/>
            <w:shd w:val="clear" w:color="auto" w:fill="E2F0D9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61EF0289">
            <w:pPr>
              <w:spacing w:line="240" w:lineRule="auto"/>
              <w:jc w:val="center"/>
              <w:rPr>
                <w:rFonts w:hint="eastAsia" w:ascii="PingFang SC Regular" w:hAnsi="PingFang SC Regular" w:eastAsia="PingFang SC Regular" w:cs="PingFang SC Regular"/>
                <w:sz w:val="20"/>
                <w:szCs w:val="20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  <w:szCs w:val="20"/>
              </w:rPr>
              <w:t>拆分后</w:t>
            </w:r>
          </w:p>
          <w:p w14:paraId="4F053E83">
            <w:pPr>
              <w:spacing w:before="0" w:after="0" w:line="240" w:lineRule="auto"/>
              <w:jc w:val="center"/>
              <w:rPr>
                <w:rFonts w:hint="eastAsia" w:ascii="PingFang SC Regular" w:hAnsi="PingFang SC Regular" w:eastAsia="PingFang SC Regular" w:cs="PingFang SC Regular"/>
                <w:sz w:val="20"/>
                <w:szCs w:val="20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  <w:szCs w:val="20"/>
                <w:lang w:val="en-US" w:eastAsia="zh-CN"/>
              </w:rPr>
              <w:t>444</w:t>
            </w: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  <w:szCs w:val="20"/>
              </w:rPr>
              <w:t xml:space="preserve"> 条</w:t>
            </w:r>
          </w:p>
        </w:tc>
        <w:tc>
          <w:tcPr>
            <w:tcW w:w="3293" w:type="dxa"/>
            <w:shd w:val="clear" w:color="auto" w:fill="FCE4D6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6FA16185">
            <w:pPr>
              <w:spacing w:line="240" w:lineRule="auto"/>
              <w:jc w:val="center"/>
              <w:rPr>
                <w:rFonts w:hint="eastAsia" w:ascii="PingFang SC Regular" w:hAnsi="PingFang SC Regular" w:eastAsia="PingFang SC Regular" w:cs="PingFang SC Regular"/>
                <w:sz w:val="20"/>
                <w:szCs w:val="20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  <w:szCs w:val="20"/>
              </w:rPr>
              <w:t>净增加</w:t>
            </w:r>
          </w:p>
          <w:p w14:paraId="75638CD1">
            <w:pPr>
              <w:spacing w:before="0" w:after="0" w:line="240" w:lineRule="auto"/>
              <w:jc w:val="center"/>
              <w:rPr>
                <w:rFonts w:hint="eastAsia" w:ascii="PingFang SC Regular" w:hAnsi="PingFang SC Regular" w:eastAsia="PingFang SC Regular" w:cs="PingFang SC Regular"/>
                <w:sz w:val="20"/>
                <w:szCs w:val="20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  <w:szCs w:val="20"/>
                <w:lang w:val="en-US" w:eastAsia="zh-CN"/>
              </w:rPr>
              <w:t>326</w:t>
            </w: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  <w:szCs w:val="20"/>
              </w:rPr>
              <w:t xml:space="preserve"> 条</w:t>
            </w:r>
          </w:p>
        </w:tc>
      </w:tr>
    </w:tbl>
    <w:p w14:paraId="23D28727">
      <w:pPr>
        <w:spacing w:before="160" w:after="100" w:line="276" w:lineRule="auto"/>
        <w:jc w:val="center"/>
        <w:rPr>
          <w:rFonts w:hint="eastAsia" w:ascii="PingFang SC Regular" w:hAnsi="PingFang SC Regular" w:eastAsia="PingFang SC Regular" w:cs="PingFang SC Regular"/>
          <w:b/>
          <w:color w:val="17365D"/>
          <w:sz w:val="30"/>
          <w:lang w:eastAsia="zh-CN"/>
        </w:rPr>
      </w:pPr>
      <w:bookmarkStart w:id="0" w:name="_GoBack"/>
      <w:r>
        <w:rPr>
          <w:rFonts w:hint="eastAsia" w:ascii="PingFang SC Regular" w:hAnsi="PingFang SC Regular" w:eastAsia="PingFang SC Regular" w:cs="PingFang SC Regular"/>
          <w:b/>
          <w:color w:val="17365D"/>
          <w:sz w:val="30"/>
          <w:lang w:eastAsia="zh-CN"/>
        </w:rPr>
        <w:drawing>
          <wp:inline distT="0" distB="0" distL="114300" distR="114300">
            <wp:extent cx="5594350" cy="3502025"/>
            <wp:effectExtent l="0" t="0" r="19050" b="3175"/>
            <wp:docPr id="1" name="图片 1" descr="9.16 小类规则数统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9.16 小类规则数统计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435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755CBA8E">
      <w:pPr>
        <w:spacing w:before="160" w:after="100" w:line="276" w:lineRule="auto"/>
        <w:rPr>
          <w:rFonts w:hint="default" w:ascii="PingFang SC Regular" w:hAnsi="PingFang SC Regular" w:eastAsia="PingFang SC Regular" w:cs="PingFang SC Regular"/>
          <w:lang w:val="en-US" w:eastAsia="zh-CN"/>
        </w:rPr>
      </w:pPr>
      <w:r>
        <w:rPr>
          <w:rFonts w:hint="eastAsia" w:ascii="PingFang SC Regular" w:hAnsi="PingFang SC Regular" w:eastAsia="PingFang SC Regular" w:cs="PingFang SC Regular"/>
          <w:b/>
          <w:color w:val="17365D"/>
          <w:sz w:val="30"/>
        </w:rPr>
        <w:t>一、本次规则拆分主要做了</w:t>
      </w:r>
      <w:r>
        <w:rPr>
          <w:rFonts w:hint="eastAsia" w:ascii="PingFang SC Regular" w:hAnsi="PingFang SC Regular" w:eastAsia="PingFang SC Regular" w:cs="PingFang SC Regular"/>
          <w:b/>
          <w:color w:val="17365D"/>
          <w:sz w:val="30"/>
          <w:lang w:val="en-US" w:eastAsia="zh-CN"/>
        </w:rPr>
        <w:t>以下处理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7"/>
        <w:gridCol w:w="3437"/>
        <w:gridCol w:w="3437"/>
      </w:tblGrid>
      <w:tr w14:paraId="1148AA46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FE9FC1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处理内容</w:t>
            </w:r>
          </w:p>
        </w:tc>
        <w:tc>
          <w:tcPr>
            <w:tcW w:w="3118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E45AA4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拆分前问题</w:t>
            </w:r>
          </w:p>
        </w:tc>
        <w:tc>
          <w:tcPr>
            <w:tcW w:w="4365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B1DFF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拆分后处理</w:t>
            </w:r>
          </w:p>
        </w:tc>
      </w:tr>
      <w:tr w14:paraId="0870C83A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59488E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1. 真正上下限拆开</w:t>
            </w:r>
          </w:p>
        </w:tc>
        <w:tc>
          <w:tcPr>
            <w:tcW w:w="31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F399C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一条规则同时保存 min / max</w:t>
            </w:r>
          </w:p>
        </w:tc>
        <w:tc>
          <w:tcPr>
            <w:tcW w:w="43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ADC2B4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拆为 MIN、MAX 两条规则；rule_id、description、parameter 同步调整</w:t>
            </w:r>
          </w:p>
        </w:tc>
      </w:tr>
      <w:tr w14:paraId="1FD2C9BE">
        <w:trPr>
          <w:jc w:val="center"/>
        </w:trPr>
        <w:tc>
          <w:tcPr>
            <w:tcW w:w="2268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D2E8B2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2. 单值误判纠正</w:t>
            </w:r>
          </w:p>
        </w:tc>
        <w:tc>
          <w:tcPr>
            <w:tcW w:w="3118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B32F49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固定值被写成 min=max</w:t>
            </w:r>
          </w:p>
        </w:tc>
        <w:tc>
          <w:tcPr>
            <w:tcW w:w="4365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59C6BC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恢复成一个单值参数，不再人为制造上下限</w:t>
            </w:r>
          </w:p>
        </w:tc>
      </w:tr>
      <w:tr w14:paraId="5DA6EC5C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49E9A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3. 多实体分开表达</w:t>
            </w:r>
          </w:p>
        </w:tc>
        <w:tc>
          <w:tcPr>
            <w:tcW w:w="31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F05E2D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YCO/RCO 两个原油值被取 min/max</w:t>
            </w:r>
          </w:p>
        </w:tc>
        <w:tc>
          <w:tcPr>
            <w:tcW w:w="43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6A79D7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按原油实体分别建规则，保留“数值属于谁”的语义</w:t>
            </w:r>
          </w:p>
        </w:tc>
      </w:tr>
      <w:tr w14:paraId="03451FDC">
        <w:trPr>
          <w:jc w:val="center"/>
        </w:trPr>
        <w:tc>
          <w:tcPr>
            <w:tcW w:w="2268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8FA5DD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4. 复合规则原子化</w:t>
            </w:r>
          </w:p>
        </w:tc>
        <w:tc>
          <w:tcPr>
            <w:tcW w:w="3118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16354B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一条规则同时描述多个独立事实</w:t>
            </w:r>
          </w:p>
        </w:tc>
        <w:tc>
          <w:tcPr>
            <w:tcW w:w="4365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41DDA1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拆成“一条规则一个事实”，便于检索、约束匹配和追溯</w:t>
            </w:r>
          </w:p>
        </w:tc>
      </w:tr>
      <w:tr w14:paraId="217C8892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55EDB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5. 源值与推导值区分</w:t>
            </w:r>
          </w:p>
        </w:tc>
        <w:tc>
          <w:tcPr>
            <w:tcW w:w="31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C4E9A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计算结果与 Excel 直接值混在一起</w:t>
            </w:r>
          </w:p>
        </w:tc>
        <w:tc>
          <w:tcPr>
            <w:tcW w:w="43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184E3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直接字段作为源规则；计算结果单独作为推导规则表达</w:t>
            </w:r>
          </w:p>
        </w:tc>
      </w:tr>
    </w:tbl>
    <w:p w14:paraId="132ECE31">
      <w:pPr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</w:rPr>
        <w:br w:type="page"/>
      </w:r>
    </w:p>
    <w:p w14:paraId="194D6985">
      <w:pPr>
        <w:spacing w:before="16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17365D"/>
          <w:sz w:val="30"/>
        </w:rPr>
        <w:t>二、典型案例</w:t>
      </w:r>
    </w:p>
    <w:p w14:paraId="67E288EE">
      <w:pPr>
        <w:spacing w:before="8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2F75B5"/>
          <w:sz w:val="24"/>
        </w:rPr>
        <w:t>案例 1：真实上下限拆分 - 6101 原油罐</w:t>
      </w:r>
    </w:p>
    <w:p w14:paraId="1FAB97C9">
      <w:pPr>
        <w:spacing w:before="0" w:after="8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原规则把上下限放在同一个字典里；拆分后每条规则只表达一个边界，并同步重构 ID 和描述。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56"/>
        <w:gridCol w:w="5156"/>
      </w:tblGrid>
      <w:tr w14:paraId="0E0DD2D3">
        <w:trPr>
          <w:tblHeader/>
          <w:jc w:val="center"/>
        </w:trPr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DA5218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拆分前</w:t>
            </w:r>
          </w:p>
        </w:tc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B8B89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拆分后</w:t>
            </w:r>
          </w:p>
        </w:tc>
      </w:tr>
      <w:tr w14:paraId="3C0B5283">
        <w:trPr>
          <w:jc w:val="center"/>
        </w:trPr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ABF109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CRUDE_INVENTORY_BOUND_6101</w:t>
            </w:r>
          </w:p>
          <w:p w14:paraId="2BE5F2B0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库存下限 1325 t + 库存上限 7579 t</w:t>
            </w:r>
          </w:p>
          <w:p w14:paraId="29837AAF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parameters: inventory_min + inventory_max</w:t>
            </w:r>
          </w:p>
        </w:tc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5732D5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CRUDE_INVENTORY_LEVEL_MIN_6101</w:t>
            </w:r>
          </w:p>
          <w:p w14:paraId="6A310A40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安全液位下限 2.5 m</w:t>
            </w:r>
          </w:p>
          <w:p w14:paraId="076D3D79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</w:p>
          <w:p w14:paraId="58FC7D12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CRUDE_INVENTORY_LEVEL_MAX_6101</w:t>
            </w:r>
          </w:p>
          <w:p w14:paraId="777A1B94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安全液位上限 14.3 m</w:t>
            </w:r>
          </w:p>
        </w:tc>
      </w:tr>
    </w:tbl>
    <w:p w14:paraId="1E4C33C5">
      <w:pPr>
        <w:spacing w:before="8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2F75B5"/>
          <w:sz w:val="24"/>
        </w:rPr>
        <w:t>案例 2：固定值不再伪装成上下限</w:t>
      </w:r>
    </w:p>
    <w:p w14:paraId="73E10368">
      <w:pPr>
        <w:spacing w:before="0" w:after="8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源表只有一个明确数值时，不能用 min=max 表示范围。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56"/>
        <w:gridCol w:w="5156"/>
      </w:tblGrid>
      <w:tr w14:paraId="20B4B626">
        <w:trPr>
          <w:tblHeader/>
          <w:jc w:val="center"/>
        </w:trPr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100F31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拆分前</w:t>
            </w:r>
          </w:p>
        </w:tc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54BF56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拆分后</w:t>
            </w:r>
          </w:p>
        </w:tc>
      </w:tr>
      <w:tr w14:paraId="67B43601">
        <w:trPr>
          <w:jc w:val="center"/>
        </w:trPr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72BD3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UNIT_PRODUCT_PROPERTY_BOUND_FCC200_GASOLINE_RON</w:t>
            </w:r>
          </w:p>
          <w:p w14:paraId="76A7EA68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product_ron_min = 89.3</w:t>
            </w:r>
          </w:p>
          <w:p w14:paraId="46563EF9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product_ron_max = 89.3</w:t>
            </w:r>
          </w:p>
        </w:tc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6CA48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UNIT_SIDECUT_PROPERTY_FCC200_GASOLINE_RON</w:t>
            </w:r>
          </w:p>
          <w:p w14:paraId="75172DED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sidecut_ron = 89.3</w:t>
            </w:r>
          </w:p>
          <w:p w14:paraId="7B54FF28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描述：200_催化汽油侧线辛烷值为89.3</w:t>
            </w:r>
          </w:p>
        </w:tc>
      </w:tr>
    </w:tbl>
    <w:p w14:paraId="4D0E9E6F">
      <w:pPr>
        <w:spacing w:before="8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2F75B5"/>
          <w:sz w:val="24"/>
        </w:rPr>
        <w:t>案例 3：YCO / RCO 按实体拆分，而不是当作上下限</w:t>
      </w:r>
    </w:p>
    <w:p w14:paraId="18DABEAB">
      <w:pPr>
        <w:spacing w:before="0" w:after="8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原 Assay 表中的两列代表两种原油，不代表同一指标的下限和上限。重构后保留“原油-侧线-性质”的对应关系。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56"/>
        <w:gridCol w:w="5156"/>
      </w:tblGrid>
      <w:tr w14:paraId="2F29CF5E">
        <w:trPr>
          <w:tblHeader/>
          <w:jc w:val="center"/>
        </w:trPr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F13796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拆分前</w:t>
            </w:r>
          </w:p>
        </w:tc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D960D0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拆分后</w:t>
            </w:r>
          </w:p>
        </w:tc>
      </w:tr>
      <w:tr w14:paraId="7F82F122">
        <w:trPr>
          <w:jc w:val="center"/>
        </w:trPr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B5CF3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300_常石脑油 SPG</w:t>
            </w:r>
          </w:p>
          <w:p w14:paraId="58CA30C1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min = 0.7352</w:t>
            </w:r>
          </w:p>
          <w:p w14:paraId="269CE267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max = 0.7365</w:t>
            </w:r>
          </w:p>
        </w:tc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CF99D8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YCO: SPG = 0.7352</w:t>
            </w:r>
          </w:p>
          <w:p w14:paraId="57943E70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RCO: SPG = 0.7365</w:t>
            </w:r>
          </w:p>
          <w:p w14:paraId="1162F86A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分别生成 CDU_SIDECUT_PROPERTY_*_YCO / *_RCO</w:t>
            </w:r>
          </w:p>
        </w:tc>
      </w:tr>
    </w:tbl>
    <w:p w14:paraId="7F4DF955">
      <w:pPr>
        <w:rPr>
          <w:rFonts w:hint="eastAsia" w:ascii="PingFang SC Regular" w:hAnsi="PingFang SC Regular" w:eastAsia="PingFang SC Regular" w:cs="PingFang SC Regular"/>
        </w:rPr>
      </w:pPr>
    </w:p>
    <w:p w14:paraId="5B4D2715">
      <w:pPr>
        <w:rPr>
          <w:rFonts w:hint="eastAsia" w:ascii="PingFang SC Regular" w:hAnsi="PingFang SC Regular" w:eastAsia="PingFang SC Regular" w:cs="PingFang SC Regular"/>
        </w:rPr>
      </w:pPr>
    </w:p>
    <w:p w14:paraId="422D8AB2">
      <w:pPr>
        <w:rPr>
          <w:rFonts w:hint="eastAsia" w:ascii="PingFang SC Regular" w:hAnsi="PingFang SC Regular" w:eastAsia="PingFang SC Regular" w:cs="PingFang SC Regular"/>
        </w:rPr>
      </w:pPr>
    </w:p>
    <w:p w14:paraId="59768D0B">
      <w:pPr>
        <w:rPr>
          <w:rFonts w:hint="eastAsia" w:ascii="PingFang SC Regular" w:hAnsi="PingFang SC Regular" w:eastAsia="PingFang SC Regular" w:cs="PingFang SC Regular"/>
        </w:rPr>
      </w:pPr>
    </w:p>
    <w:p w14:paraId="6A407720">
      <w:pPr>
        <w:rPr>
          <w:rFonts w:hint="eastAsia" w:ascii="PingFang SC Regular" w:hAnsi="PingFang SC Regular" w:eastAsia="PingFang SC Regular" w:cs="PingFang SC Regular"/>
        </w:rPr>
      </w:pPr>
    </w:p>
    <w:p w14:paraId="192DEE9C">
      <w:pPr>
        <w:rPr>
          <w:rFonts w:hint="eastAsia" w:ascii="PingFang SC Regular" w:hAnsi="PingFang SC Regular" w:eastAsia="PingFang SC Regular" w:cs="PingFang SC Regular"/>
        </w:rPr>
      </w:pPr>
    </w:p>
    <w:p w14:paraId="37E17AE6">
      <w:pPr>
        <w:spacing w:before="8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2F75B5"/>
          <w:sz w:val="24"/>
        </w:rPr>
        <w:t>案例 4：调合配方上下限原子化</w:t>
      </w:r>
    </w:p>
    <w:p w14:paraId="64DF7054">
      <w:pPr>
        <w:spacing w:before="0" w:after="8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Excel 明确给出“比例下限 lo / 比例上限 hi”，因此这是有效边界，直接拆成两条独立规则。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56"/>
        <w:gridCol w:w="5156"/>
      </w:tblGrid>
      <w:tr w14:paraId="5B61F3B7">
        <w:trPr>
          <w:tblHeader/>
          <w:jc w:val="center"/>
        </w:trPr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7208C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拆分前</w:t>
            </w:r>
          </w:p>
        </w:tc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0A9C70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拆分后</w:t>
            </w:r>
          </w:p>
        </w:tc>
      </w:tr>
      <w:tr w14:paraId="01364CCB">
        <w:trPr>
          <w:jc w:val="center"/>
        </w:trPr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7C703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BLEND_RECIPE_92_GASOLINE_CAT_GASOLINE</w:t>
            </w:r>
          </w:p>
          <w:p w14:paraId="6EDEC622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催化汽油比例：0.3 ~ 0.6</w:t>
            </w:r>
          </w:p>
        </w:tc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A310B1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BLEND_RECIPE_MIN_92_GASOLINE_CAT_GASOLINE  -&gt; 0.3</w:t>
            </w:r>
          </w:p>
          <w:p w14:paraId="018941E2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BLEND_RECIPE_MAX_92_GASOLINE_CAT_GASOLINE  -&gt; 0.6</w:t>
            </w:r>
          </w:p>
        </w:tc>
      </w:tr>
    </w:tbl>
    <w:p w14:paraId="5628AF76">
      <w:pPr>
        <w:spacing w:before="8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2F75B5"/>
          <w:sz w:val="24"/>
        </w:rPr>
        <w:t>案例 5：源数据与计算结果分层</w:t>
      </w:r>
    </w:p>
    <w:p w14:paraId="0A5837E5">
      <w:pPr>
        <w:spacing w:before="0" w:after="6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以 6101 原油罐为例，Excel 直接给的是安全液位和米</w:t>
      </w: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  <w:lang w:val="en-US" w:eastAsia="zh-CN"/>
        </w:rPr>
        <w:t>系数</w:t>
      </w: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；库存质量上下限属于计算结果。两者不再混在同一层级。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6"/>
        <w:gridCol w:w="4876"/>
      </w:tblGrid>
      <w:tr w14:paraId="43D37E3A">
        <w:tc>
          <w:tcPr>
            <w:tcW w:w="4876" w:type="dxa"/>
            <w:shd w:val="clear" w:color="auto" w:fill="D9EAF7"/>
          </w:tcPr>
          <w:p w14:paraId="1398CF7B">
            <w:pPr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</w:rPr>
              <w:t>源规则</w:t>
            </w:r>
          </w:p>
          <w:p w14:paraId="5D2F46E9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安全液位下限 = 2.5 m</w:t>
            </w:r>
          </w:p>
          <w:p w14:paraId="06FB3931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安全液位上限 = 14.3 m</w:t>
            </w:r>
          </w:p>
          <w:p w14:paraId="6DFACEA2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米系数 = 530 t/m</w:t>
            </w:r>
          </w:p>
        </w:tc>
        <w:tc>
          <w:tcPr>
            <w:tcW w:w="4876" w:type="dxa"/>
            <w:shd w:val="clear" w:color="auto" w:fill="F4F7FA"/>
          </w:tcPr>
          <w:p w14:paraId="4C3FB0EA">
            <w:pPr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</w:rPr>
              <w:t>推导规则</w:t>
            </w:r>
          </w:p>
          <w:p w14:paraId="435BF0D9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2.5 x 530 = 1325 t</w:t>
            </w:r>
          </w:p>
          <w:p w14:paraId="1E35D918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14.3 x 530 = 7579 t</w:t>
            </w:r>
          </w:p>
          <w:p w14:paraId="1046324D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计算结果单独保存，不冒充源字段</w:t>
            </w:r>
          </w:p>
        </w:tc>
      </w:tr>
    </w:tbl>
    <w:p w14:paraId="658FD052">
      <w:pPr>
        <w:spacing w:before="240" w:after="0" w:line="276" w:lineRule="auto"/>
        <w:rPr>
          <w:rFonts w:hint="eastAsia" w:ascii="PingFang SC Regular" w:hAnsi="PingFang SC Regular" w:eastAsia="PingFang SC Regular" w:cs="PingFang SC Regular"/>
        </w:rPr>
      </w:pPr>
    </w:p>
    <w:sectPr>
      <w:headerReference r:id="rId5" w:type="default"/>
      <w:footerReference r:id="rId6" w:type="default"/>
      <w:pgSz w:w="12240" w:h="15840"/>
      <w:pgMar w:top="907" w:right="964" w:bottom="850" w:left="9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0B185F">
    <w:pPr>
      <w:pStyle w:val="24"/>
      <w:jc w:val="center"/>
    </w:pPr>
    <w:r>
      <w:rPr>
        <w:rFonts w:ascii="Noto Sans CJK SC" w:hAnsi="Noto Sans CJK SC" w:eastAsia="Noto Sans CJK SC"/>
        <w:b w:val="0"/>
        <w:color w:val="666666"/>
        <w:sz w:val="16"/>
      </w:rPr>
      <w:t>基于 2026.9.9 原始提取结果整理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4CCF65">
    <w:pPr>
      <w:pStyle w:val="25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7FEA11"/>
    <w:rsid w:val="1FFE346A"/>
    <w:rsid w:val="29E648D3"/>
    <w:rsid w:val="2ABFC864"/>
    <w:rsid w:val="3EBB17A0"/>
    <w:rsid w:val="577E479F"/>
    <w:rsid w:val="577F472A"/>
    <w:rsid w:val="57DF9DDA"/>
    <w:rsid w:val="5F57B6A8"/>
    <w:rsid w:val="63FE5CA1"/>
    <w:rsid w:val="676B0BD7"/>
    <w:rsid w:val="6AFBB3B8"/>
    <w:rsid w:val="6BFC63A9"/>
    <w:rsid w:val="6EF407AD"/>
    <w:rsid w:val="757D2C33"/>
    <w:rsid w:val="76FFCFAD"/>
    <w:rsid w:val="777FE89C"/>
    <w:rsid w:val="7AC12598"/>
    <w:rsid w:val="7EDB1F5D"/>
    <w:rsid w:val="7FD604B1"/>
    <w:rsid w:val="7FEF4376"/>
    <w:rsid w:val="7FF7A785"/>
    <w:rsid w:val="92FF73C9"/>
    <w:rsid w:val="AE6F3940"/>
    <w:rsid w:val="AFFFF757"/>
    <w:rsid w:val="B6430E7A"/>
    <w:rsid w:val="BFFD85A3"/>
    <w:rsid w:val="C217B0F1"/>
    <w:rsid w:val="CEF989FF"/>
    <w:rsid w:val="D77E40B6"/>
    <w:rsid w:val="DC7A68D1"/>
    <w:rsid w:val="DFBBC044"/>
    <w:rsid w:val="EDCB49A8"/>
    <w:rsid w:val="EFDD7306"/>
    <w:rsid w:val="F2FF7913"/>
    <w:rsid w:val="F6F9EF32"/>
    <w:rsid w:val="F7FFED2B"/>
    <w:rsid w:val="FAD507A4"/>
    <w:rsid w:val="FCDB0853"/>
    <w:rsid w:val="FFF66476"/>
    <w:rsid w:val="FFFFD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60" w:line="276" w:lineRule="auto"/>
    </w:pPr>
    <w:rPr>
      <w:rFonts w:ascii="Noto Sans CJK SC" w:hAnsi="Noto Sans CJK SC" w:eastAsia="Noto Sans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186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machong</cp:lastModifiedBy>
  <dcterms:modified xsi:type="dcterms:W3CDTF">2026-09-17T08:04:54Z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5EF5678C266BF4FD1B72AA6AD6E23597_42</vt:lpwstr>
  </property>
</Properties>
</file>