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2E9E8">
      <w:pPr>
        <w:spacing w:before="0" w:after="6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7365D"/>
          <w:sz w:val="42"/>
        </w:rPr>
        <w:t>石化项目规则拆分与语义重构阶段汇报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6"/>
        <w:gridCol w:w="3306"/>
        <w:gridCol w:w="3306"/>
      </w:tblGrid>
      <w:tr w14:paraId="4D6B60E3">
        <w:trPr>
          <w:trHeight w:val="888" w:hRule="atLeast"/>
          <w:jc w:val="center"/>
        </w:trPr>
        <w:tc>
          <w:tcPr>
            <w:tcW w:w="3293" w:type="dxa"/>
            <w:shd w:val="clear" w:color="auto" w:fill="D9EAF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8D16D05">
            <w:pPr>
              <w:spacing w:line="240" w:lineRule="auto"/>
              <w:jc w:val="center"/>
              <w:rPr>
                <w:rFonts w:hint="eastAsia" w:ascii="PingFang SC Regular" w:hAnsi="PingFang SC Regular" w:eastAsia="PingFang SC Regular" w:cs="PingFang SC Regular"/>
                <w:sz w:val="28"/>
                <w:szCs w:val="28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</w:rPr>
              <w:t>拆分前</w:t>
            </w:r>
          </w:p>
          <w:p w14:paraId="712896CD">
            <w:pPr>
              <w:spacing w:before="0" w:after="0" w:line="240" w:lineRule="auto"/>
              <w:jc w:val="center"/>
              <w:rPr>
                <w:rFonts w:hint="eastAsia" w:ascii="PingFang SC Regular" w:hAnsi="PingFang SC Regular" w:eastAsia="PingFang SC Regular" w:cs="PingFang SC Regular"/>
                <w:sz w:val="28"/>
                <w:szCs w:val="28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</w:rPr>
              <w:t>118 条</w:t>
            </w:r>
          </w:p>
        </w:tc>
        <w:tc>
          <w:tcPr>
            <w:tcW w:w="3293" w:type="dxa"/>
            <w:shd w:val="clear" w:color="auto" w:fill="E2F0D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1EF0289">
            <w:pPr>
              <w:spacing w:line="240" w:lineRule="auto"/>
              <w:jc w:val="center"/>
              <w:rPr>
                <w:rFonts w:hint="eastAsia" w:ascii="PingFang SC Regular" w:hAnsi="PingFang SC Regular" w:eastAsia="PingFang SC Regular" w:cs="PingFang SC Regular"/>
                <w:sz w:val="28"/>
                <w:szCs w:val="28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</w:rPr>
              <w:t>拆分后</w:t>
            </w:r>
          </w:p>
          <w:p w14:paraId="4F053E83">
            <w:pPr>
              <w:spacing w:before="0" w:after="0" w:line="240" w:lineRule="auto"/>
              <w:jc w:val="center"/>
              <w:rPr>
                <w:rFonts w:hint="eastAsia" w:ascii="PingFang SC Regular" w:hAnsi="PingFang SC Regular" w:eastAsia="PingFang SC Regular" w:cs="PingFang SC Regular"/>
                <w:sz w:val="28"/>
                <w:szCs w:val="28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  <w:lang w:val="en-US" w:eastAsia="zh-CN"/>
              </w:rPr>
              <w:t>444</w:t>
            </w: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</w:rPr>
              <w:t xml:space="preserve"> 条</w:t>
            </w:r>
          </w:p>
        </w:tc>
        <w:tc>
          <w:tcPr>
            <w:tcW w:w="3293" w:type="dxa"/>
            <w:shd w:val="clear" w:color="auto" w:fill="FCE4D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FA16185">
            <w:pPr>
              <w:spacing w:line="240" w:lineRule="auto"/>
              <w:jc w:val="center"/>
              <w:rPr>
                <w:rFonts w:hint="eastAsia" w:ascii="PingFang SC Regular" w:hAnsi="PingFang SC Regular" w:eastAsia="PingFang SC Regular" w:cs="PingFang SC Regular"/>
                <w:sz w:val="28"/>
                <w:szCs w:val="28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</w:rPr>
              <w:t>净增加</w:t>
            </w:r>
          </w:p>
          <w:p w14:paraId="75638CD1">
            <w:pPr>
              <w:spacing w:before="0" w:after="0" w:line="240" w:lineRule="auto"/>
              <w:jc w:val="center"/>
              <w:rPr>
                <w:rFonts w:hint="eastAsia" w:ascii="PingFang SC Regular" w:hAnsi="PingFang SC Regular" w:eastAsia="PingFang SC Regular" w:cs="PingFang SC Regular"/>
                <w:sz w:val="28"/>
                <w:szCs w:val="28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  <w:lang w:val="en-US" w:eastAsia="zh-CN"/>
              </w:rPr>
              <w:t>326</w:t>
            </w: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8"/>
                <w:szCs w:val="28"/>
              </w:rPr>
              <w:t xml:space="preserve"> 条</w:t>
            </w:r>
          </w:p>
        </w:tc>
      </w:tr>
    </w:tbl>
    <w:p w14:paraId="23D28727">
      <w:pPr>
        <w:spacing w:before="160" w:after="100" w:line="276" w:lineRule="auto"/>
        <w:jc w:val="center"/>
        <w:rPr>
          <w:rFonts w:hint="eastAsia" w:ascii="PingFang SC Regular" w:hAnsi="PingFang SC Regular" w:eastAsia="PingFang SC Regular" w:cs="PingFang SC Regular"/>
          <w:b/>
          <w:color w:val="17365D"/>
          <w:sz w:val="3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color w:val="17365D"/>
          <w:sz w:val="30"/>
          <w:lang w:eastAsia="zh-CN"/>
        </w:rPr>
        <w:drawing>
          <wp:inline distT="0" distB="0" distL="114300" distR="114300">
            <wp:extent cx="5036185" cy="3152775"/>
            <wp:effectExtent l="0" t="0" r="18415" b="22225"/>
            <wp:docPr id="1" name="图片 1" descr="9.16 小类规则数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.16 小类规则数统计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BA8E">
      <w:pPr>
        <w:spacing w:before="160" w:after="100" w:line="276" w:lineRule="auto"/>
        <w:rPr>
          <w:rFonts w:hint="default" w:ascii="PingFang SC Regular" w:hAnsi="PingFang SC Regular" w:eastAsia="PingFang SC Regular" w:cs="PingFang SC Regular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color w:val="17365D"/>
          <w:sz w:val="30"/>
        </w:rPr>
        <w:t>一、本次规则拆分主要做了</w:t>
      </w:r>
      <w:r>
        <w:rPr>
          <w:rFonts w:hint="eastAsia" w:ascii="PingFang SC Regular" w:hAnsi="PingFang SC Regular" w:eastAsia="PingFang SC Regular" w:cs="PingFang SC Regular"/>
          <w:b/>
          <w:color w:val="17365D"/>
          <w:sz w:val="30"/>
          <w:lang w:val="en-US" w:eastAsia="zh-CN"/>
        </w:rPr>
        <w:t>以下处理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1148AA46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E9FC1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处理内容</w:t>
            </w:r>
          </w:p>
        </w:tc>
        <w:tc>
          <w:tcPr>
            <w:tcW w:w="311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45AA4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拆分前问题</w:t>
            </w:r>
          </w:p>
        </w:tc>
        <w:tc>
          <w:tcPr>
            <w:tcW w:w="436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B1DFF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拆分后处理</w:t>
            </w:r>
          </w:p>
        </w:tc>
      </w:tr>
      <w:tr w14:paraId="0870C83A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9488E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1. 真正上下限拆开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F399C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一条规则同时保存 min / max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DC2B4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拆为 MIN、MAX 两条规则；rule_id、description、parameter 同步调整</w:t>
            </w:r>
          </w:p>
        </w:tc>
      </w:tr>
      <w:tr w14:paraId="1FD2C9BE">
        <w:trPr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2E8B2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2. 单值误判纠正</w:t>
            </w:r>
          </w:p>
        </w:tc>
        <w:tc>
          <w:tcPr>
            <w:tcW w:w="311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32F49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固定值被写成 min=max</w:t>
            </w:r>
          </w:p>
        </w:tc>
        <w:tc>
          <w:tcPr>
            <w:tcW w:w="4365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9C6BC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恢复成一个单值参数，不再人为制造上下限</w:t>
            </w:r>
          </w:p>
        </w:tc>
      </w:tr>
      <w:tr w14:paraId="5DA6EC5C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49E9A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3. 多实体分开表达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05E2D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YCO/RCO 两个原油值被取 min/max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A79D7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按原油实体分别建规则，保留“数值属于谁”的语义</w:t>
            </w:r>
          </w:p>
        </w:tc>
      </w:tr>
      <w:tr w14:paraId="03451FDC">
        <w:trPr>
          <w:jc w:val="center"/>
        </w:trPr>
        <w:tc>
          <w:tcPr>
            <w:tcW w:w="226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FA5DD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4. 复合规则原子化</w:t>
            </w:r>
          </w:p>
        </w:tc>
        <w:tc>
          <w:tcPr>
            <w:tcW w:w="311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6354B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一条规则同时描述多个独立事实</w:t>
            </w:r>
          </w:p>
        </w:tc>
        <w:tc>
          <w:tcPr>
            <w:tcW w:w="4365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1DDA1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拆成“一条规则一个事实”，便于检索、约束匹配和追溯</w:t>
            </w:r>
          </w:p>
        </w:tc>
      </w:tr>
      <w:tr w14:paraId="217C8892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55EDB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5. 源值与推导值区分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4E9A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计算结果与 Excel 直接值混在一起</w:t>
            </w:r>
          </w:p>
        </w:tc>
        <w:tc>
          <w:tcPr>
            <w:tcW w:w="43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84E3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color w:val="222222"/>
                <w:sz w:val="18"/>
              </w:rPr>
              <w:t>直接字段作为源规则；计算结果单独作为推导规则表达</w:t>
            </w:r>
          </w:p>
        </w:tc>
      </w:tr>
    </w:tbl>
    <w:p w14:paraId="132ECE31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194D6985">
      <w:pPr>
        <w:spacing w:before="160" w:after="10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17365D"/>
          <w:sz w:val="30"/>
        </w:rPr>
        <w:t>二、典型案例</w:t>
      </w:r>
    </w:p>
    <w:p w14:paraId="67E288EE">
      <w:pPr>
        <w:spacing w:before="80" w:after="10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2F75B5"/>
          <w:sz w:val="24"/>
        </w:rPr>
        <w:t>案例 1：真实上下限拆分 - 6101 原油罐</w:t>
      </w:r>
    </w:p>
    <w:p w14:paraId="1FAB97C9">
      <w:pPr>
        <w:spacing w:before="0" w:after="8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222222"/>
          <w:sz w:val="20"/>
        </w:rPr>
        <w:t>原规则把上下限放在同一个字典里；拆分后每条规则只表达一个边界，并同步重构 ID 和描述。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0E0DD2D3">
        <w:trPr>
          <w:tblHeader/>
          <w:jc w:val="center"/>
        </w:trPr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A5218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拆分前</w:t>
            </w:r>
          </w:p>
        </w:tc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B8B89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拆分后</w:t>
            </w:r>
          </w:p>
        </w:tc>
      </w:tr>
      <w:tr w14:paraId="3C0B5283">
        <w:trPr>
          <w:jc w:val="center"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BF109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CRUDE_INVENTORY_BOUND_6101</w:t>
            </w:r>
          </w:p>
          <w:p w14:paraId="2BE5F2B0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库存下限 1325 t + 库存上限 7579 t</w:t>
            </w:r>
          </w:p>
          <w:p w14:paraId="29837AAF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parameters: inventory_min + inventory_max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732D5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CRUDE_INVENTORY_LEVEL_MIN_6101</w:t>
            </w:r>
          </w:p>
          <w:p w14:paraId="6A310A40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安全液位下限 2.5 m</w:t>
            </w:r>
          </w:p>
          <w:p w14:paraId="076D3D79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</w:p>
          <w:p w14:paraId="58FC7D12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CRUDE_INVENTORY_LEVEL_MAX_6101</w:t>
            </w:r>
          </w:p>
          <w:p w14:paraId="777A1B94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安全液位上限 14.3 m</w:t>
            </w:r>
          </w:p>
        </w:tc>
      </w:tr>
    </w:tbl>
    <w:p w14:paraId="1E4C33C5">
      <w:pPr>
        <w:spacing w:before="80" w:after="10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2F75B5"/>
          <w:sz w:val="24"/>
        </w:rPr>
        <w:t>案例 2：固定值不再伪装成上下限</w:t>
      </w:r>
    </w:p>
    <w:p w14:paraId="73E10368">
      <w:pPr>
        <w:spacing w:before="0" w:after="8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222222"/>
          <w:sz w:val="20"/>
        </w:rPr>
        <w:t>源表只有一个明确数值时，不能用 min=max 表示范围。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20B4B626">
        <w:trPr>
          <w:tblHeader/>
          <w:jc w:val="center"/>
        </w:trPr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00F31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拆分前</w:t>
            </w:r>
          </w:p>
        </w:tc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4BF56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拆分后</w:t>
            </w:r>
          </w:p>
        </w:tc>
      </w:tr>
      <w:tr w14:paraId="67B43601">
        <w:trPr>
          <w:jc w:val="center"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72BD3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UNIT_PRODUCT_PROPERTY_BOUND_FCC200_GASOLINE_RON</w:t>
            </w:r>
          </w:p>
          <w:p w14:paraId="76A7EA68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product_ron_min = 89.3</w:t>
            </w:r>
          </w:p>
          <w:p w14:paraId="46563EF9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product_ron_max = 89.3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6CA48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UNIT_SIDECUT_PROPERTY_FCC200_GASOLINE_RON</w:t>
            </w:r>
          </w:p>
          <w:p w14:paraId="75172DED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sidecut_ron = 89.3</w:t>
            </w:r>
          </w:p>
          <w:p w14:paraId="7B54FF28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描述：200_催化汽油侧线辛烷值为89.3</w:t>
            </w:r>
          </w:p>
        </w:tc>
      </w:tr>
    </w:tbl>
    <w:p w14:paraId="4D0E9E6F">
      <w:pPr>
        <w:spacing w:before="80" w:after="10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2F75B5"/>
          <w:sz w:val="24"/>
        </w:rPr>
        <w:t>案例 3：YCO / RCO 按实体拆分，而不是当作上下限</w:t>
      </w:r>
    </w:p>
    <w:p w14:paraId="18DABEAB">
      <w:pPr>
        <w:spacing w:before="0" w:after="8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222222"/>
          <w:sz w:val="20"/>
        </w:rPr>
        <w:t>原 Assay 表中的两列代表两种原油，不代表同一指标的下限和上限。重构后保留“原油-侧线-性质”的对应关系。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2F29CF5E">
        <w:trPr>
          <w:tblHeader/>
          <w:jc w:val="center"/>
        </w:trPr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13796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拆分前</w:t>
            </w:r>
          </w:p>
        </w:tc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960D0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拆分后</w:t>
            </w:r>
          </w:p>
        </w:tc>
      </w:tr>
      <w:tr w14:paraId="7F82F122">
        <w:trPr>
          <w:jc w:val="center"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B5CF3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300_常石脑油 SPG</w:t>
            </w:r>
          </w:p>
          <w:p w14:paraId="58CA30C1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min = 0.7352</w:t>
            </w:r>
          </w:p>
          <w:p w14:paraId="269CE267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max = 0.7365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F99D8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YCO: SPG = 0.7352</w:t>
            </w:r>
          </w:p>
          <w:p w14:paraId="57943E70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RCO: SPG = 0.7365</w:t>
            </w:r>
          </w:p>
          <w:p w14:paraId="1162F86A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分别生成 CDU_SIDECUT_PROPERTY_*_YCO / *_RCO</w:t>
            </w:r>
          </w:p>
        </w:tc>
      </w:tr>
    </w:tbl>
    <w:p w14:paraId="7F4DF955">
      <w:pPr>
        <w:rPr>
          <w:rFonts w:hint="eastAsia" w:ascii="PingFang SC Regular" w:hAnsi="PingFang SC Regular" w:eastAsia="PingFang SC Regular" w:cs="PingFang SC Regular"/>
        </w:rPr>
      </w:pPr>
      <w:bookmarkStart w:id="0" w:name="_GoBack"/>
      <w:bookmarkEnd w:id="0"/>
    </w:p>
    <w:p w14:paraId="5B4D2715">
      <w:pPr>
        <w:rPr>
          <w:rFonts w:hint="eastAsia" w:ascii="PingFang SC Regular" w:hAnsi="PingFang SC Regular" w:eastAsia="PingFang SC Regular" w:cs="PingFang SC Regular"/>
        </w:rPr>
      </w:pPr>
    </w:p>
    <w:p w14:paraId="422D8AB2">
      <w:pPr>
        <w:rPr>
          <w:rFonts w:hint="eastAsia" w:ascii="PingFang SC Regular" w:hAnsi="PingFang SC Regular" w:eastAsia="PingFang SC Regular" w:cs="PingFang SC Regular"/>
        </w:rPr>
      </w:pPr>
    </w:p>
    <w:p w14:paraId="59768D0B">
      <w:pPr>
        <w:rPr>
          <w:rFonts w:hint="eastAsia" w:ascii="PingFang SC Regular" w:hAnsi="PingFang SC Regular" w:eastAsia="PingFang SC Regular" w:cs="PingFang SC Regular"/>
        </w:rPr>
      </w:pPr>
    </w:p>
    <w:p w14:paraId="6A407720">
      <w:pPr>
        <w:rPr>
          <w:rFonts w:hint="eastAsia" w:ascii="PingFang SC Regular" w:hAnsi="PingFang SC Regular" w:eastAsia="PingFang SC Regular" w:cs="PingFang SC Regular"/>
        </w:rPr>
      </w:pPr>
    </w:p>
    <w:p w14:paraId="192DEE9C">
      <w:pPr>
        <w:rPr>
          <w:rFonts w:hint="eastAsia" w:ascii="PingFang SC Regular" w:hAnsi="PingFang SC Regular" w:eastAsia="PingFang SC Regular" w:cs="PingFang SC Regular"/>
        </w:rPr>
      </w:pPr>
    </w:p>
    <w:p w14:paraId="37E17AE6">
      <w:pPr>
        <w:spacing w:before="80" w:after="10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2F75B5"/>
          <w:sz w:val="24"/>
        </w:rPr>
        <w:t>案例 4：调合配方上下限原子化</w:t>
      </w:r>
    </w:p>
    <w:p w14:paraId="64DF7054">
      <w:pPr>
        <w:spacing w:before="0" w:after="8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222222"/>
          <w:sz w:val="20"/>
        </w:rPr>
        <w:t>Excel 明确给出“比例下限 lo / 比例上限 hi”，因此这是有效边界，直接拆成两条独立规则。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5B61F3B7">
        <w:trPr>
          <w:tblHeader/>
          <w:jc w:val="center"/>
        </w:trPr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7208C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拆分前</w:t>
            </w:r>
          </w:p>
        </w:tc>
        <w:tc>
          <w:tcPr>
            <w:tcW w:w="48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A9C70">
            <w:pPr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FFFFFF"/>
                <w:sz w:val="18"/>
              </w:rPr>
              <w:t>拆分后</w:t>
            </w:r>
          </w:p>
        </w:tc>
      </w:tr>
      <w:tr w14:paraId="01364CCB">
        <w:trPr>
          <w:jc w:val="center"/>
        </w:trPr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7C703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BLEND_RECIPE_92_GASOLINE_CAT_GASOLINE</w:t>
            </w:r>
          </w:p>
          <w:p w14:paraId="6EDEC622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催化汽油比例：0.3 ~ 0.6</w:t>
            </w:r>
          </w:p>
        </w:tc>
        <w:tc>
          <w:tcPr>
            <w:tcW w:w="48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310B1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BLEND_RECIPE_MIN_92_GASOLINE_CAT_GASOLINE  -&gt; 0.3</w:t>
            </w:r>
          </w:p>
          <w:p w14:paraId="018941E2">
            <w:pPr>
              <w:spacing w:before="0" w:after="0" w:line="259" w:lineRule="auto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8"/>
              </w:rPr>
              <w:t>BLEND_RECIPE_MAX_92_GASOLINE_CAT_GASOLINE  -&gt; 0.6</w:t>
            </w:r>
          </w:p>
        </w:tc>
      </w:tr>
    </w:tbl>
    <w:p w14:paraId="5628AF76">
      <w:pPr>
        <w:spacing w:before="80" w:after="10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2F75B5"/>
          <w:sz w:val="24"/>
        </w:rPr>
        <w:t>案例 5：源数据与计算结果分层</w:t>
      </w:r>
    </w:p>
    <w:p w14:paraId="0A5837E5">
      <w:pPr>
        <w:spacing w:before="0" w:after="60" w:line="276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222222"/>
          <w:sz w:val="20"/>
        </w:rPr>
        <w:t>以 6101 原油罐为例，Excel 直接给的是安全液位和米</w:t>
      </w:r>
      <w:r>
        <w:rPr>
          <w:rFonts w:hint="eastAsia" w:ascii="PingFang SC Regular" w:hAnsi="PingFang SC Regular" w:eastAsia="PingFang SC Regular" w:cs="PingFang SC Regular"/>
          <w:b w:val="0"/>
          <w:color w:val="222222"/>
          <w:sz w:val="20"/>
          <w:lang w:val="en-US" w:eastAsia="zh-CN"/>
        </w:rPr>
        <w:t>系数</w:t>
      </w:r>
      <w:r>
        <w:rPr>
          <w:rFonts w:hint="eastAsia" w:ascii="PingFang SC Regular" w:hAnsi="PingFang SC Regular" w:eastAsia="PingFang SC Regular" w:cs="PingFang SC Regular"/>
          <w:b w:val="0"/>
          <w:color w:val="222222"/>
          <w:sz w:val="20"/>
        </w:rPr>
        <w:t>；库存质量上下限属于计算结果。两者不再混在同一层级。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43D37E3A">
        <w:tc>
          <w:tcPr>
            <w:tcW w:w="4876" w:type="dxa"/>
            <w:shd w:val="clear" w:color="auto" w:fill="D9EAF7"/>
          </w:tcPr>
          <w:p w14:paraId="1398CF7B">
            <w:pPr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0"/>
              </w:rPr>
              <w:t>源规则</w:t>
            </w:r>
          </w:p>
          <w:p w14:paraId="5D2F46E9">
            <w:pPr>
              <w:spacing w:before="0" w:after="20" w:line="276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9"/>
              </w:rPr>
              <w:t>安全液位下限 = 2.5 m</w:t>
            </w:r>
          </w:p>
          <w:p w14:paraId="06FB3931">
            <w:pPr>
              <w:spacing w:before="0" w:after="20" w:line="276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9"/>
              </w:rPr>
              <w:t>安全液位上限 = 14.3 m</w:t>
            </w:r>
          </w:p>
          <w:p w14:paraId="6DFACEA2">
            <w:pPr>
              <w:spacing w:before="0" w:after="20" w:line="276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9"/>
              </w:rPr>
              <w:t>米系数 = 530 t/m</w:t>
            </w:r>
          </w:p>
        </w:tc>
        <w:tc>
          <w:tcPr>
            <w:tcW w:w="4876" w:type="dxa"/>
            <w:shd w:val="clear" w:color="auto" w:fill="F4F7FA"/>
          </w:tcPr>
          <w:p w14:paraId="4C3FB0EA">
            <w:pPr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17365D"/>
                <w:sz w:val="20"/>
              </w:rPr>
              <w:t>推导规则</w:t>
            </w:r>
          </w:p>
          <w:p w14:paraId="435BF0D9">
            <w:pPr>
              <w:spacing w:before="0" w:after="20" w:line="276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9"/>
              </w:rPr>
              <w:t>2.5 x 530 = 1325 t</w:t>
            </w:r>
          </w:p>
          <w:p w14:paraId="1E35D918">
            <w:pPr>
              <w:spacing w:before="0" w:after="20" w:line="276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9"/>
              </w:rPr>
              <w:t>14.3 x 530 = 7579 t</w:t>
            </w:r>
          </w:p>
          <w:p w14:paraId="1046324D">
            <w:pPr>
              <w:spacing w:before="0" w:after="20" w:line="276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222222"/>
                <w:sz w:val="19"/>
              </w:rPr>
              <w:t>计算结果单独保存，不冒充源字段</w:t>
            </w:r>
          </w:p>
        </w:tc>
      </w:tr>
    </w:tbl>
    <w:p w14:paraId="658FD052">
      <w:pPr>
        <w:spacing w:before="240" w:after="0" w:line="276" w:lineRule="auto"/>
        <w:rPr>
          <w:rFonts w:hint="eastAsia" w:ascii="PingFang SC Regular" w:hAnsi="PingFang SC Regular" w:eastAsia="PingFang SC Regular" w:cs="PingFang SC Regular"/>
        </w:rPr>
      </w:pPr>
    </w:p>
    <w:sectPr>
      <w:headerReference r:id="rId5" w:type="default"/>
      <w:footerReference r:id="rId6" w:type="default"/>
      <w:pgSz w:w="12240" w:h="15840"/>
      <w:pgMar w:top="907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B185F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>基于 2026.9.9 原始提取结果整理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CCF65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FEA11"/>
    <w:rsid w:val="1FFE346A"/>
    <w:rsid w:val="29E648D3"/>
    <w:rsid w:val="3EBB17A0"/>
    <w:rsid w:val="577E479F"/>
    <w:rsid w:val="577F472A"/>
    <w:rsid w:val="57DF9DDA"/>
    <w:rsid w:val="5F57B6A8"/>
    <w:rsid w:val="63FE5CA1"/>
    <w:rsid w:val="676B0BD7"/>
    <w:rsid w:val="6AFBB3B8"/>
    <w:rsid w:val="6BFC63A9"/>
    <w:rsid w:val="6EF407AD"/>
    <w:rsid w:val="757D2C33"/>
    <w:rsid w:val="76FFCFAD"/>
    <w:rsid w:val="777FE89C"/>
    <w:rsid w:val="7AC12598"/>
    <w:rsid w:val="7FD604B1"/>
    <w:rsid w:val="7FEF4376"/>
    <w:rsid w:val="7FF7A785"/>
    <w:rsid w:val="92FF73C9"/>
    <w:rsid w:val="AE6F3940"/>
    <w:rsid w:val="AFFFF757"/>
    <w:rsid w:val="B6430E7A"/>
    <w:rsid w:val="CEF989FF"/>
    <w:rsid w:val="D77E40B6"/>
    <w:rsid w:val="DC7A68D1"/>
    <w:rsid w:val="DFBBC044"/>
    <w:rsid w:val="EDCB49A8"/>
    <w:rsid w:val="EFDD7306"/>
    <w:rsid w:val="F2FF7913"/>
    <w:rsid w:val="F6F9EF32"/>
    <w:rsid w:val="F7FFED2B"/>
    <w:rsid w:val="FAD507A4"/>
    <w:rsid w:val="FFF66476"/>
    <w:rsid w:val="FFFFD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machong</cp:lastModifiedBy>
  <dcterms:modified xsi:type="dcterms:W3CDTF">2026-09-16T22:29:33Z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5EF5678C266BF4FD1B72AA6AD6E23597_42</vt:lpwstr>
  </property>
</Properties>
</file>