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总计</w:t>
      </w:r>
      <w:r>
        <w:rPr>
          <w:rFonts w:hint="eastAsia"/>
        </w:rPr>
        <w:t>1</w:t>
      </w:r>
      <w:r>
        <w:t>200种</w:t>
      </w:r>
    </w:p>
    <w:p>
      <w:pPr>
        <w:pStyle w:val="2"/>
        <w:rPr>
          <w:rFonts w:hint="default" w:eastAsia="仿宋_GB2312"/>
          <w:lang w:val="en-US" w:eastAsia="zh-CN"/>
        </w:rPr>
      </w:pPr>
      <w:r>
        <w:t>原油</w:t>
      </w:r>
      <w:r>
        <w:rPr>
          <w:rFonts w:hint="eastAsia"/>
        </w:rPr>
        <w:t>类</w:t>
      </w:r>
      <w:r>
        <w:t>（50种）</w:t>
      </w:r>
      <w:r>
        <w:rPr>
          <w:rFonts w:hint="eastAsia"/>
          <w:lang w:val="en-US" w:eastAsia="zh-CN"/>
        </w:rPr>
        <w:t>描述+数值；边界确定</w:t>
      </w:r>
      <w:bookmarkStart w:id="1" w:name="_GoBack"/>
      <w:bookmarkEnd w:id="1"/>
    </w:p>
    <w:p>
      <w:pPr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10个原油罐，30种原油，1个常减压，10个侧线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原油罐物料平衡（10）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原油罐不同收同付约束（1）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原油罐上下限约束（1*10=10）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原油罐最多同时供料给常减压装置的数量约束（1*10=10）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原油罐静置（1）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付油罐切换约束（1）</w:t>
      </w:r>
      <w:r>
        <w:rPr>
          <w:rFonts w:hint="eastAsia" w:ascii="Times New Roman" w:hAnsi="Times New Roman" w:eastAsia="仿宋_GB2312" w:cs="Times New Roman"/>
        </w:rPr>
        <w:t>；原油混合计算规则（混合原油总量计算规则、性质计算规则与侧线产品收率计算规则。3）</w:t>
      </w:r>
      <w:r>
        <w:rPr>
          <w:rFonts w:ascii="Times New Roman" w:hAnsi="Times New Roman" w:eastAsia="仿宋_GB2312" w:cs="Times New Roman"/>
        </w:rPr>
        <w:t>同时给常减压装置供油的原油罐数量上下限</w:t>
      </w:r>
      <w:r>
        <w:rPr>
          <w:rFonts w:hint="eastAsia" w:ascii="Times New Roman" w:hAnsi="Times New Roman" w:eastAsia="仿宋_GB2312" w:cs="Times New Roman"/>
          <w:lang w:val="en-US" w:eastAsia="zh-CN"/>
        </w:rPr>
        <w:t xml:space="preserve"> 混有比例</w:t>
      </w:r>
      <w:r>
        <w:rPr>
          <w:rFonts w:ascii="Times New Roman" w:hAnsi="Times New Roman" w:eastAsia="仿宋_GB2312" w:cs="Times New Roman"/>
        </w:rPr>
        <w:t>（1）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原油罐收油速率上下限约束（1*10=10）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进厂原油在调度期内需要全部收完（1）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原油收油罐选择规则（1）</w:t>
      </w:r>
    </w:p>
    <w:p>
      <w:pPr>
        <w:pStyle w:val="2"/>
      </w:pPr>
      <w:r>
        <w:rPr>
          <w:rFonts w:hint="eastAsia"/>
        </w:rPr>
        <w:t>装置类（</w:t>
      </w:r>
      <w:r>
        <w:t>550种）</w:t>
      </w:r>
    </w:p>
    <w:p>
      <w:pPr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一次装置常减压：每年加工30种原油，每种原油有加工量和配方上下限（30×2=60）；常减压进料的上下限和性质的上下限（20）、侧线收率上下限（10）、10个侧线性质上下限（10×6=60），60+20+10+60=150种</w:t>
      </w:r>
    </w:p>
    <w:p>
      <w:pPr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上游装置（中压加裂、高压加裂、催拆改制、渣加、延迟焦化、汽柴油加氢、重整、催化、芳烃、乙烯）：每类装置有30种规则（进料、产品侧线、性质的上下限等），30×10=300种</w:t>
      </w:r>
    </w:p>
    <w:p>
      <w:pPr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下游装置（s-zorb、航煤加氢、PTA、轻烃回收、气分、MTBE、溶脱、油浆拔头、聚酯、聚烯烃）：每类装置有10种规则（进料、产品、性质的上下限等），10×10=100种</w:t>
      </w:r>
    </w:p>
    <w:p>
      <w:pPr>
        <w:pStyle w:val="2"/>
      </w:pPr>
      <w:r>
        <w:rPr>
          <w:rFonts w:hint="eastAsia"/>
        </w:rPr>
        <w:t>罐区类（</w:t>
      </w:r>
      <w:r>
        <w:t>50种）</w:t>
      </w:r>
    </w:p>
    <w:p>
      <w:pPr>
        <w:rPr>
          <w:rFonts w:hint="eastAsia"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实体罐</w:t>
      </w:r>
      <w:r>
        <w:rPr>
          <w:rFonts w:hint="eastAsia" w:ascii="Times New Roman" w:hAnsi="Times New Roman" w:eastAsia="仿宋_GB2312" w:cs="Times New Roman"/>
        </w:rPr>
        <w:t>（汽油3、柴油2、煤油1、芳烃、加氢料、轻烃、渣油、蜡油等）1</w:t>
      </w:r>
      <w:r>
        <w:rPr>
          <w:rFonts w:ascii="Times New Roman" w:hAnsi="Times New Roman" w:eastAsia="仿宋_GB2312" w:cs="Times New Roman"/>
        </w:rPr>
        <w:t>0</w:t>
      </w:r>
      <w:r>
        <w:rPr>
          <w:rFonts w:hint="eastAsia" w:ascii="Times New Roman" w:hAnsi="Times New Roman" w:eastAsia="仿宋_GB2312" w:cs="Times New Roman"/>
        </w:rPr>
        <w:t>类罐子</w:t>
      </w:r>
      <w:r>
        <w:rPr>
          <w:rFonts w:ascii="Times New Roman" w:hAnsi="Times New Roman" w:eastAsia="仿宋_GB2312" w:cs="Times New Roman"/>
        </w:rPr>
        <w:t>（</w:t>
      </w:r>
      <w:r>
        <w:rPr>
          <w:rFonts w:hint="eastAsia" w:ascii="Times New Roman" w:hAnsi="Times New Roman" w:eastAsia="仿宋_GB2312" w:cs="Times New Roman"/>
        </w:rPr>
        <w:t>每类5</w:t>
      </w:r>
      <w:r>
        <w:rPr>
          <w:rFonts w:ascii="Times New Roman" w:hAnsi="Times New Roman" w:eastAsia="仿宋_GB2312" w:cs="Times New Roman"/>
        </w:rPr>
        <w:t>条，只能收油、只能付油、可以同时收付、调整库存上下限、检修、调整收油种类等）</w:t>
      </w:r>
    </w:p>
    <w:p>
      <w:pPr>
        <w:pStyle w:val="2"/>
      </w:pPr>
      <w:r>
        <w:t>调合</w:t>
      </w:r>
      <w:r>
        <w:rPr>
          <w:rFonts w:hint="eastAsia"/>
        </w:rPr>
        <w:t>类</w:t>
      </w:r>
      <w:r>
        <w:t>（150种）</w:t>
      </w:r>
    </w:p>
    <w:p>
      <w:pPr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92汽油 95汽油 98汽油 0#柴油 -20#柴油 航煤 船燃 等6-8种产品调合，参调组分（5个左右）、组分流量、组分配方、性质（10种）：8×（5×2+10）等于约</w:t>
      </w:r>
      <w:r>
        <w:rPr>
          <w:rFonts w:hint="eastAsia" w:ascii="Times New Roman" w:hAnsi="Times New Roman" w:eastAsia="仿宋_GB2312" w:cs="Times New Roman"/>
        </w:rPr>
        <w:t>1</w:t>
      </w:r>
      <w:r>
        <w:rPr>
          <w:rFonts w:ascii="Times New Roman" w:hAnsi="Times New Roman" w:eastAsia="仿宋_GB2312" w:cs="Times New Roman"/>
        </w:rPr>
        <w:t>50~160种</w:t>
      </w:r>
    </w:p>
    <w:p>
      <w:pPr>
        <w:pStyle w:val="2"/>
      </w:pPr>
      <w:r>
        <w:t>产品</w:t>
      </w:r>
      <w:r>
        <w:rPr>
          <w:rFonts w:hint="eastAsia"/>
        </w:rPr>
        <w:t>类</w:t>
      </w:r>
      <w:r>
        <w:t>（100种）</w:t>
      </w:r>
    </w:p>
    <w:p>
      <w:pPr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总计50种产品，每种产品的每日产量上下限，调度周期总产量上下限，50*2=100</w:t>
      </w:r>
    </w:p>
    <w:p>
      <w:pPr>
        <w:pStyle w:val="2"/>
      </w:pPr>
      <w:bookmarkStart w:id="0" w:name="OLE_LINK1"/>
      <w:r>
        <w:t>停工调度规则（100种）</w:t>
      </w:r>
    </w:p>
    <w:bookmarkEnd w:id="0"/>
    <w:p>
      <w:pPr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炼油装置10类，每类装置有11种规则，包括负荷变化幅度约束、负荷切换次数约束、停工持续时间约束、停机连续性（不能频繁启停）、停机前降负荷过渡期（不能一下从100%降到0）、停工后加负荷过渡期（不能一下从0加到100%）、停工前进料库存清空、停工前下游装置进料及产品库存备罐、停工期间外购料约束、复工后各装置负荷恢复至正常工况、复工后生产偏差补偿，共10*11=110种</w:t>
      </w:r>
    </w:p>
    <w:p>
      <w:pPr>
        <w:pStyle w:val="2"/>
        <w:rPr>
          <w:rFonts w:hint="default" w:eastAsia="仿宋_GB2312"/>
          <w:lang w:val="en-US" w:eastAsia="zh-CN"/>
        </w:rPr>
      </w:pPr>
      <w:r>
        <w:rPr>
          <w:rFonts w:hint="eastAsia"/>
        </w:rPr>
        <w:t>流程特征和协同规则</w:t>
      </w:r>
      <w:r>
        <w:t>（100种）</w:t>
      </w:r>
      <w:r>
        <w:rPr>
          <w:rFonts w:hint="eastAsia"/>
          <w:lang w:val="en-US" w:eastAsia="zh-CN"/>
        </w:rPr>
        <w:t>与其他装置</w:t>
      </w:r>
    </w:p>
    <w:p>
      <w:pPr>
        <w:rPr>
          <w:rFonts w:hint="eastAsia"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物料流向规则（约30条）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常压装置协同规则（约20条）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催化装置协同规则（约10条）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加氢装置协同规则（约10条）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芳烃链（重整-PX-PTA）协同规则（约10条）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烯烃链（乙烯-塑料）协同规则（约10条）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聚酯链（PTA-MEG-PET）协同规则（约10条）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ab/>
      </w:r>
      <w:r>
        <w:rPr>
          <w:rFonts w:ascii="Times New Roman" w:hAnsi="Times New Roman" w:eastAsia="仿宋_GB2312" w:cs="Times New Roman"/>
        </w:rPr>
        <w:t>纺丝前纺与后纺协同规则（约10条）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中间罐区缓冲与调合协同规则（约10条）</w:t>
      </w:r>
    </w:p>
    <w:p>
      <w:pPr>
        <w:pStyle w:val="2"/>
      </w:pPr>
      <w:r>
        <w:rPr>
          <w:rFonts w:hint="eastAsia"/>
        </w:rPr>
        <w:t>调度经验规则</w:t>
      </w:r>
      <w:r>
        <w:t>（</w:t>
      </w:r>
      <w:r>
        <w:rPr>
          <w:rFonts w:hint="eastAsia"/>
        </w:rPr>
        <w:t>1</w:t>
      </w:r>
      <w:r>
        <w:t>00</w:t>
      </w:r>
      <w:r>
        <w:rPr>
          <w:rFonts w:hint="eastAsia"/>
        </w:rPr>
        <w:t>种</w:t>
      </w:r>
      <w:r>
        <w:t>）</w:t>
      </w:r>
    </w:p>
    <w:p>
      <w:pPr>
        <w:rPr>
          <w:rFonts w:hint="eastAsia"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装置运行模型切换（10条左右，取决于具备多种工作模式的装置数量）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物性平滑规则（约15-20条）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负荷联动规则（约10-15条）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操作频次规则（约15条）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安全边际规则（约10条）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库位平衡规则（约10条）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预防性腾挪规则（约10条）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效益优先规则（约10条）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能耗成本规则（约10条）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质量“卡边”规则（约5-10条）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故障导向规则（约10条）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指标超差处理（约10条）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极端天气/外部中断（约5-10条）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6C1"/>
    <w:rsid w:val="00594219"/>
    <w:rsid w:val="0094321A"/>
    <w:rsid w:val="00CD7D9E"/>
    <w:rsid w:val="00DA32E8"/>
    <w:rsid w:val="00E054C1"/>
    <w:rsid w:val="00EA4FBD"/>
    <w:rsid w:val="00F636C1"/>
    <w:rsid w:val="196547FC"/>
    <w:rsid w:val="1CD06494"/>
    <w:rsid w:val="41322966"/>
    <w:rsid w:val="45C86107"/>
    <w:rsid w:val="47B440D5"/>
    <w:rsid w:val="4FAB48F5"/>
    <w:rsid w:val="51FD576F"/>
    <w:rsid w:val="5E8819C0"/>
    <w:rsid w:val="7128150C"/>
    <w:rsid w:val="7867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adjustRightInd w:val="0"/>
      <w:snapToGrid w:val="0"/>
      <w:spacing w:line="300" w:lineRule="auto"/>
      <w:outlineLvl w:val="0"/>
    </w:pPr>
    <w:rPr>
      <w:rFonts w:ascii="Times New Roman" w:hAnsi="Times New Roman" w:eastAsia="仿宋_GB2312" w:cs="Times New Roman"/>
      <w:b/>
      <w:bCs/>
      <w:kern w:val="44"/>
      <w:sz w:val="24"/>
      <w:szCs w:val="40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uiPriority w:val="99"/>
    <w:pPr>
      <w:jc w:val="left"/>
    </w:pPr>
  </w:style>
  <w:style w:type="character" w:styleId="6">
    <w:name w:val="annotation reference"/>
    <w:basedOn w:val="5"/>
    <w:semiHidden/>
    <w:unhideWhenUsed/>
    <w:uiPriority w:val="99"/>
    <w:rPr>
      <w:sz w:val="21"/>
      <w:szCs w:val="21"/>
    </w:rPr>
  </w:style>
  <w:style w:type="character" w:customStyle="1" w:styleId="7">
    <w:name w:val="标题 1 字符"/>
    <w:basedOn w:val="5"/>
    <w:link w:val="2"/>
    <w:uiPriority w:val="9"/>
    <w:rPr>
      <w:rFonts w:ascii="Times New Roman" w:hAnsi="Times New Roman" w:eastAsia="仿宋_GB2312" w:cs="Times New Roman"/>
      <w:b/>
      <w:bCs/>
      <w:kern w:val="44"/>
      <w:sz w:val="24"/>
      <w:szCs w:val="4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208</Words>
  <Characters>1187</Characters>
  <Lines>9</Lines>
  <Paragraphs>2</Paragraphs>
  <TotalTime>24</TotalTime>
  <ScaleCrop>false</ScaleCrop>
  <LinksUpToDate>false</LinksUpToDate>
  <CharactersWithSpaces>1393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2026-03-01T14:12:00Z</dcterms:created>
  <dc:creator>ECUST</dc:creator>
  <cp:lastModifiedBy>汐落</cp:lastModifiedBy>
  <dcterms:modified xsi:type="dcterms:W3CDTF">2026-08-28T10:22:13Z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eyJoZGlkIjoiYmI4NTA3NjcxZGRiOGE2NzRhZTEzMWJiMGRmYjgyOGEiLCJ1c2VySWQiOiI5MTQ0MDQ0NTQifQ==</vt:lpwstr>
  </property>
  <property fmtid="{D5CDD505-2E9C-101B-9397-08002B2CF9AE}" pid="3" name="KSOProductBuildVer">
    <vt:lpwstr>2052-6.7.1.8828</vt:lpwstr>
  </property>
  <property fmtid="{D5CDD505-2E9C-101B-9397-08002B2CF9AE}" pid="4" name="ICV">
    <vt:lpwstr>A44A5A0FCAA04815885561D64FF6D456_12</vt:lpwstr>
  </property>
</Properties>
</file>