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2E9E8">
      <w:pPr>
        <w:spacing w:before="0" w:after="6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17365D"/>
          <w:sz w:val="42"/>
        </w:rPr>
        <w:t>石化项目规则拆分与语义重构阶段汇报</w:t>
      </w:r>
    </w:p>
    <w:p w14:paraId="6C72303A">
      <w:pPr>
        <w:spacing w:before="0" w:after="2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666666"/>
          <w:sz w:val="21"/>
        </w:rPr>
        <w:t>目标：将原始规则从“复合表达”调整为可独立使用、语义明确、便于后续检索与建模的原子规则。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7"/>
        <w:gridCol w:w="3437"/>
        <w:gridCol w:w="3437"/>
      </w:tblGrid>
      <w:tr w14:paraId="4D6B60E3">
        <w:trPr>
          <w:jc w:val="center"/>
        </w:trPr>
        <w:tc>
          <w:tcPr>
            <w:tcW w:w="3231" w:type="dxa"/>
            <w:shd w:val="clear" w:color="auto" w:fill="D9EAF7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78D16D05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19"/>
              </w:rPr>
              <w:t>拆分前</w:t>
            </w:r>
          </w:p>
          <w:p w14:paraId="712896CD">
            <w:pPr>
              <w:spacing w:before="0" w:after="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34"/>
              </w:rPr>
              <w:t>118 条</w:t>
            </w:r>
          </w:p>
        </w:tc>
        <w:tc>
          <w:tcPr>
            <w:tcW w:w="3231" w:type="dxa"/>
            <w:shd w:val="clear" w:color="auto" w:fill="E2F0D9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1EF0289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19"/>
              </w:rPr>
              <w:t>拆分后</w:t>
            </w:r>
          </w:p>
          <w:p w14:paraId="4F053E83">
            <w:pPr>
              <w:spacing w:before="0" w:after="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34"/>
              </w:rPr>
              <w:t>285 条</w:t>
            </w:r>
          </w:p>
        </w:tc>
        <w:tc>
          <w:tcPr>
            <w:tcW w:w="3231" w:type="dxa"/>
            <w:shd w:val="clear" w:color="auto" w:fill="FCE4D6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 w14:paraId="6FA16185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19"/>
              </w:rPr>
              <w:t>净增加</w:t>
            </w:r>
          </w:p>
          <w:p w14:paraId="75638CD1">
            <w:pPr>
              <w:spacing w:before="0" w:after="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34"/>
              </w:rPr>
              <w:t>167 条</w:t>
            </w:r>
          </w:p>
        </w:tc>
      </w:tr>
    </w:tbl>
    <w:p w14:paraId="7F629F91">
      <w:pPr>
        <w:spacing w:before="100" w:after="16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666666"/>
          <w:sz w:val="19"/>
        </w:rPr>
        <w:t>说明：285 条仅对应原 118 条规则的拆分、纠错和重构结果，不包含后续额外扩展提取的规则。</w:t>
      </w:r>
    </w:p>
    <w:p w14:paraId="755CBA8E">
      <w:pPr>
        <w:spacing w:before="16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17365D"/>
          <w:sz w:val="30"/>
        </w:rPr>
        <w:t>一、本次规则拆分主要做了 5 件事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7"/>
        <w:gridCol w:w="3437"/>
        <w:gridCol w:w="3437"/>
      </w:tblGrid>
      <w:tr w14:paraId="1148AA46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E9FC1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处理内容</w:t>
            </w:r>
          </w:p>
        </w:tc>
        <w:tc>
          <w:tcPr>
            <w:tcW w:w="3118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E45AA4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拆分前问题</w:t>
            </w:r>
          </w:p>
        </w:tc>
        <w:tc>
          <w:tcPr>
            <w:tcW w:w="4365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4B1DFF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拆分后处理</w:t>
            </w:r>
          </w:p>
        </w:tc>
      </w:tr>
      <w:tr w14:paraId="0870C83A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9488E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1. 真正上下限拆开</w:t>
            </w:r>
          </w:p>
        </w:tc>
        <w:tc>
          <w:tcPr>
            <w:tcW w:w="31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F399C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一条规则同时保存 min / max</w:t>
            </w:r>
          </w:p>
        </w:tc>
        <w:tc>
          <w:tcPr>
            <w:tcW w:w="43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ADC2B4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拆为 MIN、MAX 两条规则；rule_id、description、parameter 同步调整</w:t>
            </w:r>
          </w:p>
        </w:tc>
      </w:tr>
      <w:tr w14:paraId="1FD2C9BE">
        <w:trPr>
          <w:jc w:val="center"/>
        </w:trPr>
        <w:tc>
          <w:tcPr>
            <w:tcW w:w="226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2E8B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2. 单值误判纠正</w:t>
            </w:r>
          </w:p>
        </w:tc>
        <w:tc>
          <w:tcPr>
            <w:tcW w:w="311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32F4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固定值被写成 min=max</w:t>
            </w:r>
          </w:p>
        </w:tc>
        <w:tc>
          <w:tcPr>
            <w:tcW w:w="4365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9C6BC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恢复成一个单值参数，不再人为制造上下限</w:t>
            </w:r>
          </w:p>
        </w:tc>
      </w:tr>
      <w:tr w14:paraId="5DA6EC5C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49E9A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3. 多实体分开表达</w:t>
            </w:r>
          </w:p>
        </w:tc>
        <w:tc>
          <w:tcPr>
            <w:tcW w:w="31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05E2D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YCO/RCO 两个原油值被取 min/max</w:t>
            </w:r>
          </w:p>
        </w:tc>
        <w:tc>
          <w:tcPr>
            <w:tcW w:w="43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A79D7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按原油实体分别建规则，保留“数值属于谁”的语义</w:t>
            </w:r>
          </w:p>
        </w:tc>
      </w:tr>
      <w:tr w14:paraId="03451FDC">
        <w:trPr>
          <w:jc w:val="center"/>
        </w:trPr>
        <w:tc>
          <w:tcPr>
            <w:tcW w:w="226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FA5DD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4. 复合规则原子化</w:t>
            </w:r>
          </w:p>
        </w:tc>
        <w:tc>
          <w:tcPr>
            <w:tcW w:w="3118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6354B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一条规则同时描述多个独立事实</w:t>
            </w:r>
          </w:p>
        </w:tc>
        <w:tc>
          <w:tcPr>
            <w:tcW w:w="4365" w:type="dxa"/>
            <w:shd w:val="clear" w:color="auto" w:fill="F7F9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1DDA1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拆成“一条规则一个事实”，便于检索、约束匹配和追溯</w:t>
            </w:r>
          </w:p>
        </w:tc>
      </w:tr>
      <w:tr w14:paraId="217C8892">
        <w:trPr>
          <w:jc w:val="center"/>
        </w:trPr>
        <w:tc>
          <w:tcPr>
            <w:tcW w:w="2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55EDB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5. 源值与推导值区分</w:t>
            </w:r>
          </w:p>
        </w:tc>
        <w:tc>
          <w:tcPr>
            <w:tcW w:w="31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2C4E9A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计算结果与 Excel 直接值混在一起</w:t>
            </w:r>
          </w:p>
        </w:tc>
        <w:tc>
          <w:tcPr>
            <w:tcW w:w="43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184E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color w:val="222222"/>
                <w:sz w:val="18"/>
              </w:rPr>
              <w:t>直接字段作为源规则；计算结果单独作为推导规则表达</w:t>
            </w:r>
          </w:p>
        </w:tc>
      </w:tr>
    </w:tbl>
    <w:p w14:paraId="132ECE31">
      <w:pPr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</w:rPr>
        <w:br w:type="page"/>
      </w:r>
    </w:p>
    <w:p w14:paraId="194D6985">
      <w:pPr>
        <w:spacing w:before="16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17365D"/>
          <w:sz w:val="30"/>
        </w:rPr>
        <w:t>二、典型案例</w:t>
      </w:r>
    </w:p>
    <w:p w14:paraId="67E288EE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1：真实上下限拆分 - 6101 原油罐</w:t>
      </w:r>
    </w:p>
    <w:p w14:paraId="1FAB97C9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原规则把上下限放在同一个字典里；拆分后每条规则只表达一个边界，并同步重构 ID 和描述。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0E0DD2D3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DA5218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B8B89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3C0B5283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BF10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CRUDE_INVENTORY_BOUND_6101</w:t>
            </w:r>
          </w:p>
          <w:p w14:paraId="2BE5F2B0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库存下限 1325 t + 库存上限 7579 t</w:t>
            </w:r>
          </w:p>
          <w:p w14:paraId="29837AAF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parameters: inventory_min + inventory_max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5732D5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CRUDE_INVENTORY_LEVEL_MIN_6101</w:t>
            </w:r>
          </w:p>
          <w:p w14:paraId="6A310A40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安全液位下限 2.5 m</w:t>
            </w:r>
          </w:p>
          <w:p w14:paraId="076D3D7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</w:p>
          <w:p w14:paraId="58FC7D1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CRUDE_INVENTORY_LEVEL_MAX_6101</w:t>
            </w:r>
          </w:p>
          <w:p w14:paraId="777A1B94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安全液位上限 14.3 m</w:t>
            </w:r>
          </w:p>
        </w:tc>
      </w:tr>
    </w:tbl>
    <w:p w14:paraId="1E4C33C5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2：固定值不再伪装成上下限</w:t>
      </w:r>
    </w:p>
    <w:p w14:paraId="73E10368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源表只有一个明确数值时，不能用 min=max 表示范围。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20B4B626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00F31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4BF56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67B43601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72BD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UNIT_PRODUCT_PROPERTY_BOUND_FCC200_GASOLINE_RON</w:t>
            </w:r>
          </w:p>
          <w:p w14:paraId="76A7EA6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product_ron_min = 89.3</w:t>
            </w:r>
          </w:p>
          <w:p w14:paraId="46563EF9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product_ron_max = 89.3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6CA4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UNIT_SIDECUT_PROPERTY_FCC200_GASOLINE_RON</w:t>
            </w:r>
          </w:p>
          <w:p w14:paraId="75172DED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sidecut_ron = 89.3</w:t>
            </w:r>
          </w:p>
          <w:p w14:paraId="7B54FF2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描述：200_催化汽油侧线辛烷值为89.3</w:t>
            </w:r>
          </w:p>
        </w:tc>
      </w:tr>
    </w:tbl>
    <w:p w14:paraId="4D0E9E6F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3：YCO / RCO 按实体拆分，而不是当作上下限</w:t>
      </w:r>
    </w:p>
    <w:p w14:paraId="18DABEAB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原 Assay 表中的两列代表两种原油，不代表同一指标的下限和上限。重构后保留“原油-侧线-性质”的对应关系。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2F29CF5E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13796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960D0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7F82F122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B5CF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300_常石脑油 SPG</w:t>
            </w:r>
          </w:p>
          <w:p w14:paraId="58CA30C1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min = 0.7352</w:t>
            </w:r>
          </w:p>
          <w:p w14:paraId="269CE267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max = 0.7365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F99D8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YCO: SPG = 0.7352</w:t>
            </w:r>
          </w:p>
          <w:p w14:paraId="57943E70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RCO: SPG = 0.7365</w:t>
            </w:r>
          </w:p>
          <w:p w14:paraId="1162F86A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分别生成 CDU_SIDECUT_PROPERTY_*_YCO / *_RCO</w:t>
            </w:r>
          </w:p>
        </w:tc>
      </w:tr>
    </w:tbl>
    <w:p w14:paraId="7F4DF955">
      <w:pPr>
        <w:rPr>
          <w:rFonts w:hint="eastAsia" w:ascii="PingFang SC Regular" w:hAnsi="PingFang SC Regular" w:eastAsia="PingFang SC Regular" w:cs="PingFang SC Regular"/>
        </w:rPr>
      </w:pPr>
    </w:p>
    <w:p w14:paraId="5B4D2715">
      <w:pPr>
        <w:rPr>
          <w:rFonts w:hint="eastAsia" w:ascii="PingFang SC Regular" w:hAnsi="PingFang SC Regular" w:eastAsia="PingFang SC Regular" w:cs="PingFang SC Regular"/>
        </w:rPr>
      </w:pPr>
    </w:p>
    <w:p w14:paraId="422D8AB2">
      <w:pPr>
        <w:rPr>
          <w:rFonts w:hint="eastAsia" w:ascii="PingFang SC Regular" w:hAnsi="PingFang SC Regular" w:eastAsia="PingFang SC Regular" w:cs="PingFang SC Regular"/>
        </w:rPr>
      </w:pPr>
    </w:p>
    <w:p w14:paraId="59768D0B">
      <w:pPr>
        <w:rPr>
          <w:rFonts w:hint="eastAsia" w:ascii="PingFang SC Regular" w:hAnsi="PingFang SC Regular" w:eastAsia="PingFang SC Regular" w:cs="PingFang SC Regular"/>
        </w:rPr>
      </w:pPr>
    </w:p>
    <w:p w14:paraId="6A407720">
      <w:pPr>
        <w:rPr>
          <w:rFonts w:hint="eastAsia" w:ascii="PingFang SC Regular" w:hAnsi="PingFang SC Regular" w:eastAsia="PingFang SC Regular" w:cs="PingFang SC Regular"/>
        </w:rPr>
      </w:pPr>
    </w:p>
    <w:p w14:paraId="192DEE9C">
      <w:pPr>
        <w:rPr>
          <w:rFonts w:hint="eastAsia" w:ascii="PingFang SC Regular" w:hAnsi="PingFang SC Regular" w:eastAsia="PingFang SC Regular" w:cs="PingFang SC Regular"/>
        </w:rPr>
      </w:pPr>
      <w:bookmarkStart w:id="0" w:name="_GoBack"/>
      <w:bookmarkEnd w:id="0"/>
    </w:p>
    <w:p w14:paraId="37E17AE6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4：调合配方上下限原子化</w:t>
      </w:r>
    </w:p>
    <w:p w14:paraId="64DF7054">
      <w:pPr>
        <w:spacing w:before="0" w:after="8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Excel 明确给出“比例下限 lo / 比例上限 hi”，因此这是有效边界，直接拆成两条独立规则。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56"/>
        <w:gridCol w:w="5156"/>
      </w:tblGrid>
      <w:tr w14:paraId="5B61F3B7">
        <w:trPr>
          <w:tblHeader/>
          <w:jc w:val="center"/>
        </w:trPr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7208C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拆分前</w:t>
            </w:r>
          </w:p>
        </w:tc>
        <w:tc>
          <w:tcPr>
            <w:tcW w:w="487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A9C70">
            <w:pPr>
              <w:spacing w:before="0" w:after="0" w:line="259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FFFFFF"/>
                <w:sz w:val="18"/>
              </w:rPr>
              <w:t>拆分后</w:t>
            </w:r>
          </w:p>
        </w:tc>
      </w:tr>
      <w:tr w14:paraId="01364CCB">
        <w:trPr>
          <w:jc w:val="center"/>
        </w:trPr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7C703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BLEND_RECIPE_92_GASOLINE_CAT_GASOLINE</w:t>
            </w:r>
          </w:p>
          <w:p w14:paraId="6EDEC62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催化汽油比例：0.3 ~ 0.6</w:t>
            </w:r>
          </w:p>
        </w:tc>
        <w:tc>
          <w:tcPr>
            <w:tcW w:w="487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310B1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BLEND_RECIPE_MIN_92_GASOLINE_CAT_GASOLINE  -&gt; 0.3</w:t>
            </w:r>
          </w:p>
          <w:p w14:paraId="018941E2">
            <w:pPr>
              <w:spacing w:before="0" w:after="0" w:line="259" w:lineRule="auto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8"/>
              </w:rPr>
              <w:t>BLEND_RECIPE_MAX_92_GASOLINE_CAT_GASOLINE  -&gt; 0.6</w:t>
            </w:r>
          </w:p>
        </w:tc>
      </w:tr>
    </w:tbl>
    <w:p w14:paraId="5628AF76">
      <w:pPr>
        <w:spacing w:before="80" w:after="10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/>
          <w:color w:val="2F75B5"/>
          <w:sz w:val="24"/>
        </w:rPr>
        <w:t>案例 5：源数据与计算结果分层</w:t>
      </w:r>
    </w:p>
    <w:p w14:paraId="0A5837E5">
      <w:pPr>
        <w:spacing w:before="0" w:after="60" w:line="276" w:lineRule="auto"/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以 6101 原油罐为例，Excel 直接给的是安全液位和米</w:t>
      </w: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  <w:lang w:val="en-US" w:eastAsia="zh-CN"/>
        </w:rPr>
        <w:t>系数</w:t>
      </w:r>
      <w:r>
        <w:rPr>
          <w:rFonts w:hint="eastAsia" w:ascii="PingFang SC Regular" w:hAnsi="PingFang SC Regular" w:eastAsia="PingFang SC Regular" w:cs="PingFang SC Regular"/>
          <w:b w:val="0"/>
          <w:color w:val="222222"/>
          <w:sz w:val="20"/>
        </w:rPr>
        <w:t>；库存质量上下限属于计算结果。两者不再混在同一层级。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6"/>
        <w:gridCol w:w="4876"/>
      </w:tblGrid>
      <w:tr w14:paraId="43D37E3A">
        <w:tc>
          <w:tcPr>
            <w:tcW w:w="4876" w:type="dxa"/>
            <w:shd w:val="clear" w:color="auto" w:fill="D9EAF7"/>
          </w:tcPr>
          <w:p w14:paraId="1398CF7B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</w:rPr>
              <w:t>源规则</w:t>
            </w:r>
          </w:p>
          <w:p w14:paraId="5D2F46E9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安全液位下限 = 2.5 m</w:t>
            </w:r>
          </w:p>
          <w:p w14:paraId="06FB3931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安全液位上限 = 14.3 m</w:t>
            </w:r>
          </w:p>
          <w:p w14:paraId="6DFACEA2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米系数 = 530 t/m</w:t>
            </w:r>
          </w:p>
        </w:tc>
        <w:tc>
          <w:tcPr>
            <w:tcW w:w="4876" w:type="dxa"/>
            <w:shd w:val="clear" w:color="auto" w:fill="F4F7FA"/>
          </w:tcPr>
          <w:p w14:paraId="4C3FB0EA">
            <w:pPr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/>
                <w:color w:val="17365D"/>
                <w:sz w:val="20"/>
              </w:rPr>
              <w:t>推导规则</w:t>
            </w:r>
          </w:p>
          <w:p w14:paraId="435BF0D9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2.5 x 530 = 1325 t</w:t>
            </w:r>
          </w:p>
          <w:p w14:paraId="1E35D918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14.3 x 530 = 7579 t</w:t>
            </w:r>
          </w:p>
          <w:p w14:paraId="1046324D">
            <w:pPr>
              <w:spacing w:before="0" w:after="20" w:line="276" w:lineRule="auto"/>
              <w:jc w:val="center"/>
              <w:rPr>
                <w:rFonts w:hint="eastAsia" w:ascii="PingFang SC Regular" w:hAnsi="PingFang SC Regular" w:eastAsia="PingFang SC Regular" w:cs="PingFang SC Regular"/>
              </w:rPr>
            </w:pPr>
            <w:r>
              <w:rPr>
                <w:rFonts w:hint="eastAsia" w:ascii="PingFang SC Regular" w:hAnsi="PingFang SC Regular" w:eastAsia="PingFang SC Regular" w:cs="PingFang SC Regular"/>
                <w:b w:val="0"/>
                <w:color w:val="222222"/>
                <w:sz w:val="19"/>
              </w:rPr>
              <w:t>计算结果单独保存，不冒充源字段</w:t>
            </w:r>
          </w:p>
        </w:tc>
      </w:tr>
    </w:tbl>
    <w:p w14:paraId="658FD052">
      <w:pPr>
        <w:spacing w:before="240" w:after="0" w:line="276" w:lineRule="auto"/>
        <w:rPr>
          <w:rFonts w:hint="eastAsia" w:ascii="PingFang SC Regular" w:hAnsi="PingFang SC Regular" w:eastAsia="PingFang SC Regular" w:cs="PingFang SC Regular"/>
        </w:rPr>
      </w:pPr>
    </w:p>
    <w:sectPr>
      <w:headerReference r:id="rId5" w:type="default"/>
      <w:footerReference r:id="rId6" w:type="default"/>
      <w:pgSz w:w="12240" w:h="15840"/>
      <w:pgMar w:top="907" w:right="964" w:bottom="850" w:left="9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0B185F">
    <w:pPr>
      <w:pStyle w:val="24"/>
      <w:jc w:val="center"/>
    </w:pPr>
    <w:r>
      <w:rPr>
        <w:rFonts w:ascii="Noto Sans CJK SC" w:hAnsi="Noto Sans CJK SC" w:eastAsia="Noto Sans CJK SC"/>
        <w:b w:val="0"/>
        <w:color w:val="666666"/>
        <w:sz w:val="16"/>
      </w:rPr>
      <w:t>基于 2026.9.9 原始提取结果整理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4CCF65">
    <w:pPr>
      <w:pStyle w:val="25"/>
      <w:jc w:val="right"/>
    </w:pPr>
    <w:r>
      <w:rPr>
        <w:rFonts w:ascii="Noto Sans CJK SC" w:hAnsi="Noto Sans CJK SC" w:eastAsia="Noto Sans CJK SC"/>
        <w:b w:val="0"/>
        <w:color w:val="666666"/>
        <w:sz w:val="17"/>
      </w:rPr>
      <w:t>石化项目 | 规则拆分阶段汇报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FE346A"/>
    <w:rsid w:val="3EBB17A0"/>
    <w:rsid w:val="5F57B6A8"/>
    <w:rsid w:val="63FE5CA1"/>
    <w:rsid w:val="6EF407AD"/>
    <w:rsid w:val="757D2C33"/>
    <w:rsid w:val="76FFCFAD"/>
    <w:rsid w:val="7AC12598"/>
    <w:rsid w:val="7FEF4376"/>
    <w:rsid w:val="AFFFF757"/>
    <w:rsid w:val="CEF989FF"/>
    <w:rsid w:val="DFBBC044"/>
    <w:rsid w:val="EDCB49A8"/>
    <w:rsid w:val="FAD507A4"/>
    <w:rsid w:val="FFF6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276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machong</cp:lastModifiedBy>
  <dcterms:modified xsi:type="dcterms:W3CDTF">2026-09-16T18:41:39Z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5EF5678C266BF4FD1B72AA6AD6E23597_42</vt:lpwstr>
  </property>
</Properties>
</file>