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1438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3156585" cy="584200"/>
            <wp:effectExtent l="0" t="0" r="5715" b="635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6585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drawing>
          <wp:inline distT="0" distB="0" distL="0" distR="0">
            <wp:extent cx="5857875" cy="82169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86AA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1160145</wp:posOffset>
                </wp:positionH>
                <wp:positionV relativeFrom="paragraph">
                  <wp:posOffset>2362200</wp:posOffset>
                </wp:positionV>
                <wp:extent cx="4959985" cy="136525"/>
                <wp:effectExtent l="0" t="0" r="12065" b="1587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959985" cy="1365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y;margin-left:91.35pt;margin-top:186pt;height:10.75pt;width:390.55pt;z-index:251660288;v-text-anchor:middle;mso-width-relative:page;mso-height-relative:page;" fillcolor="#F2F2F2 [3052]" filled="t" stroked="f" coordsize="21600,21600" o:gfxdata="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/7/sZ2wAAAAsBAAAPAAAA&#10;AAAAAAEAIAAAACIAAABkcnMvZG93bnJldi54bWxQSwECFAAUAAAACACHTuJAx38IBoQCAAD5BAAA&#10;DgAAAAAAAAABACAAAAAqAQAAZHJzL2Uyb0RvYy54bWxQSwUGAAAAAAYABgBZAQAAI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</w:rPr>
        <w:drawing>
          <wp:inline distT="0" distB="0" distL="0" distR="0">
            <wp:extent cx="6170930" cy="2312670"/>
            <wp:effectExtent l="0" t="0" r="0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F4994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254000</wp:posOffset>
                </wp:positionV>
                <wp:extent cx="3379470" cy="76200"/>
                <wp:effectExtent l="0" t="0" r="11430" b="0"/>
                <wp:wrapNone/>
                <wp:docPr id="7" name="流程图: 过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77310" y="5130800"/>
                          <a:ext cx="3379470" cy="76200"/>
                        </a:xfrm>
                        <a:prstGeom prst="flowChartProcess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15.3pt;margin-top:20pt;height:6pt;width:266.1pt;z-index:251662336;v-text-anchor:middle;mso-width-relative:page;mso-height-relative:page;" fillcolor="#A6A6A6 [2092]" filled="t" stroked="f" coordsize="21600,21600" o:gfxdata="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BiP/7d2AAAAAkBAAAPAAAAAAAAAAEAIAAAACIAAABkcnMvZG93bnJldi54bWxQSwECFAAU&#10;AAAACACHTuJApn4rPJwCAAAPBQAADgAAAAAAAAABACAAAAAnAQAAZHJzL2Uyb0RvYy54bWxQSwUG&#10;AAAAAAYABgBZAQAANQ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2063750</wp:posOffset>
                </wp:positionH>
                <wp:positionV relativeFrom="paragraph">
                  <wp:posOffset>185420</wp:posOffset>
                </wp:positionV>
                <wp:extent cx="4038600" cy="381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27630" y="5062220"/>
                          <a:ext cx="4038600" cy="38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.5pt;margin-top:14.6pt;height:0.3pt;width:318pt;z-index:251661312;mso-width-relative:page;mso-height-relative:page;" filled="f" stroked="t" coordsize="21600,21600" o:gfxdata="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QoJ+72QAAAAkBAAAPAAAAAAAAAAEAIAAAACIAAABkcnMvZG93bnJldi54bWxQSwECFAAU&#10;AAAACACHTuJAv7Ytd/ABAADBAwAADgAAAAAAAAABACAAAAAoAQAAZHJzL2Uyb0RvYy54bWxQSwUG&#10;AAAAAAYABgBZAQAAi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265420" cy="3107690"/>
            <wp:effectExtent l="0" t="0" r="0" b="0"/>
            <wp:docPr id="4" name="图片 4" descr="WPS图片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WPS图片(1)"/>
                    <pic:cNvPicPr>
                      <a:picLocks noChangeAspect="1"/>
                    </pic:cNvPicPr>
                  </pic:nvPicPr>
                  <pic:blipFill>
                    <a:blip r:embed="rId9"/>
                    <a:srcRect t="5833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D69F">
      <w:pPr>
        <w:rPr>
          <w:rFonts w:hint="eastAsia" w:ascii="宋体" w:hAnsi="宋体" w:eastAsia="宋体" w:cs="宋体"/>
        </w:rPr>
      </w:pPr>
    </w:p>
    <w:p w14:paraId="32D2CA61">
      <w:pPr>
        <w:rPr>
          <w:rFonts w:hint="eastAsia" w:ascii="宋体" w:hAnsi="宋体" w:eastAsia="宋体" w:cs="宋体"/>
        </w:rPr>
      </w:pPr>
    </w:p>
    <w:p w14:paraId="3D131315">
      <w:pPr>
        <w:rPr>
          <w:rFonts w:hint="eastAsia" w:ascii="宋体" w:hAnsi="宋体" w:eastAsia="宋体" w:cs="宋体"/>
        </w:rPr>
      </w:pPr>
    </w:p>
    <w:p w14:paraId="766237E5">
      <w:pPr>
        <w:rPr>
          <w:rFonts w:hint="eastAsia" w:ascii="宋体" w:hAnsi="宋体" w:eastAsia="宋体" w:cs="宋体"/>
        </w:rPr>
      </w:pPr>
    </w:p>
    <w:p w14:paraId="3C5CD635">
      <w:pPr>
        <w:rPr>
          <w:rFonts w:hint="eastAsia" w:ascii="宋体" w:hAnsi="宋体" w:eastAsia="宋体" w:cs="宋体"/>
        </w:rPr>
      </w:pPr>
    </w:p>
    <w:p w14:paraId="1E520A09">
      <w:pPr>
        <w:rPr>
          <w:rFonts w:hint="eastAsia" w:ascii="宋体" w:hAnsi="宋体" w:eastAsia="宋体" w:cs="宋体"/>
        </w:rPr>
      </w:pPr>
    </w:p>
    <w:p w14:paraId="5B841F4C">
      <w:pPr>
        <w:rPr>
          <w:rFonts w:hint="eastAsia" w:ascii="宋体" w:hAnsi="宋体" w:eastAsia="宋体" w:cs="宋体"/>
        </w:rPr>
      </w:pPr>
    </w:p>
    <w:p w14:paraId="15B8A980">
      <w:pPr>
        <w:rPr>
          <w:rFonts w:hint="eastAsia" w:ascii="宋体" w:hAnsi="宋体" w:eastAsia="宋体" w:cs="宋体"/>
        </w:rPr>
      </w:pPr>
    </w:p>
    <w:p w14:paraId="740A329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="Times New Roman"/>
          <w:kern w:val="2"/>
          <w:sz w:val="21"/>
          <w:szCs w:val="21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="Times New Roman"/>
          <w:kern w:val="2"/>
          <w:sz w:val="21"/>
          <w:szCs w:val="21"/>
          <w:lang w:val="en-US" w:eastAsia="zh-CN" w:bidi="ar-SA"/>
        </w:rPr>
        <w:id w:val="147479431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Cs/>
          <w:kern w:val="2"/>
          <w:sz w:val="21"/>
          <w:szCs w:val="28"/>
          <w:lang w:val="en-US" w:eastAsia="zh-CN" w:bidi="ar-SA"/>
        </w:rPr>
      </w:sdtEndPr>
      <w:sdtContent>
        <w:p w14:paraId="6D0F901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2487219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  <w:lang w:val="en-US" w:eastAsia="zh-CN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_Toc24128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1 引言（赵煜）</w:t>
          </w:r>
          <w:r>
            <w:tab/>
          </w:r>
          <w:r>
            <w:fldChar w:fldCharType="begin"/>
          </w:r>
          <w:r>
            <w:instrText xml:space="preserve"> PAGEREF _Toc24128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49CB1858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_Toc423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2 中药溯源系统基础设施设计（赵煜、吴依景）</w:t>
          </w:r>
          <w:r>
            <w:tab/>
          </w:r>
          <w:r>
            <w:fldChar w:fldCharType="begin"/>
          </w:r>
          <w:r>
            <w:instrText xml:space="preserve"> PAGEREF _Toc423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191694E7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_Toc21693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2.1 网络设计</w:t>
          </w:r>
          <w:r>
            <w:tab/>
          </w:r>
          <w:r>
            <w:fldChar w:fldCharType="begin"/>
          </w:r>
          <w:r>
            <w:instrText xml:space="preserve"> PAGEREF _Toc21693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4FF9ECA2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_Toc20043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2.1.1 网络需求分析</w:t>
          </w:r>
          <w:r>
            <w:tab/>
          </w:r>
          <w:r>
            <w:fldChar w:fldCharType="begin"/>
          </w:r>
          <w:r>
            <w:instrText xml:space="preserve"> PAGEREF _Toc20043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39E59219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_Toc18722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2.1.2 网络结构设计</w:t>
          </w:r>
          <w:r>
            <w:tab/>
          </w:r>
          <w:r>
            <w:fldChar w:fldCharType="begin"/>
          </w:r>
          <w:r>
            <w:instrText xml:space="preserve"> PAGEREF _Toc18722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41115394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_Toc8775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2.1.3 网络详细设计</w:t>
          </w:r>
          <w:r>
            <w:tab/>
          </w:r>
          <w:r>
            <w:fldChar w:fldCharType="begin"/>
          </w:r>
          <w:r>
            <w:instrText xml:space="preserve"> PAGEREF _Toc8775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2AB39FB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_Toc31053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2.3操作系统</w:t>
          </w:r>
          <w:r>
            <w:tab/>
          </w:r>
          <w:r>
            <w:fldChar w:fldCharType="begin"/>
          </w:r>
          <w:r>
            <w:instrText xml:space="preserve"> PAGEREF _Toc31053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6ADAF729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_Toc20109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Cs w:val="21"/>
            </w:rPr>
            <w:t>2.3.1移动端操作系统</w:t>
          </w:r>
          <w:r>
            <w:tab/>
          </w:r>
          <w:r>
            <w:fldChar w:fldCharType="begin"/>
          </w:r>
          <w:r>
            <w:instrText xml:space="preserve"> PAGEREF _Toc20109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4F24048B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_Toc31431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Cs w:val="21"/>
            </w:rPr>
            <w:t>2.3.2服务端操作系统</w:t>
          </w:r>
          <w:r>
            <w:tab/>
          </w:r>
          <w:r>
            <w:fldChar w:fldCharType="begin"/>
          </w:r>
          <w:r>
            <w:instrText xml:space="preserve"> PAGEREF _Toc31431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5167C62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_Toc345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2.4支撑软件</w:t>
          </w:r>
          <w:r>
            <w:tab/>
          </w:r>
          <w:r>
            <w:fldChar w:fldCharType="begin"/>
          </w:r>
          <w:r>
            <w:instrText xml:space="preserve"> PAGEREF _Toc345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59CA8C8D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_Toc24143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3 “中药溯源”信息系统拓扑结构设计（吴依景）</w:t>
          </w:r>
          <w:r>
            <w:tab/>
          </w:r>
          <w:r>
            <w:fldChar w:fldCharType="begin"/>
          </w:r>
          <w:r>
            <w:instrText xml:space="preserve"> PAGEREF _Toc24143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333F6DCA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_Toc32285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4 中药溯源系统资源结构设计（王天昱）</w:t>
          </w:r>
          <w:r>
            <w:tab/>
          </w:r>
          <w:r>
            <w:fldChar w:fldCharType="begin"/>
          </w:r>
          <w:r>
            <w:instrText xml:space="preserve"> PAGEREF _Toc32285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60FE261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_Toc8336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4.1 信息系统存储结构</w:t>
          </w:r>
          <w:r>
            <w:tab/>
          </w:r>
          <w:r>
            <w:fldChar w:fldCharType="begin"/>
          </w:r>
          <w:r>
            <w:instrText xml:space="preserve"> PAGEREF _Toc8336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265F11D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_Toc463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4.2 信息资源分布结构</w:t>
          </w:r>
          <w:r>
            <w:tab/>
          </w:r>
          <w:r>
            <w:fldChar w:fldCharType="begin"/>
          </w:r>
          <w:r>
            <w:instrText xml:space="preserve"> PAGEREF _Toc463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6B8A2FC5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_Toc22975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5 中药溯源系统体系结构模式的设计（王天昱）</w:t>
          </w:r>
          <w:r>
            <w:tab/>
          </w:r>
          <w:r>
            <w:fldChar w:fldCharType="begin"/>
          </w:r>
          <w:r>
            <w:instrText xml:space="preserve"> PAGEREF _Toc22975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71018946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_Toc7835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t>6 中药溯源系统的软件架构设计（唐俊、赵煜、吴依景、王天昱）</w:t>
          </w:r>
          <w:r>
            <w:tab/>
          </w:r>
          <w:r>
            <w:fldChar w:fldCharType="begin"/>
          </w:r>
          <w:r>
            <w:instrText xml:space="preserve"> PAGEREF _Toc7835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6E16690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_Toc27380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6.1 初步软件架构</w:t>
          </w:r>
          <w:r>
            <w:tab/>
          </w:r>
          <w:r>
            <w:fldChar w:fldCharType="begin"/>
          </w:r>
          <w:r>
            <w:instrText xml:space="preserve"> PAGEREF _Toc27380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368736A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_Toc29262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6.2 子系统分解和细化</w:t>
          </w:r>
          <w:r>
            <w:tab/>
          </w:r>
          <w:r>
            <w:fldChar w:fldCharType="begin"/>
          </w:r>
          <w:r>
            <w:instrText xml:space="preserve"> PAGEREF _Toc29262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4AB0F04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_Toc8059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6.3 系统逻辑</w:t>
          </w:r>
          <w:r>
            <w:tab/>
          </w:r>
          <w:r>
            <w:fldChar w:fldCharType="begin"/>
          </w:r>
          <w:r>
            <w:instrText xml:space="preserve"> PAGEREF _Toc8059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527BFE3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_Toc29943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6.4“中药溯源”信息系统拓扑结构节点分布设计</w:t>
          </w:r>
          <w:r>
            <w:tab/>
          </w:r>
          <w:r>
            <w:fldChar w:fldCharType="begin"/>
          </w:r>
          <w:r>
            <w:instrText xml:space="preserve"> PAGEREF _Toc29943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29BB7F8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instrText xml:space="preserve"> HYPERLINK \l _Toc10603 </w:instrText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t>6.5 系统层和中间件层的软件结构设计（王天昱）</w:t>
          </w:r>
          <w:r>
            <w:tab/>
          </w:r>
          <w:r>
            <w:fldChar w:fldCharType="begin"/>
          </w:r>
          <w:r>
            <w:instrText xml:space="preserve"> PAGEREF _Toc10603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  <w:p w14:paraId="1B9C47AF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textAlignment w:val="auto"/>
            <w:outlineLvl w:val="0"/>
            <w:rPr>
              <w:rFonts w:hint="eastAsia" w:ascii="宋体" w:hAnsi="宋体" w:eastAsia="宋体" w:cs="宋体"/>
              <w:bCs/>
              <w:kern w:val="2"/>
              <w:sz w:val="21"/>
              <w:szCs w:val="28"/>
              <w:lang w:val="en-US" w:eastAsia="zh-CN" w:bidi="ar-SA"/>
            </w:r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pgNumType w:start="1"/>
              <w:cols w:space="425" w:num="1"/>
              <w:docGrid w:type="lines" w:linePitch="312" w:charSpace="0"/>
            </w:sectPr>
          </w:pPr>
          <w:r>
            <w:rPr>
              <w:rFonts w:hint="eastAsia" w:ascii="宋体" w:hAnsi="宋体" w:eastAsia="宋体" w:cs="宋体"/>
              <w:bCs/>
              <w:szCs w:val="28"/>
              <w:lang w:val="en-US" w:eastAsia="zh-CN"/>
            </w:rPr>
            <w:fldChar w:fldCharType="end"/>
          </w:r>
        </w:p>
      </w:sdtContent>
    </w:sdt>
    <w:p w14:paraId="07C54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0" w:name="_Toc24128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 引言（赵煜）</w:t>
      </w:r>
      <w:bookmarkEnd w:id="0"/>
    </w:p>
    <w:p w14:paraId="74FB609A">
      <w:pPr>
        <w:spacing w:line="360" w:lineRule="auto"/>
        <w:ind w:firstLine="48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中药溯源信息系统是一种利用现代信息技术，对中药从种植、采收、加工、流通到销售的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全生命周期</w:t>
      </w:r>
      <w:r>
        <w:rPr>
          <w:rFonts w:hint="eastAsia" w:ascii="宋体" w:hAnsi="宋体" w:eastAsia="宋体" w:cs="宋体"/>
          <w:sz w:val="24"/>
          <w:szCs w:val="24"/>
        </w:rPr>
        <w:t>进行信息记录和追踪的数字化管理系统，以实现全生命周期的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数据透明化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可追溯化</w:t>
      </w:r>
      <w:r>
        <w:rPr>
          <w:rFonts w:hint="eastAsia" w:ascii="宋体" w:hAnsi="宋体" w:eastAsia="宋体" w:cs="宋体"/>
          <w:sz w:val="24"/>
          <w:szCs w:val="24"/>
        </w:rPr>
        <w:t>，保障中药材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质量安全</w:t>
      </w:r>
      <w:r>
        <w:rPr>
          <w:rFonts w:hint="eastAsia" w:ascii="宋体" w:hAnsi="宋体" w:eastAsia="宋体" w:cs="宋体"/>
          <w:sz w:val="24"/>
          <w:szCs w:val="24"/>
        </w:rPr>
        <w:t>，推动中医药产业现代化发展。</w:t>
      </w:r>
    </w:p>
    <w:p w14:paraId="345FA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1" w:name="_Toc423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 中药溯源系统基础设施设计（赵煜、吴依景）</w:t>
      </w:r>
      <w:bookmarkEnd w:id="1"/>
    </w:p>
    <w:p w14:paraId="6B460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2" w:name="_Toc21693"/>
      <w:r>
        <w:rPr>
          <w:rFonts w:hint="eastAsia" w:ascii="宋体" w:hAnsi="宋体" w:eastAsia="宋体" w:cs="宋体"/>
          <w:sz w:val="24"/>
          <w:szCs w:val="24"/>
        </w:rPr>
        <w:t>2.1 网络设计</w:t>
      </w:r>
      <w:bookmarkEnd w:id="2"/>
    </w:p>
    <w:p w14:paraId="700FE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宋体" w:hAnsi="宋体" w:eastAsia="宋体" w:cs="宋体"/>
        </w:rPr>
      </w:pPr>
      <w:bookmarkStart w:id="3" w:name="_Toc20043"/>
      <w:r>
        <w:rPr>
          <w:rFonts w:hint="eastAsia" w:ascii="宋体" w:hAnsi="宋体" w:eastAsia="宋体" w:cs="宋体"/>
        </w:rPr>
        <w:t>2.1.1 网络需求分析</w:t>
      </w:r>
      <w:bookmarkEnd w:id="3"/>
    </w:p>
    <w:p w14:paraId="2CAA8B1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（1）信息系统规模</w:t>
      </w:r>
    </w:p>
    <w:p w14:paraId="25A61EDD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中药溯源系统涵盖众多组件，包含分布于中药种植基地、加工工厂、物流运输环节以及销售终端等各处的数据采集设备，用于收集如种植环境参数、加工流程记录、物流轨迹信息等各类数据。数据存储服务器需具备强大的存储能力，以容纳海量的中药全生命周期数据；分析和处理服务器则要拥有高效的计算资源，对采集到的数据进行深度分析与处理，生成有价值的溯源信息。用户界面面向监管部门、企业内部人员以及消费者等不同群体，需满足多样化的查询与展示需求。</w:t>
      </w:r>
    </w:p>
    <w:p w14:paraId="70FAB84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（2）系统所覆盖业务的地域分布</w:t>
      </w:r>
    </w:p>
    <w:p w14:paraId="5D7CA49B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中药溯源业务涉及的地域范围极为广泛，种植基地可能分散在不同省份甚至不同地区，加工工厂和物流配送中心也分布于各地。这就要求系统能够适应复杂的跨地域网络环境，需要运用多种网络连接技术与设备，例如虚拟专用网络（VPN）保障远程数据传输的安全性与稳定性，通过远程访问服务器实现不同地域节点与中心系统的有效连接。</w:t>
      </w:r>
    </w:p>
    <w:p w14:paraId="11C3B14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（3）计算机设备</w:t>
      </w:r>
    </w:p>
    <w:p w14:paraId="1B753BB4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务器设备方面，为应对大规模中药数据的快速处理与存储需求，需配备高性能处理器以及大容量存储设备。用户端设备类型多样，包括台式电脑、笔记本电脑、平板电脑以及智能手机等。因此，系统的用户界面需具备良好的多平台兼容性，确保不同设备上的用户都能流畅、准确地获取溯源信息。</w:t>
      </w:r>
    </w:p>
    <w:p w14:paraId="7B801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宋体" w:hAnsi="宋体" w:eastAsia="宋体" w:cs="宋体"/>
        </w:rPr>
      </w:pPr>
      <w:bookmarkStart w:id="4" w:name="_Toc18722"/>
      <w:r>
        <w:rPr>
          <w:rFonts w:hint="eastAsia" w:ascii="宋体" w:hAnsi="宋体" w:eastAsia="宋体" w:cs="宋体"/>
        </w:rPr>
        <w:t>2.1.2 网络结构设计</w:t>
      </w:r>
      <w:bookmarkEnd w:id="4"/>
    </w:p>
    <w:p w14:paraId="7C0D6D14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中药溯源系统作为一个中型规模系统，具有分布地域广泛、业务流程复杂、管理难度较大等特点。为了满足不同地域中药业务的使用需求，实现高效管理与维护，并强化系统的安全性，基于系统的规模、地域分布、管理复杂性以及功能需求等多方面因素考量，采用二级网络结构更能契合系统的网络需求，显著提升系统的性能、可靠性与安全性。这种结构有助于将不同区域的业务进行合理整合与管理，减少网络拥堵，增强数据传输的稳定性与安全性。</w:t>
      </w:r>
    </w:p>
    <w:p w14:paraId="2A1E8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宋体" w:hAnsi="宋体" w:eastAsia="宋体" w:cs="宋体"/>
        </w:rPr>
      </w:pPr>
      <w:bookmarkStart w:id="5" w:name="_Toc8775"/>
      <w:r>
        <w:rPr>
          <w:rFonts w:hint="eastAsia" w:ascii="宋体" w:hAnsi="宋体" w:eastAsia="宋体" w:cs="宋体"/>
        </w:rPr>
        <w:t>2.1.3 网络详细设计</w:t>
      </w:r>
      <w:bookmarkEnd w:id="5"/>
    </w:p>
    <w:p w14:paraId="6F902A9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（1） 网络节点及布线设计</w:t>
      </w:r>
    </w:p>
    <w:p w14:paraId="08BE9A75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鉴于本系统计划选用成熟的现有网络供应商，故无需额外考虑网络节点的规划与网络布线工作。网络供应商能够提供稳定的基础网络设施，确保系统数据传输的基本通道畅通无阻。</w:t>
      </w:r>
    </w:p>
    <w:p w14:paraId="1338259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（2） 网络设备选型</w:t>
      </w:r>
    </w:p>
    <w:p w14:paraId="6C06D656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针对中药溯源系统的运行和海量数据传输需求，需要以下一系列网络设备提供支持：</w:t>
      </w:r>
    </w:p>
    <w:p w14:paraId="5D59A231">
      <w:pPr>
        <w:jc w:val="right"/>
        <w:rPr>
          <w:rFonts w:hint="eastAsia" w:ascii="宋体" w:hAnsi="宋体" w:eastAsia="宋体" w:cs="宋体"/>
        </w:rPr>
      </w:pPr>
    </w:p>
    <w:tbl>
      <w:tblPr>
        <w:tblStyle w:val="19"/>
        <w:tblW w:w="7847" w:type="dxa"/>
        <w:tblInd w:w="5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8"/>
        <w:gridCol w:w="5479"/>
      </w:tblGrid>
      <w:tr w14:paraId="47746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8" w:type="dxa"/>
          </w:tcPr>
          <w:p w14:paraId="7DA5118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网络设备</w:t>
            </w:r>
          </w:p>
        </w:tc>
        <w:tc>
          <w:tcPr>
            <w:tcW w:w="5479" w:type="dxa"/>
          </w:tcPr>
          <w:p w14:paraId="409FA47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</w:t>
            </w:r>
          </w:p>
        </w:tc>
      </w:tr>
      <w:tr w14:paraId="58A6D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8" w:type="dxa"/>
          </w:tcPr>
          <w:p w14:paraId="3C82465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路由器</w:t>
            </w:r>
          </w:p>
        </w:tc>
        <w:tc>
          <w:tcPr>
            <w:tcW w:w="5479" w:type="dxa"/>
          </w:tcPr>
          <w:p w14:paraId="6CD23E2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负责不同网络区域之间的数据转发与路由选择，保障各节点间的通信顺畅，确保数据能够准确、快速地到达目标地址。</w:t>
            </w:r>
          </w:p>
        </w:tc>
      </w:tr>
      <w:tr w14:paraId="73A34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8" w:type="dxa"/>
          </w:tcPr>
          <w:p w14:paraId="57E853C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交换机</w:t>
            </w:r>
          </w:p>
        </w:tc>
        <w:tc>
          <w:tcPr>
            <w:tcW w:w="5479" w:type="dxa"/>
          </w:tcPr>
          <w:p w14:paraId="06E3FE6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实现局域网内设备的连接与数据交换，根据端口数量和带宽需求选择合适的交换机，满足不同区域的数据汇聚与分发需求。</w:t>
            </w:r>
          </w:p>
        </w:tc>
      </w:tr>
      <w:tr w14:paraId="11185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8" w:type="dxa"/>
          </w:tcPr>
          <w:p w14:paraId="5ABA7BE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防火墙</w:t>
            </w:r>
          </w:p>
        </w:tc>
        <w:tc>
          <w:tcPr>
            <w:tcW w:w="5479" w:type="dxa"/>
          </w:tcPr>
          <w:p w14:paraId="3F2F353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作为网络安全的重要防线，防止外部非法入侵，对进出网络的流量进行严格过滤与监控，保护内部网络免受恶意攻击。</w:t>
            </w:r>
          </w:p>
        </w:tc>
      </w:tr>
      <w:tr w14:paraId="05E3B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8" w:type="dxa"/>
          </w:tcPr>
          <w:p w14:paraId="6D38A5B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网关</w:t>
            </w:r>
          </w:p>
        </w:tc>
        <w:tc>
          <w:tcPr>
            <w:tcW w:w="5479" w:type="dxa"/>
          </w:tcPr>
          <w:p w14:paraId="31397FAC">
            <w:pPr>
              <w:ind w:right="21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充当内部网络与外部网络的连接桥梁，实现不同协议和网络之间的通信转换，确保系统与外部网络的安全交互。</w:t>
            </w:r>
          </w:p>
        </w:tc>
      </w:tr>
      <w:tr w14:paraId="0A6F7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8" w:type="dxa"/>
          </w:tcPr>
          <w:p w14:paraId="0B67B43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网络存储设备</w:t>
            </w:r>
          </w:p>
        </w:tc>
        <w:tc>
          <w:tcPr>
            <w:tcW w:w="5479" w:type="dxa"/>
          </w:tcPr>
          <w:p w14:paraId="247A7F3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用于存储海量的中药溯源数据，具备大容量、高可靠性和数据冗余功能，保证数据的安全存储与随时访问。</w:t>
            </w:r>
          </w:p>
        </w:tc>
      </w:tr>
      <w:tr w14:paraId="7EB46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8" w:type="dxa"/>
          </w:tcPr>
          <w:p w14:paraId="718AD03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虚拟专用网络（VPN）设备</w:t>
            </w:r>
          </w:p>
        </w:tc>
        <w:tc>
          <w:tcPr>
            <w:tcW w:w="5479" w:type="dxa"/>
          </w:tcPr>
          <w:p w14:paraId="756354A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在跨地域的数据传输中，通过加密隧道技术，建立安全的远程连接，保障数据在公网上传输的保密性和完整性。</w:t>
            </w:r>
          </w:p>
        </w:tc>
      </w:tr>
      <w:tr w14:paraId="6AFB9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8" w:type="dxa"/>
          </w:tcPr>
          <w:p w14:paraId="6A705C5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无线接入点</w:t>
            </w:r>
          </w:p>
        </w:tc>
        <w:tc>
          <w:tcPr>
            <w:tcW w:w="5479" w:type="dxa"/>
          </w:tcPr>
          <w:p w14:paraId="73930A3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为移动设备提供无线网络接入，满足企业内部人员在不同场所的移动办公需求，确保随时随地能够访问溯源系统。</w:t>
            </w:r>
          </w:p>
        </w:tc>
      </w:tr>
    </w:tbl>
    <w:p w14:paraId="61199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（3）网络操作系统选择</w:t>
      </w:r>
    </w:p>
    <w:p w14:paraId="2E79692C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中药溯源系统基于 B/S（浏览器/服务器）与 C/S（客户端/服务器）相结合的模式进行开发。前端页面采用 HTML5、CSS3 以及 JavaScript 等技术构建，以实现良好的用户交互体验；后端运用 Java 语言进行业务逻辑处理与数据交互。在操作系统方面，PC 端支持 Windows 7 及以上版本、Mac OS 等主流操作系统；移动端则兼容 Android、iOS 等平台，确保不同设备的用户都能顺利使用系统。</w:t>
      </w:r>
    </w:p>
    <w:p w14:paraId="02C494F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（4）网络管理设计</w:t>
      </w:r>
    </w:p>
    <w:p w14:paraId="303EC9B2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中药溯源系统的网络管理采用分布式管理架构，在各个子网络或区域设置独立的管理节点或管理中心。这些管理节点负责本地网络设备的配置、监控与维护工作，能够及时响应和处理本地网络出现的问题。同时，借助远程管理工具，网络管理人员可以对整个系统进行统一管理与调度。网络管理人员包括网络管理员，负责网络设备的日常管理与维护；安全管理员，专注于网络安全策略的制定与实施，防范网络安全威胁；系统管理员，负责服务器系统的管理与优化，确保系统的稳定运行。通过这种分工明确的管理模式，保障中药溯源系统网络的高效、安全运行。</w:t>
      </w:r>
    </w:p>
    <w:p w14:paraId="1AC3586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2.2 物理设计</w:t>
      </w:r>
      <w:r>
        <w:rPr>
          <w:rFonts w:hint="eastAsia" w:ascii="宋体" w:hAnsi="宋体" w:eastAsia="宋体" w:cs="宋体"/>
        </w:rPr>
        <w:t xml:space="preserve"> </w:t>
      </w:r>
    </w:p>
    <w:tbl>
      <w:tblPr>
        <w:tblStyle w:val="19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7"/>
        <w:gridCol w:w="1230"/>
        <w:gridCol w:w="1417"/>
        <w:gridCol w:w="1701"/>
        <w:gridCol w:w="1613"/>
        <w:gridCol w:w="1081"/>
      </w:tblGrid>
      <w:tr w14:paraId="050B1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7" w:type="dxa"/>
          </w:tcPr>
          <w:p w14:paraId="6038FB3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计算机设备</w:t>
            </w:r>
          </w:p>
        </w:tc>
        <w:tc>
          <w:tcPr>
            <w:tcW w:w="1230" w:type="dxa"/>
          </w:tcPr>
          <w:p w14:paraId="7C7AED40">
            <w:pPr>
              <w:ind w:left="15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存储设备</w:t>
            </w:r>
          </w:p>
        </w:tc>
        <w:tc>
          <w:tcPr>
            <w:tcW w:w="1417" w:type="dxa"/>
          </w:tcPr>
          <w:p w14:paraId="52E31D7B">
            <w:pPr>
              <w:ind w:left="25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输入输出设备</w:t>
            </w:r>
          </w:p>
          <w:p w14:paraId="500B1691">
            <w:pPr>
              <w:ind w:left="254"/>
              <w:rPr>
                <w:rFonts w:hint="eastAsia" w:ascii="宋体" w:hAnsi="宋体" w:eastAsia="宋体" w:cs="宋体"/>
              </w:rPr>
            </w:pPr>
          </w:p>
        </w:tc>
        <w:tc>
          <w:tcPr>
            <w:tcW w:w="1701" w:type="dxa"/>
          </w:tcPr>
          <w:p w14:paraId="34D8088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多媒体设备</w:t>
            </w:r>
          </w:p>
          <w:p w14:paraId="2A559B5C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613" w:type="dxa"/>
          </w:tcPr>
          <w:p w14:paraId="6A773FA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安全设备</w:t>
            </w:r>
          </w:p>
          <w:p w14:paraId="467B0884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081" w:type="dxa"/>
          </w:tcPr>
          <w:p w14:paraId="7BD112B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辅助设备</w:t>
            </w:r>
          </w:p>
          <w:p w14:paraId="2B3B526E">
            <w:pPr>
              <w:rPr>
                <w:rFonts w:hint="eastAsia" w:ascii="宋体" w:hAnsi="宋体" w:eastAsia="宋体" w:cs="宋体"/>
              </w:rPr>
            </w:pPr>
          </w:p>
        </w:tc>
      </w:tr>
      <w:tr w14:paraId="15708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1317" w:type="dxa"/>
          </w:tcPr>
          <w:p w14:paraId="1609EA5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服务器</w:t>
            </w:r>
          </w:p>
        </w:tc>
        <w:tc>
          <w:tcPr>
            <w:tcW w:w="1230" w:type="dxa"/>
          </w:tcPr>
          <w:p w14:paraId="3C98D7E9">
            <w:pPr>
              <w:ind w:left="15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磁盘阵列</w:t>
            </w:r>
          </w:p>
        </w:tc>
        <w:tc>
          <w:tcPr>
            <w:tcW w:w="1417" w:type="dxa"/>
          </w:tcPr>
          <w:p w14:paraId="3725EF09">
            <w:pPr>
              <w:ind w:left="35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扫码枪</w:t>
            </w:r>
          </w:p>
          <w:p w14:paraId="295A0B5A">
            <w:pPr>
              <w:ind w:left="354"/>
              <w:rPr>
                <w:rFonts w:hint="eastAsia" w:ascii="宋体" w:hAnsi="宋体" w:eastAsia="宋体" w:cs="宋体"/>
              </w:rPr>
            </w:pPr>
          </w:p>
        </w:tc>
        <w:tc>
          <w:tcPr>
            <w:tcW w:w="1701" w:type="dxa"/>
          </w:tcPr>
          <w:p w14:paraId="71BA0C64">
            <w:pPr>
              <w:ind w:left="210" w:hanging="210" w:hangingChars="1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显示器</w:t>
            </w:r>
          </w:p>
          <w:p w14:paraId="640386D0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613" w:type="dxa"/>
          </w:tcPr>
          <w:p w14:paraId="77B7F433">
            <w:pPr>
              <w:ind w:left="156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防火墙</w:t>
            </w:r>
          </w:p>
          <w:p w14:paraId="202CE64A">
            <w:pPr>
              <w:ind w:left="156"/>
              <w:rPr>
                <w:rFonts w:hint="eastAsia" w:ascii="宋体" w:hAnsi="宋体" w:eastAsia="宋体" w:cs="宋体"/>
              </w:rPr>
            </w:pPr>
          </w:p>
        </w:tc>
        <w:tc>
          <w:tcPr>
            <w:tcW w:w="1081" w:type="dxa"/>
          </w:tcPr>
          <w:p w14:paraId="04C40589">
            <w:pPr>
              <w:ind w:left="87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不间断电源</w:t>
            </w:r>
          </w:p>
          <w:p w14:paraId="6F15043A">
            <w:pPr>
              <w:widowControl/>
              <w:jc w:val="left"/>
              <w:rPr>
                <w:rFonts w:hint="eastAsia" w:ascii="宋体" w:hAnsi="宋体" w:eastAsia="宋体" w:cs="宋体"/>
              </w:rPr>
            </w:pPr>
          </w:p>
          <w:p w14:paraId="7E75EC75">
            <w:pPr>
              <w:rPr>
                <w:rFonts w:hint="eastAsia" w:ascii="宋体" w:hAnsi="宋体" w:eastAsia="宋体" w:cs="宋体"/>
              </w:rPr>
            </w:pPr>
          </w:p>
        </w:tc>
      </w:tr>
      <w:tr w14:paraId="05A0E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8" w:hRule="atLeast"/>
        </w:trPr>
        <w:tc>
          <w:tcPr>
            <w:tcW w:w="1317" w:type="dxa"/>
          </w:tcPr>
          <w:p w14:paraId="19845AE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终端设备</w:t>
            </w:r>
          </w:p>
        </w:tc>
        <w:tc>
          <w:tcPr>
            <w:tcW w:w="1230" w:type="dxa"/>
          </w:tcPr>
          <w:p w14:paraId="204DFAEA">
            <w:pPr>
              <w:ind w:left="15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磁带库</w:t>
            </w:r>
          </w:p>
        </w:tc>
        <w:tc>
          <w:tcPr>
            <w:tcW w:w="1417" w:type="dxa"/>
          </w:tcPr>
          <w:p w14:paraId="3B415257">
            <w:pPr>
              <w:ind w:left="35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打印机</w:t>
            </w:r>
          </w:p>
          <w:p w14:paraId="4DD1C1AB">
            <w:pPr>
              <w:ind w:left="354"/>
              <w:rPr>
                <w:rFonts w:hint="eastAsia" w:ascii="宋体" w:hAnsi="宋体" w:eastAsia="宋体" w:cs="宋体"/>
              </w:rPr>
            </w:pPr>
          </w:p>
        </w:tc>
        <w:tc>
          <w:tcPr>
            <w:tcW w:w="1701" w:type="dxa"/>
          </w:tcPr>
          <w:p w14:paraId="07D50E7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视频会议设备</w:t>
            </w:r>
          </w:p>
          <w:p w14:paraId="0B599909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613" w:type="dxa"/>
          </w:tcPr>
          <w:p w14:paraId="13989DF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入侵检测系统  </w:t>
            </w:r>
          </w:p>
          <w:p w14:paraId="6A432796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081" w:type="dxa"/>
          </w:tcPr>
          <w:p w14:paraId="3D7C200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传感器</w:t>
            </w:r>
          </w:p>
        </w:tc>
      </w:tr>
    </w:tbl>
    <w:p w14:paraId="4B0DC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6" w:name="_Toc31053"/>
      <w:r>
        <w:rPr>
          <w:rFonts w:hint="eastAsia" w:ascii="宋体" w:hAnsi="宋体" w:eastAsia="宋体" w:cs="宋体"/>
          <w:sz w:val="24"/>
          <w:szCs w:val="24"/>
        </w:rPr>
        <w:t>2.3操作系统</w:t>
      </w:r>
      <w:bookmarkEnd w:id="6"/>
    </w:p>
    <w:p w14:paraId="6A802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7" w:name="_Toc20109"/>
      <w:r>
        <w:rPr>
          <w:rFonts w:hint="eastAsia" w:ascii="宋体" w:hAnsi="宋体" w:eastAsia="宋体" w:cs="宋体"/>
          <w:sz w:val="21"/>
          <w:szCs w:val="21"/>
        </w:rPr>
        <w:t>2.3.1移动端操作系统</w:t>
      </w:r>
      <w:bookmarkEnd w:id="7"/>
    </w:p>
    <w:p w14:paraId="26E66488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嵌入式操作系统</w:t>
      </w:r>
    </w:p>
    <w:p w14:paraId="6C634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2"/>
        <w:rPr>
          <w:rFonts w:hint="eastAsia" w:ascii="宋体" w:hAnsi="宋体" w:eastAsia="宋体" w:cs="宋体"/>
          <w:sz w:val="21"/>
          <w:szCs w:val="21"/>
        </w:rPr>
      </w:pPr>
      <w:bookmarkStart w:id="8" w:name="_Toc31431"/>
      <w:r>
        <w:rPr>
          <w:rFonts w:hint="eastAsia" w:ascii="宋体" w:hAnsi="宋体" w:eastAsia="宋体" w:cs="宋体"/>
          <w:sz w:val="21"/>
          <w:szCs w:val="21"/>
        </w:rPr>
        <w:t>2.3.2服务端操作系统</w:t>
      </w:r>
      <w:bookmarkEnd w:id="8"/>
    </w:p>
    <w:p w14:paraId="73FF3943">
      <w:pPr>
        <w:ind w:firstLine="42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1"/>
          <w:szCs w:val="21"/>
        </w:rPr>
        <w:t>Windows Server系列的Windows Server 2012 R2版本及以上</w:t>
      </w:r>
    </w:p>
    <w:p w14:paraId="793CC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eastAsia="宋体" w:cs="宋体"/>
          <w:b/>
          <w:bCs/>
          <w:sz w:val="28"/>
          <w:szCs w:val="28"/>
        </w:rPr>
      </w:pPr>
      <w:bookmarkStart w:id="9" w:name="_Toc345"/>
      <w:r>
        <w:rPr>
          <w:rFonts w:hint="eastAsia" w:ascii="宋体" w:hAnsi="宋体" w:eastAsia="宋体" w:cs="宋体"/>
          <w:sz w:val="24"/>
          <w:szCs w:val="24"/>
        </w:rPr>
        <w:t>2.4支撑软件</w:t>
      </w:r>
      <w:bookmarkEnd w:id="9"/>
    </w:p>
    <w:p w14:paraId="42EE6FA6">
      <w:pPr>
        <w:ind w:firstLine="42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1"/>
          <w:szCs w:val="21"/>
        </w:rPr>
        <w:t>MySQL数据库、物联网数据采集模块、移动端任务管理系统</w:t>
      </w:r>
    </w:p>
    <w:p w14:paraId="4A258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0" w:name="_Toc24143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3 “中药溯源”信息系统拓扑结构设计（吴依景）</w:t>
      </w:r>
      <w:bookmarkEnd w:id="10"/>
    </w:p>
    <w:p w14:paraId="515B3AA5">
      <w:pPr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4098925" cy="3261995"/>
            <wp:effectExtent l="0" t="0" r="15875" b="14605"/>
            <wp:docPr id="17" name="图片 17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892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AA3E">
      <w:pPr>
        <w:jc w:val="center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图3-1“中药溯源”信息系统拓扑图</w:t>
      </w:r>
    </w:p>
    <w:p w14:paraId="3565ABD6">
      <w:pPr>
        <w:rPr>
          <w:rFonts w:hint="eastAsia" w:ascii="宋体" w:hAnsi="宋体" w:eastAsia="宋体" w:cs="宋体"/>
          <w:sz w:val="24"/>
          <w:szCs w:val="24"/>
        </w:rPr>
      </w:pPr>
    </w:p>
    <w:p w14:paraId="18907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11" w:name="_Toc32285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 中药溯源系统资源结构设计（王天昱）</w:t>
      </w:r>
      <w:bookmarkEnd w:id="11"/>
    </w:p>
    <w:p w14:paraId="17787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2" w:name="_Toc8336"/>
      <w:r>
        <w:rPr>
          <w:rFonts w:hint="eastAsia" w:ascii="宋体" w:hAnsi="宋体" w:eastAsia="宋体" w:cs="宋体"/>
          <w:sz w:val="24"/>
          <w:szCs w:val="24"/>
        </w:rPr>
        <w:t>4.1 信息系统存储结构</w:t>
      </w:r>
      <w:bookmarkEnd w:id="12"/>
    </w:p>
    <w:p w14:paraId="012747EF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中药溯源信息系统使用</w:t>
      </w:r>
      <w:r>
        <w:rPr>
          <w:rFonts w:hint="eastAsia" w:ascii="宋体" w:hAnsi="宋体" w:eastAsia="宋体" w:cs="宋体"/>
        </w:rPr>
        <w:t>混合存储技术架构</w:t>
      </w:r>
      <w:r>
        <w:rPr>
          <w:rFonts w:hint="eastAsia" w:ascii="宋体" w:hAnsi="宋体" w:eastAsia="宋体" w:cs="宋体"/>
        </w:rPr>
        <w:t>，</w:t>
      </w:r>
      <w:r>
        <w:rPr>
          <w:rFonts w:hint="eastAsia" w:ascii="宋体" w:hAnsi="宋体" w:eastAsia="宋体" w:cs="宋体"/>
        </w:rPr>
        <w:t>核心业务数据通过</w:t>
      </w:r>
      <w:r>
        <w:rPr>
          <w:rFonts w:hint="eastAsia" w:ascii="宋体" w:hAnsi="宋体" w:eastAsia="宋体" w:cs="宋体"/>
        </w:rPr>
        <w:t>联盟</w:t>
      </w:r>
      <w:r>
        <w:rPr>
          <w:rFonts w:hint="eastAsia" w:ascii="宋体" w:hAnsi="宋体" w:eastAsia="宋体" w:cs="宋体"/>
        </w:rPr>
        <w:t>链进行上链存证</w:t>
      </w:r>
      <w:r>
        <w:rPr>
          <w:rFonts w:hint="eastAsia" w:ascii="宋体" w:hAnsi="宋体" w:eastAsia="宋体" w:cs="宋体"/>
        </w:rPr>
        <w:t>，链上数据采用链式账本模型。</w:t>
      </w:r>
      <w:r>
        <w:rPr>
          <w:rFonts w:hint="eastAsia" w:ascii="宋体" w:hAnsi="宋体" w:eastAsia="宋体" w:cs="宋体"/>
        </w:rPr>
        <w:t>对于非结构化数据采用</w:t>
      </w:r>
      <w:r>
        <w:rPr>
          <w:rFonts w:hint="eastAsia" w:ascii="宋体" w:hAnsi="宋体" w:eastAsia="宋体" w:cs="宋体"/>
        </w:rPr>
        <w:t>关系型数据库</w:t>
      </w:r>
      <w:r>
        <w:rPr>
          <w:rFonts w:hint="eastAsia" w:ascii="宋体" w:hAnsi="宋体" w:eastAsia="宋体" w:cs="宋体"/>
        </w:rPr>
        <w:t>进行存储</w:t>
      </w:r>
      <w:r>
        <w:rPr>
          <w:rFonts w:hint="eastAsia" w:ascii="宋体" w:hAnsi="宋体" w:eastAsia="宋体" w:cs="宋体"/>
        </w:rPr>
        <w:t>。</w:t>
      </w:r>
    </w:p>
    <w:p w14:paraId="5D463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3" w:name="_Toc463"/>
      <w:r>
        <w:rPr>
          <w:rFonts w:hint="eastAsia" w:ascii="宋体" w:hAnsi="宋体" w:eastAsia="宋体" w:cs="宋体"/>
          <w:sz w:val="24"/>
          <w:szCs w:val="24"/>
        </w:rPr>
        <w:t>4.2 信息资源分布结构</w:t>
      </w:r>
      <w:bookmarkEnd w:id="13"/>
    </w:p>
    <w:p w14:paraId="4D09671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284345" cy="2344420"/>
            <wp:effectExtent l="0" t="0" r="1905" b="1778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4345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8276F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</w:t>
      </w:r>
      <w:r>
        <w:rPr>
          <w:rFonts w:hint="eastAsia" w:ascii="宋体" w:hAnsi="宋体" w:eastAsia="宋体" w:cs="宋体"/>
          <w:lang w:val="en-US" w:eastAsia="zh-CN"/>
        </w:rPr>
        <w:t>4.</w:t>
      </w:r>
      <w:r>
        <w:rPr>
          <w:rFonts w:hint="eastAsia" w:ascii="宋体" w:hAnsi="宋体" w:eastAsia="宋体" w:cs="宋体"/>
        </w:rPr>
        <w:t>2</w:t>
      </w:r>
      <w:r>
        <w:rPr>
          <w:rFonts w:hint="eastAsia" w:ascii="宋体" w:hAnsi="宋体" w:eastAsia="宋体" w:cs="宋体"/>
          <w:lang w:val="en-US" w:eastAsia="zh-CN"/>
        </w:rPr>
        <w:t>-1</w:t>
      </w:r>
      <w:r>
        <w:rPr>
          <w:rFonts w:hint="eastAsia" w:ascii="宋体" w:hAnsi="宋体" w:eastAsia="宋体" w:cs="宋体"/>
        </w:rPr>
        <w:t xml:space="preserve"> 中药溯源系统资源分布结构</w:t>
      </w:r>
    </w:p>
    <w:p w14:paraId="285E6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14" w:name="_Toc22975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5 中药溯源系统体系结构模式的设计（王天昱）</w:t>
      </w:r>
      <w:bookmarkEnd w:id="14"/>
    </w:p>
    <w:p w14:paraId="3664FDD3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中药溯源系统采用浏览器模式（B/S模式）开发设计。</w:t>
      </w:r>
    </w:p>
    <w:p w14:paraId="684B9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 w:ascii="宋体" w:hAnsi="宋体" w:eastAsia="宋体" w:cs="宋体"/>
          <w:b/>
          <w:bCs/>
          <w:sz w:val="32"/>
          <w:szCs w:val="32"/>
          <w:lang w:val="en-US"/>
        </w:rPr>
      </w:pPr>
      <w:bookmarkStart w:id="15" w:name="_Toc7835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6 中药溯源系统的软件架构设计（唐俊、赵煜、吴依景、王天昱）</w:t>
      </w:r>
      <w:bookmarkEnd w:id="15"/>
    </w:p>
    <w:p w14:paraId="69F33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6" w:name="_Toc27380"/>
      <w:r>
        <w:rPr>
          <w:rFonts w:hint="eastAsia" w:ascii="宋体" w:hAnsi="宋体" w:eastAsia="宋体" w:cs="宋体"/>
          <w:sz w:val="24"/>
          <w:szCs w:val="24"/>
        </w:rPr>
        <w:t>6.1 初步软件架构</w:t>
      </w:r>
      <w:bookmarkEnd w:id="16"/>
    </w:p>
    <w:p w14:paraId="6F58FFC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14:ligatures w14:val="none"/>
        </w:rPr>
        <w:drawing>
          <wp:inline distT="0" distB="0" distL="0" distR="0">
            <wp:extent cx="5274310" cy="1541780"/>
            <wp:effectExtent l="0" t="0" r="2540" b="1270"/>
            <wp:docPr id="623983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8395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F730">
      <w:pPr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1"/>
          <w:szCs w:val="21"/>
        </w:rPr>
        <w:t>图6.1-1 中药溯源系统初步软件架构</w:t>
      </w:r>
    </w:p>
    <w:p w14:paraId="1D94D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7" w:name="_Toc29262"/>
      <w:r>
        <w:rPr>
          <w:rFonts w:hint="eastAsia" w:ascii="宋体" w:hAnsi="宋体" w:eastAsia="宋体" w:cs="宋体"/>
          <w:sz w:val="24"/>
          <w:szCs w:val="24"/>
        </w:rPr>
        <w:t>6.2 子系统分解和细化</w:t>
      </w:r>
      <w:bookmarkEnd w:id="17"/>
    </w:p>
    <w:p w14:paraId="1DAABD34">
      <w:pPr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14:ligatures w14:val="none"/>
        </w:rPr>
        <w:drawing>
          <wp:inline distT="0" distB="0" distL="0" distR="0">
            <wp:extent cx="5274310" cy="1814195"/>
            <wp:effectExtent l="0" t="0" r="2540" b="14605"/>
            <wp:docPr id="366473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7363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ED1E">
      <w:pPr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图6.2-1 种植采集子系统分解和细化</w:t>
      </w:r>
    </w:p>
    <w:p w14:paraId="1AB2D7DB">
      <w:pPr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14:ligatures w14:val="none"/>
        </w:rPr>
        <w:drawing>
          <wp:inline distT="0" distB="0" distL="0" distR="0">
            <wp:extent cx="5274310" cy="1964055"/>
            <wp:effectExtent l="0" t="0" r="2540" b="17145"/>
            <wp:docPr id="153842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284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0963">
      <w:pPr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1"/>
          <w:szCs w:val="21"/>
        </w:rPr>
        <w:t>图6.2-2 终端销售子系统分解和细化</w:t>
      </w:r>
    </w:p>
    <w:p w14:paraId="0E8A73AE">
      <w:pPr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14:ligatures w14:val="none"/>
        </w:rPr>
        <w:drawing>
          <wp:inline distT="0" distB="0" distL="0" distR="0">
            <wp:extent cx="5274310" cy="1633855"/>
            <wp:effectExtent l="0" t="0" r="2540" b="4445"/>
            <wp:docPr id="365195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9594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1821">
      <w:pPr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图6.2-3 生产加工子系统分解和细化</w:t>
      </w:r>
    </w:p>
    <w:p w14:paraId="40466476">
      <w:pPr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14:ligatures w14:val="none"/>
        </w:rPr>
        <w:drawing>
          <wp:inline distT="0" distB="0" distL="0" distR="0">
            <wp:extent cx="5274310" cy="2301240"/>
            <wp:effectExtent l="0" t="0" r="2540" b="3810"/>
            <wp:docPr id="452117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1763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6487">
      <w:pPr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图6.2-4 监管与追溯子系统分解和细化</w:t>
      </w:r>
    </w:p>
    <w:p w14:paraId="5E3DC9D1">
      <w:pPr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14:ligatures w14:val="none"/>
        </w:rPr>
        <w:drawing>
          <wp:inline distT="0" distB="0" distL="0" distR="0">
            <wp:extent cx="5274310" cy="2388870"/>
            <wp:effectExtent l="0" t="0" r="2540" b="11430"/>
            <wp:docPr id="364439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39319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14B8">
      <w:pPr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1"/>
          <w:szCs w:val="21"/>
        </w:rPr>
        <w:t>图6.2-5 仓储物流子系统分解和细化</w:t>
      </w:r>
    </w:p>
    <w:p w14:paraId="0863B4CF">
      <w:pPr>
        <w:tabs>
          <w:tab w:val="left" w:pos="2706"/>
        </w:tabs>
        <w:jc w:val="center"/>
        <w:rPr>
          <w:rFonts w:hint="eastAsia" w:ascii="宋体" w:hAnsi="宋体" w:eastAsia="宋体" w:cs="宋体"/>
        </w:rPr>
      </w:pPr>
    </w:p>
    <w:p w14:paraId="683A314F">
      <w:pPr>
        <w:rPr>
          <w:rFonts w:hint="eastAsia" w:ascii="宋体" w:hAnsi="宋体" w:eastAsia="宋体" w:cs="宋体"/>
        </w:rPr>
      </w:pPr>
    </w:p>
    <w:p w14:paraId="22DC5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8" w:name="_Toc8059"/>
      <w:r>
        <w:rPr>
          <w:rFonts w:hint="eastAsia" w:ascii="宋体" w:hAnsi="宋体" w:eastAsia="宋体" w:cs="宋体"/>
          <w:sz w:val="24"/>
          <w:szCs w:val="24"/>
        </w:rPr>
        <w:t>6.3 系统逻辑</w:t>
      </w:r>
      <w:bookmarkEnd w:id="18"/>
    </w:p>
    <w:p w14:paraId="2CD6A06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0" distR="0">
            <wp:extent cx="5274310" cy="2239645"/>
            <wp:effectExtent l="0" t="0" r="2540" b="8255"/>
            <wp:docPr id="1554245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4527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B4C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</w:t>
      </w:r>
      <w:r>
        <w:rPr>
          <w:rFonts w:hint="eastAsia" w:ascii="宋体" w:hAnsi="宋体" w:eastAsia="宋体" w:cs="宋体"/>
          <w:lang w:val="en-US" w:eastAsia="zh-CN"/>
        </w:rPr>
        <w:t>6.3-</w:t>
      </w:r>
      <w:r>
        <w:rPr>
          <w:rFonts w:hint="eastAsia" w:ascii="宋体" w:hAnsi="宋体" w:eastAsia="宋体" w:cs="宋体"/>
        </w:rPr>
        <w:t>1 “中药溯源”信息系统逻辑</w:t>
      </w:r>
    </w:p>
    <w:p w14:paraId="2070E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9" w:name="_Toc29943"/>
      <w:r>
        <w:rPr>
          <w:rFonts w:hint="eastAsia" w:ascii="宋体" w:hAnsi="宋体" w:eastAsia="宋体" w:cs="宋体"/>
          <w:sz w:val="24"/>
          <w:szCs w:val="24"/>
        </w:rPr>
        <w:t>6.4“中药溯源”信息系统拓扑结构节点分布设计</w:t>
      </w:r>
      <w:bookmarkEnd w:id="19"/>
    </w:p>
    <w:p w14:paraId="17551BAA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942330" cy="1635125"/>
            <wp:effectExtent l="0" t="0" r="1270" b="3175"/>
            <wp:docPr id="8" name="图片 8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1C4B">
      <w:pPr>
        <w:bidi w:val="0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  <w14:ligatures w14:val="standardContextual"/>
        </w:rPr>
      </w:pPr>
    </w:p>
    <w:p w14:paraId="15F86B09">
      <w:pPr>
        <w:bidi w:val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图6.4-1“中药溯源”信息系统拓扑结构结点分布设计</w:t>
      </w:r>
    </w:p>
    <w:p w14:paraId="6B7ECF02">
      <w:pPr>
        <w:bidi w:val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6049010" cy="2002790"/>
            <wp:effectExtent l="0" t="0" r="8890" b="16510"/>
            <wp:docPr id="9" name="图片 9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36EB">
      <w:pPr>
        <w:bidi w:val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图6.4-2种植、用户界面拓扑结构节点分布设计</w:t>
      </w:r>
    </w:p>
    <w:p w14:paraId="0FF4B30B">
      <w:pPr>
        <w:tabs>
          <w:tab w:val="left" w:pos="2706"/>
        </w:tabs>
        <w:bidi w:val="0"/>
        <w:jc w:val="center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  <w14:ligatures w14:val="standardContextual"/>
        </w:rPr>
      </w:pPr>
    </w:p>
    <w:p w14:paraId="330DC9D2">
      <w:pPr>
        <w:tabs>
          <w:tab w:val="left" w:pos="2706"/>
        </w:tabs>
        <w:bidi w:val="0"/>
        <w:jc w:val="center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  <w14:ligatures w14:val="standardContextual"/>
        </w:rPr>
      </w:pPr>
    </w:p>
    <w:p w14:paraId="5A9B8CAD">
      <w:pPr>
        <w:tabs>
          <w:tab w:val="left" w:pos="2706"/>
        </w:tabs>
        <w:bidi w:val="0"/>
        <w:jc w:val="center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  <w14:ligatures w14:val="standardContextual"/>
        </w:rPr>
      </w:pPr>
    </w:p>
    <w:p w14:paraId="4FDD6FA6">
      <w:pPr>
        <w:tabs>
          <w:tab w:val="left" w:pos="2706"/>
        </w:tabs>
        <w:bidi w:val="0"/>
        <w:jc w:val="left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  <w14:ligatures w14:val="standardContextual"/>
        </w:rPr>
        <w:drawing>
          <wp:inline distT="0" distB="0" distL="114300" distR="114300">
            <wp:extent cx="5873750" cy="2061845"/>
            <wp:effectExtent l="0" t="0" r="12700" b="14605"/>
            <wp:docPr id="3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ED0A">
      <w:pPr>
        <w:bidi w:val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图6.4-3“生产”拓扑结构节点分布设计</w:t>
      </w:r>
    </w:p>
    <w:p w14:paraId="3608E0A3">
      <w:pPr>
        <w:tabs>
          <w:tab w:val="left" w:pos="2706"/>
        </w:tabs>
        <w:bidi w:val="0"/>
        <w:jc w:val="center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  <w14:ligatures w14:val="standardContextual"/>
        </w:rPr>
      </w:pPr>
    </w:p>
    <w:p w14:paraId="010667E1">
      <w:pPr>
        <w:tabs>
          <w:tab w:val="left" w:pos="2706"/>
        </w:tabs>
        <w:bidi w:val="0"/>
        <w:jc w:val="left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  <w14:ligatures w14:val="standardContextual"/>
        </w:rPr>
        <w:drawing>
          <wp:inline distT="0" distB="0" distL="114300" distR="114300">
            <wp:extent cx="5982970" cy="2291080"/>
            <wp:effectExtent l="0" t="0" r="17780" b="13970"/>
            <wp:docPr id="10" name="图片 10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2433">
      <w:pPr>
        <w:bidi w:val="0"/>
        <w:jc w:val="center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图6.4-4“流通”拓扑结构节点分布设计</w:t>
      </w:r>
    </w:p>
    <w:p w14:paraId="768A11B6">
      <w:pPr>
        <w:tabs>
          <w:tab w:val="left" w:pos="2706"/>
        </w:tabs>
        <w:bidi w:val="0"/>
        <w:jc w:val="left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  <w14:ligatures w14:val="standardContextual"/>
        </w:rPr>
        <w:drawing>
          <wp:inline distT="0" distB="0" distL="114300" distR="114300">
            <wp:extent cx="5841365" cy="1854200"/>
            <wp:effectExtent l="0" t="0" r="6985" b="12700"/>
            <wp:docPr id="11" name="图片 11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4136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B591">
      <w:pPr>
        <w:tabs>
          <w:tab w:val="left" w:pos="2706"/>
        </w:tabs>
        <w:bidi w:val="0"/>
        <w:jc w:val="center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  <w14:ligatures w14:val="standardContextual"/>
        </w:rPr>
      </w:pPr>
    </w:p>
    <w:p w14:paraId="14FFF760">
      <w:pPr>
        <w:bidi w:val="0"/>
        <w:jc w:val="center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图6.4-5“销售”拓扑结构节点分布设计</w:t>
      </w:r>
    </w:p>
    <w:p w14:paraId="67498380">
      <w:pPr>
        <w:tabs>
          <w:tab w:val="left" w:pos="2706"/>
        </w:tabs>
        <w:bidi w:val="0"/>
        <w:jc w:val="center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  <w14:ligatures w14:val="standardContextual"/>
        </w:rPr>
      </w:pPr>
    </w:p>
    <w:p w14:paraId="04881A03">
      <w:pPr>
        <w:tabs>
          <w:tab w:val="left" w:pos="2706"/>
        </w:tabs>
        <w:bidi w:val="0"/>
        <w:jc w:val="left"/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="宋体"/>
          <w:kern w:val="2"/>
          <w:sz w:val="22"/>
          <w:szCs w:val="24"/>
          <w:lang w:val="en-US" w:eastAsia="zh-CN" w:bidi="ar-SA"/>
          <w14:ligatures w14:val="standardContextual"/>
        </w:rPr>
        <w:drawing>
          <wp:inline distT="0" distB="0" distL="114300" distR="114300">
            <wp:extent cx="6106160" cy="1880235"/>
            <wp:effectExtent l="0" t="0" r="8890" b="5715"/>
            <wp:docPr id="12" name="图片 12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A59F">
      <w:pPr>
        <w:bidi w:val="0"/>
        <w:jc w:val="center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图6.4-6“监管”拓扑结构节点分布设计</w:t>
      </w:r>
    </w:p>
    <w:p w14:paraId="0CA7A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0" w:name="_Toc10603"/>
      <w:r>
        <w:rPr>
          <w:rFonts w:hint="eastAsia" w:ascii="宋体" w:hAnsi="宋体" w:eastAsia="宋体" w:cs="宋体"/>
          <w:sz w:val="24"/>
          <w:szCs w:val="24"/>
        </w:rPr>
        <w:t>6.5 系统层和中间件层的软件结构设计（王天昱）</w:t>
      </w:r>
      <w:bookmarkEnd w:id="20"/>
    </w:p>
    <w:p w14:paraId="37FBCD2C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149725" cy="3474720"/>
            <wp:effectExtent l="0" t="0" r="3175" b="1143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49725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DD1A2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</w:t>
      </w:r>
      <w:r>
        <w:rPr>
          <w:rFonts w:hint="eastAsia" w:ascii="宋体" w:hAnsi="宋体" w:eastAsia="宋体" w:cs="宋体"/>
          <w:lang w:val="en-US" w:eastAsia="zh-CN"/>
        </w:rPr>
        <w:t>6.5-1</w:t>
      </w:r>
      <w:r>
        <w:rPr>
          <w:rFonts w:hint="eastAsia" w:ascii="宋体" w:hAnsi="宋体" w:eastAsia="宋体" w:cs="宋体"/>
        </w:rPr>
        <w:t xml:space="preserve"> 中药溯源系统层和中间件层的软件结构设计</w:t>
      </w:r>
    </w:p>
    <w:p w14:paraId="18735D41">
      <w:pPr>
        <w:jc w:val="both"/>
        <w:rPr>
          <w:rFonts w:hint="eastAsia" w:ascii="宋体" w:hAnsi="宋体" w:eastAsia="宋体" w:cs="宋体"/>
        </w:rPr>
      </w:pPr>
    </w:p>
    <w:p w14:paraId="1409FFC2">
      <w:pPr>
        <w:jc w:val="both"/>
        <w:rPr>
          <w:rFonts w:hint="eastAsia" w:ascii="宋体" w:hAnsi="宋体" w:eastAsia="宋体" w:cs="宋体"/>
        </w:rPr>
      </w:pPr>
      <w:bookmarkStart w:id="21" w:name="_GoBack"/>
      <w:bookmarkEnd w:id="21"/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2408E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E746D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FDFD56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CFDFD56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A95"/>
    <w:rsid w:val="00112428"/>
    <w:rsid w:val="002B1773"/>
    <w:rsid w:val="0036404C"/>
    <w:rsid w:val="004453DC"/>
    <w:rsid w:val="00507C2A"/>
    <w:rsid w:val="00687A43"/>
    <w:rsid w:val="00873EF2"/>
    <w:rsid w:val="008A3590"/>
    <w:rsid w:val="00982808"/>
    <w:rsid w:val="00C3704C"/>
    <w:rsid w:val="00C62545"/>
    <w:rsid w:val="00C65884"/>
    <w:rsid w:val="00D74A95"/>
    <w:rsid w:val="00D75E1B"/>
    <w:rsid w:val="00D80D48"/>
    <w:rsid w:val="00DB2D15"/>
    <w:rsid w:val="00E10BA8"/>
    <w:rsid w:val="00F85C8E"/>
    <w:rsid w:val="00FB4AC7"/>
    <w:rsid w:val="52962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1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3">
    <w:name w:val="header"/>
    <w:basedOn w:val="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toc 1"/>
    <w:basedOn w:val="1"/>
    <w:next w:val="1"/>
    <w:semiHidden/>
    <w:unhideWhenUsed/>
    <w:uiPriority w:val="39"/>
  </w:style>
  <w:style w:type="paragraph" w:styleId="15">
    <w:name w:val="Subtitle"/>
    <w:basedOn w:val="1"/>
    <w:next w:val="1"/>
    <w:link w:val="31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7">
    <w:name w:val="Title"/>
    <w:basedOn w:val="1"/>
    <w:next w:val="1"/>
    <w:link w:val="30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1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2">
    <w:name w:val="标题 2 字符"/>
    <w:basedOn w:val="20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标题 3 字符"/>
    <w:basedOn w:val="20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标题 4 字符"/>
    <w:basedOn w:val="20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5">
    <w:name w:val="标题 5 字符"/>
    <w:basedOn w:val="20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6">
    <w:name w:val="标题 6 字符"/>
    <w:basedOn w:val="20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7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20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20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20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20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20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20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明显引用 字符"/>
    <w:basedOn w:val="20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20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1915</Words>
  <Characters>1978</Characters>
  <Lines>15</Lines>
  <Paragraphs>4</Paragraphs>
  <TotalTime>14</TotalTime>
  <ScaleCrop>false</ScaleCrop>
  <LinksUpToDate>false</LinksUpToDate>
  <CharactersWithSpaces>2009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2025-05-07T03:23:00Z</dcterms:created>
  <dc:creator>煜 赵</dc:creator>
  <cp:lastModifiedBy>易缕烊光`万千玺爱</cp:lastModifiedBy>
  <dcterms:modified xsi:type="dcterms:W3CDTF">2025-05-08T08:24:46Z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eyJoZGlkIjoiYzQxN2E3YjYzZWRjMzA2MTc2Y2FlOGY1YTdmY2IwN2QiLCJ1c2VySWQiOiIzOTAyMzQ0MTUifQ==</vt:lpwstr>
  </property>
  <property fmtid="{D5CDD505-2E9C-101B-9397-08002B2CF9AE}" pid="3" name="KSOProductBuildVer">
    <vt:lpwstr>2052-12.1.0.20784</vt:lpwstr>
  </property>
  <property fmtid="{D5CDD505-2E9C-101B-9397-08002B2CF9AE}" pid="4" name="ICV">
    <vt:lpwstr>2610A7FD96414838B86D3052981B0E6B_12</vt:lpwstr>
  </property>
</Properties>
</file>