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rtezhtf1t8hm" w:id="0"/>
      <w:bookmarkEnd w:id="0"/>
      <w:r w:rsidDel="00000000" w:rsidR="00000000" w:rsidRPr="00000000">
        <w:rPr>
          <w:rFonts w:ascii="Times New Roman" w:cs="Times New Roman" w:eastAsia="Times New Roman" w:hAnsi="Times New Roman"/>
          <w:b w:val="1"/>
          <w:color w:val="000000"/>
          <w:sz w:val="24"/>
          <w:szCs w:val="24"/>
          <w:rtl w:val="0"/>
        </w:rPr>
        <w:t xml:space="preserve">IBM’s strategies to combat the external forces mentioned above:</w:t>
      </w:r>
    </w:p>
    <w:p w:rsidR="00000000" w:rsidDel="00000000" w:rsidP="00000000" w:rsidRDefault="00000000" w:rsidRPr="00000000" w14:paraId="00000002">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6eb6iedo3d8t" w:id="1"/>
      <w:bookmarkEnd w:id="1"/>
      <w:r w:rsidDel="00000000" w:rsidR="00000000" w:rsidRPr="00000000">
        <w:rPr>
          <w:rFonts w:ascii="Times New Roman" w:cs="Times New Roman" w:eastAsia="Times New Roman" w:hAnsi="Times New Roman"/>
          <w:b w:val="1"/>
          <w:color w:val="000000"/>
          <w:sz w:val="24"/>
          <w:szCs w:val="24"/>
          <w:rtl w:val="0"/>
        </w:rPr>
        <w:t xml:space="preserve">US-China Tech War and Export Restrictions</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has prioritised US export control regulations in order to perform its world-wide operations without getting into any legal trouble; the company has a strong legal team that helps monitor the rather complex and large regulatory environment (IBM, 2024). Using these resources within IBM, the company has minimised legal risks associated with US regulations.</w:t>
      </w:r>
      <w:r w:rsidDel="00000000" w:rsidR="00000000" w:rsidRPr="00000000">
        <w:rPr>
          <w:rtl w:val="0"/>
        </w:rPr>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China has been reducing access to its market, IBM has been thoroughly diversifying its presence in the global market. IBM has been expanding ceaselessly into regions such as India and Africa (Financial Times, 2021) that are rapidly growing regions; this strategy allows IBM to rely less and less on China. IBM Also has diverse partnerships in countries that do not have any export restrictions such as a variety of European companies where IBM collaborates on AI and quantum computing projects (IBM Research Europe, 2024). </w:t>
      </w:r>
    </w:p>
    <w:p w:rsidR="00000000" w:rsidDel="00000000" w:rsidP="00000000" w:rsidRDefault="00000000" w:rsidRPr="00000000" w14:paraId="00000005">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8o9mvkeerpv0" w:id="2"/>
      <w:bookmarkEnd w:id="2"/>
      <w:r w:rsidDel="00000000" w:rsidR="00000000" w:rsidRPr="00000000">
        <w:rPr>
          <w:rFonts w:ascii="Times New Roman" w:cs="Times New Roman" w:eastAsia="Times New Roman" w:hAnsi="Times New Roman"/>
          <w:b w:val="1"/>
          <w:color w:val="000000"/>
          <w:sz w:val="24"/>
          <w:szCs w:val="24"/>
          <w:rtl w:val="0"/>
        </w:rPr>
        <w:t xml:space="preserve">IBM’s China R&amp;D Shutdown</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closing shop in China, IBM has completely reallocated resources to other massive research centres around the globe. Majority of the research has been redirected to labs in US, Canada, Japan, India, and Israel, ensuring that the research that was once done by China is being continued and maintained (IBM Research, 2024).</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has also been investing in talent acquisition rapidly around the world to re-fuel the gap left by the exit in China. The company has been focusing on acquiring experts and teams, including an attractive variety of partnerships with universities and research institutions (IBM Careers 2024), such as the one with YorkU. </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Future Challenges: The Potential Return of Donald Trump</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has a strong proactive risk management team that conducts scenarios to prepare for potential changes in US trade policies. This team allows the company to prepare contingencies that can be implemented quickly in case policies start shifting (Deloitte, 2020). IBM also takes part in a larger industry groups that push for fair trade policies that would both abide by US policies while not putting pressure on individual companies (IBM Policy, 2024). IBM Also has a very strong supply chain that is diverse and transparent. With such a diverse and internal supply chain, it reduces dependency on a singular country (IBM Supply Chain, 2024).</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has a diverse portfolio of products, labs, and supply chains that allowed it to respond well to the challenges posed by the US-China tech tensions, IBM’s China R&amp;D shutdown, and potential future challenges, such as the return of Donald Trump. These crucial strategies IBM has implemented are crucial for maintaining the flow of operations for IBM. </w:t>
      </w:r>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Deloitte. (2020). </w:t>
      </w:r>
      <w:r w:rsidDel="00000000" w:rsidR="00000000" w:rsidRPr="00000000">
        <w:rPr>
          <w:rFonts w:ascii="Times New Roman" w:cs="Times New Roman" w:eastAsia="Times New Roman" w:hAnsi="Times New Roman"/>
          <w:i w:val="1"/>
          <w:sz w:val="24"/>
          <w:szCs w:val="24"/>
          <w:rtl w:val="0"/>
        </w:rPr>
        <w:t xml:space="preserve">Risk Management in an Uncertain World</w:t>
      </w:r>
      <w:r w:rsidDel="00000000" w:rsidR="00000000" w:rsidRPr="00000000">
        <w:rPr>
          <w:rFonts w:ascii="Times New Roman" w:cs="Times New Roman" w:eastAsia="Times New Roman" w:hAnsi="Times New Roman"/>
          <w:sz w:val="24"/>
          <w:szCs w:val="24"/>
          <w:rtl w:val="0"/>
        </w:rPr>
        <w:t xml:space="preserve">. https://www2.deloitte.com/global/en/pages/risk/articles/risk-management.html</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Times. (2021). IBM looks beyond China for growth opportunities. </w:t>
      </w:r>
      <w:r w:rsidDel="00000000" w:rsidR="00000000" w:rsidRPr="00000000">
        <w:rPr>
          <w:rFonts w:ascii="Times New Roman" w:cs="Times New Roman" w:eastAsia="Times New Roman" w:hAnsi="Times New Roman"/>
          <w:i w:val="1"/>
          <w:sz w:val="24"/>
          <w:szCs w:val="24"/>
          <w:rtl w:val="0"/>
        </w:rPr>
        <w:t xml:space="preserve">Financial Times</w:t>
      </w:r>
      <w:r w:rsidDel="00000000" w:rsidR="00000000" w:rsidRPr="00000000">
        <w:rPr>
          <w:rFonts w:ascii="Times New Roman" w:cs="Times New Roman" w:eastAsia="Times New Roman" w:hAnsi="Times New Roman"/>
          <w:sz w:val="24"/>
          <w:szCs w:val="24"/>
          <w:rtl w:val="0"/>
        </w:rPr>
        <w:t xml:space="preserve">. https://www.ft.com/content/ (Access may require subscription)</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(2024). </w:t>
      </w:r>
      <w:r w:rsidDel="00000000" w:rsidR="00000000" w:rsidRPr="00000000">
        <w:rPr>
          <w:rFonts w:ascii="Times New Roman" w:cs="Times New Roman" w:eastAsia="Times New Roman" w:hAnsi="Times New Roman"/>
          <w:i w:val="1"/>
          <w:sz w:val="24"/>
          <w:szCs w:val="24"/>
          <w:rtl w:val="0"/>
        </w:rPr>
        <w:t xml:space="preserve">IBM Compliance Program</w:t>
      </w:r>
      <w:r w:rsidDel="00000000" w:rsidR="00000000" w:rsidRPr="00000000">
        <w:rPr>
          <w:rFonts w:ascii="Times New Roman" w:cs="Times New Roman" w:eastAsia="Times New Roman" w:hAnsi="Times New Roman"/>
          <w:sz w:val="24"/>
          <w:szCs w:val="24"/>
          <w:rtl w:val="0"/>
        </w:rPr>
        <w:t xml:space="preserve">. https://www.ibm.com/ibm/responsibility/compliance</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Careers. (2024). </w:t>
      </w:r>
      <w:r w:rsidDel="00000000" w:rsidR="00000000" w:rsidRPr="00000000">
        <w:rPr>
          <w:rFonts w:ascii="Times New Roman" w:cs="Times New Roman" w:eastAsia="Times New Roman" w:hAnsi="Times New Roman"/>
          <w:i w:val="1"/>
          <w:sz w:val="24"/>
          <w:szCs w:val="24"/>
          <w:rtl w:val="0"/>
        </w:rPr>
        <w:t xml:space="preserve">Opportunities at IBM Research Labs</w:t>
      </w:r>
      <w:r w:rsidDel="00000000" w:rsidR="00000000" w:rsidRPr="00000000">
        <w:rPr>
          <w:rFonts w:ascii="Times New Roman" w:cs="Times New Roman" w:eastAsia="Times New Roman" w:hAnsi="Times New Roman"/>
          <w:sz w:val="24"/>
          <w:szCs w:val="24"/>
          <w:rtl w:val="0"/>
        </w:rPr>
        <w:t xml:space="preserve">. https://www.ibm.com/employment/</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Policy. (2024). IBM's Engagement in Public Policy. https://www.ibm.com/policy/</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Research. (2024). Global Research Locations. https://research.ibm.com/labs/</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Research Europe. (2024). Collaborative Innovation in Europe. https://research.ibm.com/europe/</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Supply Chain. (2024). Building a Resilient Supply Chain. https://www.ibm.com/supply-chain</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