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0D60" w14:textId="77777777" w:rsidR="00572210" w:rsidRPr="007F7B60" w:rsidRDefault="00572210" w:rsidP="00572210">
      <w:pPr>
        <w:spacing w:line="480" w:lineRule="auto"/>
        <w:rPr>
          <w:rFonts w:ascii="Times New Roman" w:hAnsi="Times New Roman" w:cs="Times New Roman"/>
          <w:b/>
          <w:bCs/>
        </w:rPr>
      </w:pPr>
    </w:p>
    <w:p w14:paraId="002B1AF2" w14:textId="77777777" w:rsidR="00572210" w:rsidRPr="007F7B60" w:rsidRDefault="00572210" w:rsidP="00572210">
      <w:pPr>
        <w:spacing w:line="480" w:lineRule="auto"/>
        <w:rPr>
          <w:rFonts w:ascii="Times New Roman" w:hAnsi="Times New Roman" w:cs="Times New Roman"/>
          <w:b/>
          <w:bCs/>
        </w:rPr>
      </w:pPr>
    </w:p>
    <w:p w14:paraId="1A14B8F4" w14:textId="77777777" w:rsidR="00572210" w:rsidRPr="007F7B60" w:rsidRDefault="00572210" w:rsidP="00572210">
      <w:pPr>
        <w:spacing w:line="480" w:lineRule="auto"/>
        <w:rPr>
          <w:rFonts w:ascii="Times New Roman" w:hAnsi="Times New Roman" w:cs="Times New Roman"/>
          <w:b/>
          <w:bCs/>
        </w:rPr>
      </w:pPr>
    </w:p>
    <w:p w14:paraId="303FCF78" w14:textId="4688DAB1" w:rsidR="00572210" w:rsidRPr="007F7B60" w:rsidRDefault="00572210" w:rsidP="00572210">
      <w:pPr>
        <w:jc w:val="center"/>
        <w:rPr>
          <w:rFonts w:ascii="Times New Roman" w:hAnsi="Times New Roman" w:cs="Times New Roman"/>
          <w:b/>
          <w:bCs/>
        </w:rPr>
      </w:pPr>
      <w:r w:rsidRPr="007F7B60">
        <w:rPr>
          <w:rFonts w:ascii="Times New Roman" w:hAnsi="Times New Roman" w:cs="Times New Roman"/>
          <w:b/>
          <w:bCs/>
        </w:rPr>
        <w:t>Intelligence Fusion Centers and Information Sharing in Homeland Security</w:t>
      </w:r>
    </w:p>
    <w:p w14:paraId="1B06EA9D" w14:textId="77777777" w:rsidR="00572210" w:rsidRPr="007F7B60" w:rsidRDefault="00572210" w:rsidP="00572210">
      <w:pPr>
        <w:jc w:val="center"/>
        <w:rPr>
          <w:rFonts w:ascii="Times New Roman" w:hAnsi="Times New Roman" w:cs="Times New Roman"/>
          <w:b/>
          <w:bCs/>
        </w:rPr>
      </w:pPr>
    </w:p>
    <w:p w14:paraId="73634F77" w14:textId="07C55454" w:rsidR="00572210" w:rsidRPr="007F7B60" w:rsidRDefault="00572210" w:rsidP="00572210">
      <w:pPr>
        <w:jc w:val="center"/>
        <w:rPr>
          <w:rFonts w:ascii="Times New Roman" w:hAnsi="Times New Roman" w:cs="Times New Roman"/>
        </w:rPr>
      </w:pPr>
      <w:r w:rsidRPr="007F7B60">
        <w:rPr>
          <w:rFonts w:ascii="Times New Roman" w:hAnsi="Times New Roman" w:cs="Times New Roman"/>
        </w:rPr>
        <w:t>Tyler Vander Mooren</w:t>
      </w:r>
    </w:p>
    <w:p w14:paraId="43EC7E8B" w14:textId="1E0F5809" w:rsidR="00572210" w:rsidRPr="007F7B60" w:rsidRDefault="00572210" w:rsidP="00572210">
      <w:pPr>
        <w:jc w:val="center"/>
        <w:rPr>
          <w:rFonts w:ascii="Times New Roman" w:hAnsi="Times New Roman" w:cs="Times New Roman"/>
        </w:rPr>
      </w:pPr>
      <w:r w:rsidRPr="007F7B60">
        <w:rPr>
          <w:rFonts w:ascii="Times New Roman" w:hAnsi="Times New Roman" w:cs="Times New Roman"/>
        </w:rPr>
        <w:t>Northern Arizona University</w:t>
      </w:r>
    </w:p>
    <w:p w14:paraId="62BF6D24" w14:textId="36CFA3AB" w:rsidR="00572210" w:rsidRPr="007F7B60" w:rsidRDefault="00572210" w:rsidP="00572210">
      <w:pPr>
        <w:jc w:val="center"/>
        <w:rPr>
          <w:rFonts w:ascii="Times New Roman" w:hAnsi="Times New Roman" w:cs="Times New Roman"/>
        </w:rPr>
      </w:pPr>
      <w:r w:rsidRPr="007F7B60">
        <w:rPr>
          <w:rFonts w:ascii="Times New Roman" w:hAnsi="Times New Roman" w:cs="Times New Roman"/>
        </w:rPr>
        <w:t xml:space="preserve">INT 315: </w:t>
      </w:r>
      <w:r w:rsidR="00D12FAB" w:rsidRPr="007F7B60">
        <w:rPr>
          <w:rFonts w:ascii="Times New Roman" w:hAnsi="Times New Roman" w:cs="Times New Roman"/>
        </w:rPr>
        <w:t>Intelligence Collection, Analysis, and Technology</w:t>
      </w:r>
    </w:p>
    <w:p w14:paraId="64CAE554" w14:textId="085EEB7C" w:rsidR="00572210" w:rsidRPr="007F7B60" w:rsidRDefault="00572210" w:rsidP="00572210">
      <w:pPr>
        <w:jc w:val="center"/>
        <w:rPr>
          <w:rFonts w:ascii="Times New Roman" w:hAnsi="Times New Roman" w:cs="Times New Roman"/>
        </w:rPr>
      </w:pPr>
      <w:r w:rsidRPr="007F7B60">
        <w:rPr>
          <w:rFonts w:ascii="Times New Roman" w:hAnsi="Times New Roman" w:cs="Times New Roman"/>
        </w:rPr>
        <w:t>Professor Rod Parish</w:t>
      </w:r>
    </w:p>
    <w:p w14:paraId="56CCACE4" w14:textId="17615B93" w:rsidR="00572210" w:rsidRPr="007F7B60" w:rsidRDefault="00572210" w:rsidP="00572210">
      <w:pPr>
        <w:jc w:val="center"/>
        <w:rPr>
          <w:rFonts w:ascii="Times New Roman" w:hAnsi="Times New Roman" w:cs="Times New Roman"/>
        </w:rPr>
      </w:pPr>
      <w:r w:rsidRPr="007F7B60">
        <w:rPr>
          <w:rFonts w:ascii="Times New Roman" w:hAnsi="Times New Roman" w:cs="Times New Roman"/>
        </w:rPr>
        <w:t xml:space="preserve">April </w:t>
      </w:r>
      <w:r w:rsidR="006E5FCB" w:rsidRPr="007F7B60">
        <w:rPr>
          <w:rFonts w:ascii="Times New Roman" w:hAnsi="Times New Roman" w:cs="Times New Roman"/>
        </w:rPr>
        <w:t>13</w:t>
      </w:r>
      <w:r w:rsidRPr="007F7B60">
        <w:rPr>
          <w:rFonts w:ascii="Times New Roman" w:hAnsi="Times New Roman" w:cs="Times New Roman"/>
        </w:rPr>
        <w:t>, 2025</w:t>
      </w:r>
    </w:p>
    <w:p w14:paraId="042D37E0" w14:textId="77777777" w:rsidR="00570B1A" w:rsidRPr="007F7B60" w:rsidRDefault="00974E4A" w:rsidP="00570B1A">
      <w:pPr>
        <w:spacing w:after="0" w:line="480" w:lineRule="auto"/>
        <w:ind w:firstLine="720"/>
        <w:rPr>
          <w:rFonts w:ascii="Times New Roman" w:hAnsi="Times New Roman" w:cs="Times New Roman"/>
          <w:b/>
          <w:bCs/>
        </w:rPr>
      </w:pPr>
      <w:r w:rsidRPr="007F7B60">
        <w:rPr>
          <w:rFonts w:ascii="Times New Roman" w:hAnsi="Times New Roman" w:cs="Times New Roman"/>
          <w:b/>
          <w:bCs/>
        </w:rPr>
        <w:br w:type="page"/>
      </w:r>
    </w:p>
    <w:p w14:paraId="0D1809E3" w14:textId="421D2A8E" w:rsidR="00570B1A" w:rsidRPr="007F7B60" w:rsidRDefault="00570B1A" w:rsidP="00AC6EA6">
      <w:pPr>
        <w:spacing w:after="0"/>
        <w:jc w:val="center"/>
        <w:rPr>
          <w:rFonts w:ascii="Times New Roman" w:hAnsi="Times New Roman" w:cs="Times New Roman"/>
          <w:b/>
          <w:bCs/>
        </w:rPr>
      </w:pPr>
      <w:r w:rsidRPr="007F7B60">
        <w:rPr>
          <w:rFonts w:ascii="Times New Roman" w:hAnsi="Times New Roman" w:cs="Times New Roman"/>
          <w:b/>
          <w:bCs/>
        </w:rPr>
        <w:lastRenderedPageBreak/>
        <w:t>Intelligence Fusion Centers and Information Sharing in Homeland Security</w:t>
      </w:r>
    </w:p>
    <w:p w14:paraId="4C8DD293" w14:textId="77777777" w:rsidR="00570B1A" w:rsidRPr="007F7B60" w:rsidRDefault="00570B1A" w:rsidP="00AC6EA6">
      <w:pPr>
        <w:spacing w:after="0"/>
        <w:jc w:val="center"/>
        <w:rPr>
          <w:rFonts w:ascii="Times New Roman" w:hAnsi="Times New Roman" w:cs="Times New Roman"/>
          <w:b/>
          <w:bCs/>
        </w:rPr>
      </w:pPr>
    </w:p>
    <w:p w14:paraId="1D64CC19" w14:textId="084FE6AE" w:rsidR="00D07DCF" w:rsidRPr="007F7B60" w:rsidRDefault="00D07DCF" w:rsidP="00B56658">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The September 11, 2001 terrorist attacks exposed serious vulnerabilities in the United States' intelligence</w:t>
      </w:r>
      <w:r w:rsidR="002B0E35"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sharing systems. Federal, state, and local agencies operated in silos which contributed to missed opportunities to prevent the attacks. In response, the United States government prioritized enhancing communication and collaboration between law enforcement and intelligence agencies. One major outcome of this initiative was the creation of Intelligence Fusion Centers (IFCs). These centers serve as interagency intelligence hubs that aim to facilitate information sharing, enhance situational awareness, and enable a coordinated response to threats</w:t>
      </w:r>
      <w:r w:rsidR="002B0E35" w:rsidRPr="007F7B60">
        <w:rPr>
          <w:rFonts w:ascii="Times New Roman" w:eastAsia="Times New Roman" w:hAnsi="Times New Roman" w:cs="Times New Roman"/>
          <w:kern w:val="0"/>
          <w14:ligatures w14:val="none"/>
        </w:rPr>
        <w:t>.</w:t>
      </w:r>
      <w:r w:rsidR="00B56658" w:rsidRPr="007F7B60">
        <w:rPr>
          <w:rFonts w:ascii="Times New Roman" w:eastAsia="Times New Roman" w:hAnsi="Times New Roman" w:cs="Times New Roman"/>
          <w:kern w:val="0"/>
          <w14:ligatures w14:val="none"/>
        </w:rPr>
        <w:t xml:space="preserve"> </w:t>
      </w:r>
      <w:r w:rsidR="002B0E35" w:rsidRPr="007F7B60">
        <w:rPr>
          <w:rFonts w:ascii="Times New Roman" w:eastAsia="Times New Roman" w:hAnsi="Times New Roman" w:cs="Times New Roman"/>
          <w:kern w:val="0"/>
          <w14:ligatures w14:val="none"/>
        </w:rPr>
        <w:t>These threats</w:t>
      </w:r>
      <w:r w:rsidRPr="007F7B60">
        <w:rPr>
          <w:rFonts w:ascii="Times New Roman" w:eastAsia="Times New Roman" w:hAnsi="Times New Roman" w:cs="Times New Roman"/>
          <w:kern w:val="0"/>
          <w14:ligatures w14:val="none"/>
        </w:rPr>
        <w:t xml:space="preserve"> rang</w:t>
      </w:r>
      <w:r w:rsidR="002B0E35" w:rsidRPr="007F7B60">
        <w:rPr>
          <w:rFonts w:ascii="Times New Roman" w:eastAsia="Times New Roman" w:hAnsi="Times New Roman" w:cs="Times New Roman"/>
          <w:kern w:val="0"/>
          <w14:ligatures w14:val="none"/>
        </w:rPr>
        <w:t>e</w:t>
      </w:r>
      <w:r w:rsidRPr="007F7B60">
        <w:rPr>
          <w:rFonts w:ascii="Times New Roman" w:eastAsia="Times New Roman" w:hAnsi="Times New Roman" w:cs="Times New Roman"/>
          <w:kern w:val="0"/>
          <w14:ligatures w14:val="none"/>
        </w:rPr>
        <w:t xml:space="preserve"> from terrorism to organized crime and public health emergencies</w:t>
      </w:r>
      <w:r w:rsidR="00B56658"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Intelligence Fusion Centers play a critical role in the United States’ national security</w:t>
      </w:r>
      <w:r w:rsidR="00B56658"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infrastructure by improving intergovernmental coordination, enhancing intelligence-led policing, and supporting threat mitigation through information sharing</w:t>
      </w:r>
      <w:r w:rsidR="002B0E35" w:rsidRPr="007F7B60">
        <w:rPr>
          <w:rFonts w:ascii="Times New Roman" w:eastAsia="Times New Roman" w:hAnsi="Times New Roman" w:cs="Times New Roman"/>
          <w:kern w:val="0"/>
          <w14:ligatures w14:val="none"/>
        </w:rPr>
        <w:t>.</w:t>
      </w:r>
      <w:r w:rsidRPr="007F7B60">
        <w:rPr>
          <w:rFonts w:ascii="Times New Roman" w:eastAsia="Times New Roman" w:hAnsi="Times New Roman" w:cs="Times New Roman"/>
          <w:kern w:val="0"/>
          <w14:ligatures w14:val="none"/>
        </w:rPr>
        <w:t xml:space="preserve"> </w:t>
      </w:r>
      <w:r w:rsidR="002B0E35" w:rsidRPr="007F7B60">
        <w:rPr>
          <w:rFonts w:ascii="Times New Roman" w:eastAsia="Times New Roman" w:hAnsi="Times New Roman" w:cs="Times New Roman"/>
          <w:kern w:val="0"/>
          <w14:ligatures w14:val="none"/>
        </w:rPr>
        <w:t>H</w:t>
      </w:r>
      <w:r w:rsidRPr="007F7B60">
        <w:rPr>
          <w:rFonts w:ascii="Times New Roman" w:eastAsia="Times New Roman" w:hAnsi="Times New Roman" w:cs="Times New Roman"/>
          <w:kern w:val="0"/>
          <w14:ligatures w14:val="none"/>
        </w:rPr>
        <w:t>owever, their effectiveness continues to be shaped by challenges related to oversight, accountability, and standardization.</w:t>
      </w:r>
    </w:p>
    <w:p w14:paraId="5E44AE95" w14:textId="77777777" w:rsidR="00570B1A" w:rsidRPr="007F7B60" w:rsidRDefault="00570B1A" w:rsidP="00AC6EA6">
      <w:pPr>
        <w:spacing w:after="0" w:line="480" w:lineRule="auto"/>
        <w:rPr>
          <w:rFonts w:ascii="Times New Roman" w:eastAsia="Times New Roman" w:hAnsi="Times New Roman" w:cs="Times New Roman"/>
          <w:b/>
          <w:bCs/>
          <w:kern w:val="0"/>
          <w14:ligatures w14:val="none"/>
        </w:rPr>
      </w:pPr>
      <w:r w:rsidRPr="007F7B60">
        <w:rPr>
          <w:rFonts w:ascii="Times New Roman" w:eastAsia="Times New Roman" w:hAnsi="Times New Roman" w:cs="Times New Roman"/>
          <w:b/>
          <w:bCs/>
          <w:kern w:val="0"/>
          <w14:ligatures w14:val="none"/>
        </w:rPr>
        <w:t>The Evolution of Fusion Centers</w:t>
      </w:r>
    </w:p>
    <w:p w14:paraId="7CAE6BCD" w14:textId="618185CE" w:rsidR="00D07DCF" w:rsidRPr="007F7B60" w:rsidRDefault="00D07DCF" w:rsidP="00AC6EA6">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 xml:space="preserve">Fusion centers emerged during the early 2000s as a response to the pressing need for improved intelligence integration. The 9/11 Commission Report emphasized that the lack of shared intelligence was a central failure that allowed the attacks to occur. In the years that followed, fusion centers were developed to centralize intelligence operations across multiple agencies and levels of government. Their original focus was terrorism prevention, but their mission soon broadened to include "all crimes, all hazards" approaches </w:t>
      </w:r>
      <w:r w:rsidR="000F7069" w:rsidRPr="007F7B60">
        <w:rPr>
          <w:rFonts w:ascii="Times New Roman" w:eastAsia="Times New Roman" w:hAnsi="Times New Roman" w:cs="Times New Roman"/>
          <w:kern w:val="0"/>
          <w14:ligatures w14:val="none"/>
        </w:rPr>
        <w:t>(Davis, Pollard, Ward, Wilson, Varda, Hansell, &amp; Steinberg, 2010).</w:t>
      </w:r>
      <w:r w:rsidR="00580628"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This shift reflected the need for a more comprehensive approach to national security</w:t>
      </w:r>
      <w:r w:rsidR="002B0E35" w:rsidRPr="007F7B60">
        <w:rPr>
          <w:rFonts w:ascii="Times New Roman" w:eastAsia="Times New Roman" w:hAnsi="Times New Roman" w:cs="Times New Roman"/>
          <w:kern w:val="0"/>
          <w14:ligatures w14:val="none"/>
        </w:rPr>
        <w:t>. O</w:t>
      </w:r>
      <w:r w:rsidRPr="007F7B60">
        <w:rPr>
          <w:rFonts w:ascii="Times New Roman" w:eastAsia="Times New Roman" w:hAnsi="Times New Roman" w:cs="Times New Roman"/>
          <w:kern w:val="0"/>
          <w14:ligatures w14:val="none"/>
        </w:rPr>
        <w:t>ne that includes not only counterterrorism but also organized crime, narcotics trafficking, cybersecurity, and natural disaster responses.</w:t>
      </w:r>
    </w:p>
    <w:p w14:paraId="77776BF0" w14:textId="126D82C8" w:rsidR="00D07DCF" w:rsidRPr="007F7B60" w:rsidRDefault="005D62CC" w:rsidP="002B0E35">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lastRenderedPageBreak/>
        <w:t xml:space="preserve">The foundational document </w:t>
      </w:r>
      <w:r w:rsidRPr="007F7B60">
        <w:rPr>
          <w:rFonts w:ascii="Times New Roman" w:eastAsia="Times New Roman" w:hAnsi="Times New Roman" w:cs="Times New Roman"/>
          <w:i/>
          <w:iCs/>
          <w:kern w:val="0"/>
          <w14:ligatures w14:val="none"/>
        </w:rPr>
        <w:t>Fusion Center Guidelines</w:t>
      </w:r>
      <w:r w:rsidRPr="007F7B60">
        <w:rPr>
          <w:rFonts w:ascii="Times New Roman" w:eastAsia="Times New Roman" w:hAnsi="Times New Roman" w:cs="Times New Roman"/>
          <w:kern w:val="0"/>
          <w14:ligatures w14:val="none"/>
        </w:rPr>
        <w:t xml:space="preserve"> laid out 18 key recommendations for establishing and operating fusion centers effectively, emphasizing governance, privacy protections, and the need for a clear mission statement tailored to the needs of the jurisdiction (Bureau of Justice Assistance, 2006). These guidelines were subsequently enhanced by the DHS’s Baseline Capabilities, which established performance benchmarks to ensure consistent standards and operational uniformity across the expanding network of centers (Department of Homeland Security, 2008). </w:t>
      </w:r>
      <w:r w:rsidR="00D07DCF" w:rsidRPr="007F7B60">
        <w:rPr>
          <w:rFonts w:ascii="Times New Roman" w:eastAsia="Times New Roman" w:hAnsi="Times New Roman" w:cs="Times New Roman"/>
          <w:kern w:val="0"/>
          <w14:ligatures w14:val="none"/>
        </w:rPr>
        <w:t>Each center adapts to the threats most relevant to its region but remains connected to the National Network of Fusion Centers</w:t>
      </w:r>
      <w:r w:rsidR="001730A8" w:rsidRPr="007F7B60">
        <w:rPr>
          <w:rFonts w:ascii="Times New Roman" w:eastAsia="Times New Roman" w:hAnsi="Times New Roman" w:cs="Times New Roman"/>
          <w:kern w:val="0"/>
          <w14:ligatures w14:val="none"/>
        </w:rPr>
        <w:t>,</w:t>
      </w:r>
      <w:r w:rsidR="00D07DCF" w:rsidRPr="007F7B60">
        <w:rPr>
          <w:rFonts w:ascii="Times New Roman" w:eastAsia="Times New Roman" w:hAnsi="Times New Roman" w:cs="Times New Roman"/>
          <w:kern w:val="0"/>
          <w14:ligatures w14:val="none"/>
        </w:rPr>
        <w:t xml:space="preserve"> </w:t>
      </w:r>
      <w:r w:rsidR="001730A8" w:rsidRPr="007F7B60">
        <w:rPr>
          <w:rFonts w:ascii="Times New Roman" w:eastAsia="Times New Roman" w:hAnsi="Times New Roman" w:cs="Times New Roman"/>
          <w:kern w:val="0"/>
          <w14:ligatures w14:val="none"/>
        </w:rPr>
        <w:t>w</w:t>
      </w:r>
      <w:r w:rsidR="00D07DCF" w:rsidRPr="007F7B60">
        <w:rPr>
          <w:rFonts w:ascii="Times New Roman" w:eastAsia="Times New Roman" w:hAnsi="Times New Roman" w:cs="Times New Roman"/>
          <w:kern w:val="0"/>
          <w14:ligatures w14:val="none"/>
        </w:rPr>
        <w:t>hich ensures they can coordinate on national threats. Their flexibility allows them to address a wide array of emerging risks, including public health crises and domestic violent extremism</w:t>
      </w:r>
      <w:r w:rsidR="00C5599A" w:rsidRPr="007F7B60">
        <w:rPr>
          <w:rFonts w:ascii="Times New Roman" w:eastAsia="Times New Roman" w:hAnsi="Times New Roman" w:cs="Times New Roman"/>
          <w:kern w:val="0"/>
          <w14:ligatures w14:val="none"/>
        </w:rPr>
        <w:t>.</w:t>
      </w:r>
      <w:r w:rsidR="00D07DCF" w:rsidRPr="007F7B60">
        <w:rPr>
          <w:rFonts w:ascii="Times New Roman" w:eastAsia="Times New Roman" w:hAnsi="Times New Roman" w:cs="Times New Roman"/>
          <w:kern w:val="0"/>
          <w14:ligatures w14:val="none"/>
        </w:rPr>
        <w:t xml:space="preserve"> </w:t>
      </w:r>
      <w:r w:rsidR="00C5599A" w:rsidRPr="007F7B60">
        <w:rPr>
          <w:rFonts w:ascii="Times New Roman" w:eastAsia="Times New Roman" w:hAnsi="Times New Roman" w:cs="Times New Roman"/>
          <w:kern w:val="0"/>
          <w14:ligatures w14:val="none"/>
        </w:rPr>
        <w:t>M</w:t>
      </w:r>
      <w:r w:rsidR="00D07DCF" w:rsidRPr="007F7B60">
        <w:rPr>
          <w:rFonts w:ascii="Times New Roman" w:eastAsia="Times New Roman" w:hAnsi="Times New Roman" w:cs="Times New Roman"/>
          <w:kern w:val="0"/>
          <w14:ligatures w14:val="none"/>
        </w:rPr>
        <w:t>aking them essential components of both local safety and national security.</w:t>
      </w:r>
    </w:p>
    <w:p w14:paraId="66B09099" w14:textId="77777777" w:rsidR="00570B1A" w:rsidRPr="007F7B60" w:rsidRDefault="00570B1A" w:rsidP="00AC6EA6">
      <w:pPr>
        <w:spacing w:after="0" w:line="480" w:lineRule="auto"/>
        <w:rPr>
          <w:rFonts w:ascii="Times New Roman" w:eastAsia="Times New Roman" w:hAnsi="Times New Roman" w:cs="Times New Roman"/>
          <w:b/>
          <w:bCs/>
          <w:kern w:val="0"/>
          <w14:ligatures w14:val="none"/>
        </w:rPr>
      </w:pPr>
      <w:r w:rsidRPr="007F7B60">
        <w:rPr>
          <w:rFonts w:ascii="Times New Roman" w:eastAsia="Times New Roman" w:hAnsi="Times New Roman" w:cs="Times New Roman"/>
          <w:b/>
          <w:bCs/>
          <w:kern w:val="0"/>
          <w14:ligatures w14:val="none"/>
        </w:rPr>
        <w:t>Collaboration and Intelligence Sharing</w:t>
      </w:r>
    </w:p>
    <w:p w14:paraId="16955FE1" w14:textId="0E4E70AC" w:rsidR="00D07DCF" w:rsidRPr="007F7B60" w:rsidRDefault="00D07DCF" w:rsidP="00AC6EA6">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Fusion centers are distinguished by their emphasis on real</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time, cross</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jurisdictional intelligence sharing. They act as hubs where public safety agencies</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such as police departments, fire services, emergency management, and public health organizations</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can collaborate. According to Carter (2022), the integration of tactical and strategic intelligence within these centers enables law enforcement to detect, assess, and respond to threats before they escalate. This proactive approach contrasts with traditional reactive policing, where information silos often prevented early intervention.</w:t>
      </w:r>
    </w:p>
    <w:p w14:paraId="45D65C45" w14:textId="17AA7B27" w:rsidR="00D07DCF" w:rsidRPr="007F7B60" w:rsidRDefault="00D07DCF" w:rsidP="00C5599A">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The intelligence cycle within a fusion center typically includes collection, evaluation, analysis, and dissemination. For example, a fusion center may gather suspicious activity reports (SARs)</w:t>
      </w:r>
      <w:r w:rsidR="00C5599A" w:rsidRPr="007F7B60">
        <w:rPr>
          <w:rFonts w:ascii="Times New Roman" w:eastAsia="Times New Roman" w:hAnsi="Times New Roman" w:cs="Times New Roman"/>
          <w:kern w:val="0"/>
          <w14:ligatures w14:val="none"/>
        </w:rPr>
        <w:t xml:space="preserve"> and then</w:t>
      </w:r>
      <w:r w:rsidRPr="007F7B60">
        <w:rPr>
          <w:rFonts w:ascii="Times New Roman" w:eastAsia="Times New Roman" w:hAnsi="Times New Roman" w:cs="Times New Roman"/>
          <w:kern w:val="0"/>
          <w14:ligatures w14:val="none"/>
        </w:rPr>
        <w:t xml:space="preserve"> cross</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reference them with local and federal databases</w:t>
      </w:r>
      <w:r w:rsidR="00C5599A" w:rsidRPr="007F7B60">
        <w:rPr>
          <w:rFonts w:ascii="Times New Roman" w:eastAsia="Times New Roman" w:hAnsi="Times New Roman" w:cs="Times New Roman"/>
          <w:kern w:val="0"/>
          <w14:ligatures w14:val="none"/>
        </w:rPr>
        <w:t xml:space="preserve">. Which </w:t>
      </w:r>
      <w:r w:rsidRPr="007F7B60">
        <w:rPr>
          <w:rFonts w:ascii="Times New Roman" w:eastAsia="Times New Roman" w:hAnsi="Times New Roman" w:cs="Times New Roman"/>
          <w:kern w:val="0"/>
          <w14:ligatures w14:val="none"/>
        </w:rPr>
        <w:t xml:space="preserve">then produce threat assessments that are shared with appropriate agencies. Grana and Windell (2021) highlight </w:t>
      </w:r>
      <w:r w:rsidRPr="007F7B60">
        <w:rPr>
          <w:rFonts w:ascii="Times New Roman" w:eastAsia="Times New Roman" w:hAnsi="Times New Roman" w:cs="Times New Roman"/>
          <w:kern w:val="0"/>
          <w14:ligatures w14:val="none"/>
        </w:rPr>
        <w:lastRenderedPageBreak/>
        <w:t>how such data fusion allows law enforcement to identify behavioral patterns that may indicate planning for criminal or terrorist activity. When shared effectively this intelligence can lead to more timely arrests, threat mitigation, or even the prevention of attacks.</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 xml:space="preserve">In addition to law enforcement applications fusion centers contribute to public safety during natural disasters or </w:t>
      </w:r>
      <w:r w:rsidR="00C5599A" w:rsidRPr="007F7B60">
        <w:rPr>
          <w:rFonts w:ascii="Times New Roman" w:eastAsia="Times New Roman" w:hAnsi="Times New Roman" w:cs="Times New Roman"/>
          <w:kern w:val="0"/>
          <w14:ligatures w14:val="none"/>
        </w:rPr>
        <w:t>large-scale</w:t>
      </w:r>
      <w:r w:rsidRPr="007F7B60">
        <w:rPr>
          <w:rFonts w:ascii="Times New Roman" w:eastAsia="Times New Roman" w:hAnsi="Times New Roman" w:cs="Times New Roman"/>
          <w:kern w:val="0"/>
          <w14:ligatures w14:val="none"/>
        </w:rPr>
        <w:t xml:space="preserve"> events. By monitoring real</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 xml:space="preserve">time conditions and disseminating alerts they play a key role in coordinating emergency responses. Their presence during events like hurricanes, mass gatherings, </w:t>
      </w:r>
      <w:r w:rsidR="00B56658" w:rsidRPr="007F7B60">
        <w:rPr>
          <w:rFonts w:ascii="Times New Roman" w:eastAsia="Times New Roman" w:hAnsi="Times New Roman" w:cs="Times New Roman"/>
          <w:kern w:val="0"/>
          <w14:ligatures w14:val="none"/>
        </w:rPr>
        <w:t>and</w:t>
      </w:r>
      <w:r w:rsidRPr="007F7B60">
        <w:rPr>
          <w:rFonts w:ascii="Times New Roman" w:eastAsia="Times New Roman" w:hAnsi="Times New Roman" w:cs="Times New Roman"/>
          <w:kern w:val="0"/>
          <w14:ligatures w14:val="none"/>
        </w:rPr>
        <w:t xml:space="preserve"> pandemics has demonstrated their versatility and operational value beyond just counterterrorism functions.</w:t>
      </w:r>
    </w:p>
    <w:p w14:paraId="7A7A4CE7" w14:textId="77777777" w:rsidR="00570B1A" w:rsidRPr="007F7B60" w:rsidRDefault="00570B1A" w:rsidP="00AC6EA6">
      <w:pPr>
        <w:spacing w:after="0" w:line="480" w:lineRule="auto"/>
        <w:rPr>
          <w:rFonts w:ascii="Times New Roman" w:eastAsia="Times New Roman" w:hAnsi="Times New Roman" w:cs="Times New Roman"/>
          <w:b/>
          <w:bCs/>
          <w:kern w:val="0"/>
          <w14:ligatures w14:val="none"/>
        </w:rPr>
      </w:pPr>
      <w:r w:rsidRPr="007F7B60">
        <w:rPr>
          <w:rFonts w:ascii="Times New Roman" w:eastAsia="Times New Roman" w:hAnsi="Times New Roman" w:cs="Times New Roman"/>
          <w:b/>
          <w:bCs/>
          <w:kern w:val="0"/>
          <w14:ligatures w14:val="none"/>
        </w:rPr>
        <w:t>Accountability and Oversight Concerns</w:t>
      </w:r>
    </w:p>
    <w:p w14:paraId="0834CD34" w14:textId="25AA955D" w:rsidR="00D07DCF" w:rsidRPr="007F7B60" w:rsidRDefault="00D07DCF" w:rsidP="00AC6EA6">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Despite their contributions, fusion centers have been subject to ongoing scrutiny regarding civil liberties and transparency. Because they collect, store, and analyze data from various sources</w:t>
      </w:r>
      <w:r w:rsidR="00C5599A"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including open-source intelligence and public reporting</w:t>
      </w:r>
      <w:r w:rsidR="00C5599A" w:rsidRPr="007F7B60">
        <w:rPr>
          <w:rFonts w:ascii="Times New Roman" w:eastAsia="Times New Roman" w:hAnsi="Times New Roman" w:cs="Times New Roman"/>
          <w:kern w:val="0"/>
          <w14:ligatures w14:val="none"/>
        </w:rPr>
        <w:t>. F</w:t>
      </w:r>
      <w:r w:rsidRPr="007F7B60">
        <w:rPr>
          <w:rFonts w:ascii="Times New Roman" w:eastAsia="Times New Roman" w:hAnsi="Times New Roman" w:cs="Times New Roman"/>
          <w:kern w:val="0"/>
          <w14:ligatures w14:val="none"/>
        </w:rPr>
        <w:t xml:space="preserve">usion centers operate in a space where privacy and surveillance </w:t>
      </w:r>
      <w:r w:rsidR="00C5599A" w:rsidRPr="007F7B60">
        <w:rPr>
          <w:rFonts w:ascii="Times New Roman" w:eastAsia="Times New Roman" w:hAnsi="Times New Roman" w:cs="Times New Roman"/>
          <w:kern w:val="0"/>
          <w14:ligatures w14:val="none"/>
        </w:rPr>
        <w:t>concerns</w:t>
      </w:r>
      <w:r w:rsidRPr="007F7B60">
        <w:rPr>
          <w:rFonts w:ascii="Times New Roman" w:eastAsia="Times New Roman" w:hAnsi="Times New Roman" w:cs="Times New Roman"/>
          <w:kern w:val="0"/>
          <w14:ligatures w14:val="none"/>
        </w:rPr>
        <w:t xml:space="preserve"> often arise. Regan and Monahan (2014) note that fusion centers frequently lack clear jurisdictional boundaries</w:t>
      </w:r>
      <w:r w:rsidR="00B56658" w:rsidRPr="007F7B60">
        <w:rPr>
          <w:rFonts w:ascii="Times New Roman" w:eastAsia="Times New Roman" w:hAnsi="Times New Roman" w:cs="Times New Roman"/>
          <w:kern w:val="0"/>
          <w14:ligatures w14:val="none"/>
        </w:rPr>
        <w:t>,</w:t>
      </w:r>
      <w:r w:rsidRPr="007F7B60">
        <w:rPr>
          <w:rFonts w:ascii="Times New Roman" w:eastAsia="Times New Roman" w:hAnsi="Times New Roman" w:cs="Times New Roman"/>
          <w:kern w:val="0"/>
          <w14:ligatures w14:val="none"/>
        </w:rPr>
        <w:t xml:space="preserve"> leading to ambiguity in governance and oversight responsibilities. This complexity creates challenges in enforcing privacy protections and ensuring that operations align with constitutional standards.</w:t>
      </w:r>
    </w:p>
    <w:p w14:paraId="5D0B9770" w14:textId="4DAA9F35" w:rsidR="00D07DCF" w:rsidRPr="007F7B60" w:rsidRDefault="00D07DCF" w:rsidP="00E625FC">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 xml:space="preserve">Additionally, there is concern about mission </w:t>
      </w:r>
      <w:r w:rsidR="00C5599A" w:rsidRPr="007F7B60">
        <w:rPr>
          <w:rFonts w:ascii="Times New Roman" w:eastAsia="Times New Roman" w:hAnsi="Times New Roman" w:cs="Times New Roman"/>
          <w:kern w:val="0"/>
          <w14:ligatures w14:val="none"/>
        </w:rPr>
        <w:t xml:space="preserve">scope </w:t>
      </w:r>
      <w:r w:rsidRPr="007F7B60">
        <w:rPr>
          <w:rFonts w:ascii="Times New Roman" w:eastAsia="Times New Roman" w:hAnsi="Times New Roman" w:cs="Times New Roman"/>
          <w:kern w:val="0"/>
          <w14:ligatures w14:val="none"/>
        </w:rPr>
        <w:t>when fusion centers expand their focus beyond legitimate national security threats into general surveillance. Monahan and Palmer (2009) argue that without proper oversight, fusion centers risk becoming instruments of political monitoring or infringing on civil liberties. Past examples of data collection targeting activist groups or political dissenters have raised red flags among civil rights organizations.</w:t>
      </w:r>
      <w:r w:rsidR="00E625FC"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 xml:space="preserve">To address these concerns, the </w:t>
      </w:r>
      <w:r w:rsidRPr="007F7B60">
        <w:rPr>
          <w:rFonts w:ascii="Times New Roman" w:eastAsia="Times New Roman" w:hAnsi="Times New Roman" w:cs="Times New Roman"/>
          <w:i/>
          <w:iCs/>
          <w:kern w:val="0"/>
          <w14:ligatures w14:val="none"/>
        </w:rPr>
        <w:t>Fusion Center Guidelines</w:t>
      </w:r>
      <w:r w:rsidRPr="007F7B60">
        <w:rPr>
          <w:rFonts w:ascii="Times New Roman" w:eastAsia="Times New Roman" w:hAnsi="Times New Roman" w:cs="Times New Roman"/>
          <w:kern w:val="0"/>
          <w14:ligatures w14:val="none"/>
        </w:rPr>
        <w:t xml:space="preserve"> (BJA, 2006) emphasize the need for </w:t>
      </w:r>
      <w:r w:rsidR="00C5599A" w:rsidRPr="007F7B60">
        <w:rPr>
          <w:rFonts w:ascii="Times New Roman" w:eastAsia="Times New Roman" w:hAnsi="Times New Roman" w:cs="Times New Roman"/>
          <w:kern w:val="0"/>
          <w14:ligatures w14:val="none"/>
        </w:rPr>
        <w:t>p</w:t>
      </w:r>
      <w:r w:rsidRPr="007F7B60">
        <w:rPr>
          <w:rFonts w:ascii="Times New Roman" w:eastAsia="Times New Roman" w:hAnsi="Times New Roman" w:cs="Times New Roman"/>
          <w:kern w:val="0"/>
          <w14:ligatures w14:val="none"/>
        </w:rPr>
        <w:t xml:space="preserve">rivacy, </w:t>
      </w:r>
      <w:r w:rsidR="00C5599A" w:rsidRPr="007F7B60">
        <w:rPr>
          <w:rFonts w:ascii="Times New Roman" w:eastAsia="Times New Roman" w:hAnsi="Times New Roman" w:cs="Times New Roman"/>
          <w:kern w:val="0"/>
          <w14:ligatures w14:val="none"/>
        </w:rPr>
        <w:t>c</w:t>
      </w:r>
      <w:r w:rsidRPr="007F7B60">
        <w:rPr>
          <w:rFonts w:ascii="Times New Roman" w:eastAsia="Times New Roman" w:hAnsi="Times New Roman" w:cs="Times New Roman"/>
          <w:kern w:val="0"/>
          <w14:ligatures w14:val="none"/>
        </w:rPr>
        <w:t xml:space="preserve">ivil </w:t>
      </w:r>
      <w:r w:rsidR="00C5599A" w:rsidRPr="007F7B60">
        <w:rPr>
          <w:rFonts w:ascii="Times New Roman" w:eastAsia="Times New Roman" w:hAnsi="Times New Roman" w:cs="Times New Roman"/>
          <w:kern w:val="0"/>
          <w14:ligatures w14:val="none"/>
        </w:rPr>
        <w:t>r</w:t>
      </w:r>
      <w:r w:rsidRPr="007F7B60">
        <w:rPr>
          <w:rFonts w:ascii="Times New Roman" w:eastAsia="Times New Roman" w:hAnsi="Times New Roman" w:cs="Times New Roman"/>
          <w:kern w:val="0"/>
          <w14:ligatures w14:val="none"/>
        </w:rPr>
        <w:t xml:space="preserve">ights, and </w:t>
      </w:r>
      <w:r w:rsidR="00C5599A" w:rsidRPr="007F7B60">
        <w:rPr>
          <w:rFonts w:ascii="Times New Roman" w:eastAsia="Times New Roman" w:hAnsi="Times New Roman" w:cs="Times New Roman"/>
          <w:kern w:val="0"/>
          <w14:ligatures w14:val="none"/>
        </w:rPr>
        <w:t>c</w:t>
      </w:r>
      <w:r w:rsidRPr="007F7B60">
        <w:rPr>
          <w:rFonts w:ascii="Times New Roman" w:eastAsia="Times New Roman" w:hAnsi="Times New Roman" w:cs="Times New Roman"/>
          <w:kern w:val="0"/>
          <w14:ligatures w14:val="none"/>
        </w:rPr>
        <w:t xml:space="preserve">ivil </w:t>
      </w:r>
      <w:r w:rsidR="00C5599A" w:rsidRPr="007F7B60">
        <w:rPr>
          <w:rFonts w:ascii="Times New Roman" w:eastAsia="Times New Roman" w:hAnsi="Times New Roman" w:cs="Times New Roman"/>
          <w:kern w:val="0"/>
          <w14:ligatures w14:val="none"/>
        </w:rPr>
        <w:t>l</w:t>
      </w:r>
      <w:r w:rsidRPr="007F7B60">
        <w:rPr>
          <w:rFonts w:ascii="Times New Roman" w:eastAsia="Times New Roman" w:hAnsi="Times New Roman" w:cs="Times New Roman"/>
          <w:kern w:val="0"/>
          <w14:ligatures w14:val="none"/>
        </w:rPr>
        <w:t xml:space="preserve">iberties policies. </w:t>
      </w:r>
      <w:r w:rsidR="002800C0" w:rsidRPr="007F7B60">
        <w:rPr>
          <w:rFonts w:ascii="Times New Roman" w:eastAsia="Times New Roman" w:hAnsi="Times New Roman" w:cs="Times New Roman"/>
          <w:kern w:val="0"/>
          <w14:ligatures w14:val="none"/>
        </w:rPr>
        <w:t>F</w:t>
      </w:r>
      <w:r w:rsidRPr="007F7B60">
        <w:rPr>
          <w:rFonts w:ascii="Times New Roman" w:eastAsia="Times New Roman" w:hAnsi="Times New Roman" w:cs="Times New Roman"/>
          <w:kern w:val="0"/>
          <w14:ligatures w14:val="none"/>
        </w:rPr>
        <w:t xml:space="preserve">usion centers have since adopted internal review mechanisms, </w:t>
      </w:r>
      <w:r w:rsidRPr="007F7B60">
        <w:rPr>
          <w:rFonts w:ascii="Times New Roman" w:eastAsia="Times New Roman" w:hAnsi="Times New Roman" w:cs="Times New Roman"/>
          <w:kern w:val="0"/>
          <w14:ligatures w14:val="none"/>
        </w:rPr>
        <w:lastRenderedPageBreak/>
        <w:t>privacy training, and independent audits. However, the level of implementation varies widely between jurisdictions</w:t>
      </w:r>
      <w:r w:rsidR="00E625FC" w:rsidRPr="007F7B60">
        <w:rPr>
          <w:rFonts w:ascii="Times New Roman" w:eastAsia="Times New Roman" w:hAnsi="Times New Roman" w:cs="Times New Roman"/>
          <w:kern w:val="0"/>
          <w14:ligatures w14:val="none"/>
        </w:rPr>
        <w:t>.</w:t>
      </w:r>
      <w:r w:rsidRPr="007F7B60">
        <w:rPr>
          <w:rFonts w:ascii="Times New Roman" w:eastAsia="Times New Roman" w:hAnsi="Times New Roman" w:cs="Times New Roman"/>
          <w:kern w:val="0"/>
          <w14:ligatures w14:val="none"/>
        </w:rPr>
        <w:t xml:space="preserve"> </w:t>
      </w:r>
      <w:r w:rsidR="00E625FC" w:rsidRPr="007F7B60">
        <w:rPr>
          <w:rFonts w:ascii="Times New Roman" w:eastAsia="Times New Roman" w:hAnsi="Times New Roman" w:cs="Times New Roman"/>
          <w:kern w:val="0"/>
          <w14:ligatures w14:val="none"/>
        </w:rPr>
        <w:t>H</w:t>
      </w:r>
      <w:r w:rsidRPr="007F7B60">
        <w:rPr>
          <w:rFonts w:ascii="Times New Roman" w:eastAsia="Times New Roman" w:hAnsi="Times New Roman" w:cs="Times New Roman"/>
          <w:kern w:val="0"/>
          <w14:ligatures w14:val="none"/>
        </w:rPr>
        <w:t>ighlighting the need for national</w:t>
      </w:r>
      <w:r w:rsidR="00B56658" w:rsidRPr="007F7B60">
        <w:rPr>
          <w:rFonts w:ascii="Times New Roman" w:eastAsia="Times New Roman" w:hAnsi="Times New Roman" w:cs="Times New Roman"/>
          <w:kern w:val="0"/>
          <w14:ligatures w14:val="none"/>
        </w:rPr>
        <w:t>-</w:t>
      </w:r>
      <w:r w:rsidRPr="007F7B60">
        <w:rPr>
          <w:rFonts w:ascii="Times New Roman" w:eastAsia="Times New Roman" w:hAnsi="Times New Roman" w:cs="Times New Roman"/>
          <w:kern w:val="0"/>
          <w14:ligatures w14:val="none"/>
        </w:rPr>
        <w:t>level policy enforcement and transparency in operations.</w:t>
      </w:r>
    </w:p>
    <w:p w14:paraId="45054118" w14:textId="0CDE888B" w:rsidR="00570B1A" w:rsidRPr="007F7B60" w:rsidRDefault="00570B1A" w:rsidP="00AC6EA6">
      <w:pPr>
        <w:spacing w:after="0" w:line="480" w:lineRule="auto"/>
        <w:rPr>
          <w:rFonts w:ascii="Times New Roman" w:eastAsia="Times New Roman" w:hAnsi="Times New Roman" w:cs="Times New Roman"/>
          <w:b/>
          <w:bCs/>
          <w:kern w:val="0"/>
          <w14:ligatures w14:val="none"/>
        </w:rPr>
      </w:pPr>
      <w:r w:rsidRPr="007F7B60">
        <w:rPr>
          <w:rFonts w:ascii="Times New Roman" w:eastAsia="Times New Roman" w:hAnsi="Times New Roman" w:cs="Times New Roman"/>
          <w:b/>
          <w:bCs/>
          <w:kern w:val="0"/>
          <w14:ligatures w14:val="none"/>
        </w:rPr>
        <w:t>Challenges in Intergovernmental Coordination</w:t>
      </w:r>
      <w:r w:rsidR="00B56658" w:rsidRPr="007F7B60">
        <w:rPr>
          <w:rFonts w:ascii="Times New Roman" w:eastAsia="Times New Roman" w:hAnsi="Times New Roman" w:cs="Times New Roman"/>
          <w:b/>
          <w:bCs/>
          <w:kern w:val="0"/>
          <w14:ligatures w14:val="none"/>
        </w:rPr>
        <w:t xml:space="preserve"> and Policy Recommendations</w:t>
      </w:r>
    </w:p>
    <w:p w14:paraId="7FD53C90" w14:textId="3F4CDA04" w:rsidR="00D07DCF" w:rsidRPr="007F7B60" w:rsidRDefault="00D07DCF" w:rsidP="00E625FC">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One of the most persistent challenges facing fusion centers is the lack of uniformity in resources and capabilities. While some fusion centers in major urban areas have access to advanced technologies and full-time staff</w:t>
      </w:r>
      <w:r w:rsidR="00E625FC" w:rsidRPr="007F7B60">
        <w:rPr>
          <w:rFonts w:ascii="Times New Roman" w:eastAsia="Times New Roman" w:hAnsi="Times New Roman" w:cs="Times New Roman"/>
          <w:kern w:val="0"/>
          <w14:ligatures w14:val="none"/>
        </w:rPr>
        <w:t>. O</w:t>
      </w:r>
      <w:r w:rsidRPr="007F7B60">
        <w:rPr>
          <w:rFonts w:ascii="Times New Roman" w:eastAsia="Times New Roman" w:hAnsi="Times New Roman" w:cs="Times New Roman"/>
          <w:kern w:val="0"/>
          <w14:ligatures w14:val="none"/>
        </w:rPr>
        <w:t>thers</w:t>
      </w:r>
      <w:r w:rsidR="00E625FC"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particularly in rural or underfunded jurisdictions</w:t>
      </w:r>
      <w:r w:rsidR="00E625FC" w:rsidRPr="007F7B60">
        <w:rPr>
          <w:rFonts w:ascii="Times New Roman" w:eastAsia="Times New Roman" w:hAnsi="Times New Roman" w:cs="Times New Roman"/>
          <w:kern w:val="0"/>
          <w14:ligatures w14:val="none"/>
        </w:rPr>
        <w:t xml:space="preserve"> </w:t>
      </w:r>
      <w:r w:rsidRPr="007F7B60">
        <w:rPr>
          <w:rFonts w:ascii="Times New Roman" w:eastAsia="Times New Roman" w:hAnsi="Times New Roman" w:cs="Times New Roman"/>
          <w:kern w:val="0"/>
          <w14:ligatures w14:val="none"/>
        </w:rPr>
        <w:t>struggle with limited personnel and outdated systems. Davis et al. (2010) found that disparities in funding and technical expertise created gaps in intelligence capabilities across the network.</w:t>
      </w:r>
      <w:r w:rsidR="00E625FC" w:rsidRPr="007F7B60">
        <w:rPr>
          <w:rFonts w:ascii="Times New Roman" w:eastAsia="Times New Roman" w:hAnsi="Times New Roman" w:cs="Times New Roman"/>
          <w:kern w:val="0"/>
          <w14:ligatures w14:val="none"/>
        </w:rPr>
        <w:t xml:space="preserve"> In addition</w:t>
      </w:r>
      <w:r w:rsidRPr="007F7B60">
        <w:rPr>
          <w:rFonts w:ascii="Times New Roman" w:eastAsia="Times New Roman" w:hAnsi="Times New Roman" w:cs="Times New Roman"/>
          <w:kern w:val="0"/>
          <w14:ligatures w14:val="none"/>
        </w:rPr>
        <w:t>, intergovernmental coordination remains inconsistent. Carter (2022) emphasizes that mutual trust between federal, state, and local partners is essential for successful collaboration. However, overlapping responsibilities, unclear information-sharing protocols, and political dynamics often hinder the seamless integration of intelligence efforts.</w:t>
      </w:r>
    </w:p>
    <w:p w14:paraId="32815E7E" w14:textId="297B807D" w:rsidR="00D07DCF" w:rsidRPr="007F7B60" w:rsidRDefault="00D07DCF" w:rsidP="00AC6EA6">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To strengthen the role of fusion centers several policy recommendations can be made. First, federal funding should prioritize under</w:t>
      </w:r>
      <w:r w:rsidR="001A7230" w:rsidRPr="007F7B60">
        <w:rPr>
          <w:rFonts w:ascii="Times New Roman" w:eastAsia="Times New Roman" w:hAnsi="Times New Roman" w:cs="Times New Roman"/>
          <w:kern w:val="0"/>
          <w14:ligatures w14:val="none"/>
        </w:rPr>
        <w:t>-</w:t>
      </w:r>
      <w:r w:rsidRPr="007F7B60">
        <w:rPr>
          <w:rFonts w:ascii="Times New Roman" w:eastAsia="Times New Roman" w:hAnsi="Times New Roman" w:cs="Times New Roman"/>
          <w:kern w:val="0"/>
          <w14:ligatures w14:val="none"/>
        </w:rPr>
        <w:t xml:space="preserve">resourced centers to ensure </w:t>
      </w:r>
      <w:r w:rsidR="001A7230" w:rsidRPr="007F7B60">
        <w:rPr>
          <w:rFonts w:ascii="Times New Roman" w:eastAsia="Times New Roman" w:hAnsi="Times New Roman" w:cs="Times New Roman"/>
          <w:kern w:val="0"/>
          <w14:ligatures w14:val="none"/>
        </w:rPr>
        <w:t>equal and fair</w:t>
      </w:r>
      <w:r w:rsidRPr="007F7B60">
        <w:rPr>
          <w:rFonts w:ascii="Times New Roman" w:eastAsia="Times New Roman" w:hAnsi="Times New Roman" w:cs="Times New Roman"/>
          <w:kern w:val="0"/>
          <w14:ligatures w14:val="none"/>
        </w:rPr>
        <w:t xml:space="preserve"> cap</w:t>
      </w:r>
      <w:r w:rsidR="001A7230" w:rsidRPr="007F7B60">
        <w:rPr>
          <w:rFonts w:ascii="Times New Roman" w:eastAsia="Times New Roman" w:hAnsi="Times New Roman" w:cs="Times New Roman"/>
          <w:kern w:val="0"/>
          <w14:ligatures w14:val="none"/>
        </w:rPr>
        <w:t>abilities</w:t>
      </w:r>
      <w:r w:rsidRPr="007F7B60">
        <w:rPr>
          <w:rFonts w:ascii="Times New Roman" w:eastAsia="Times New Roman" w:hAnsi="Times New Roman" w:cs="Times New Roman"/>
          <w:kern w:val="0"/>
          <w14:ligatures w14:val="none"/>
        </w:rPr>
        <w:t xml:space="preserve"> across the national network. Second, </w:t>
      </w:r>
      <w:r w:rsidR="001A7230" w:rsidRPr="007F7B60">
        <w:rPr>
          <w:rFonts w:ascii="Times New Roman" w:eastAsia="Times New Roman" w:hAnsi="Times New Roman" w:cs="Times New Roman"/>
          <w:kern w:val="0"/>
          <w14:ligatures w14:val="none"/>
        </w:rPr>
        <w:t xml:space="preserve">implementing standardized training and certification programs would help establish best practices in intelligence management, privacy protection, and data analysis. </w:t>
      </w:r>
      <w:r w:rsidRPr="007F7B60">
        <w:rPr>
          <w:rFonts w:ascii="Times New Roman" w:eastAsia="Times New Roman" w:hAnsi="Times New Roman" w:cs="Times New Roman"/>
          <w:kern w:val="0"/>
          <w14:ligatures w14:val="none"/>
        </w:rPr>
        <w:t>Finally, a formal evaluation system should be implemented to measure the performance and impact of fusion centers based on clearly defined metrics.</w:t>
      </w:r>
    </w:p>
    <w:p w14:paraId="335EA3DD" w14:textId="0FB8AE37" w:rsidR="00570B1A" w:rsidRPr="007F7B60" w:rsidRDefault="00D07DCF" w:rsidP="00AC6EA6">
      <w:pPr>
        <w:spacing w:after="0" w:line="480" w:lineRule="auto"/>
        <w:ind w:firstLine="720"/>
        <w:rPr>
          <w:rFonts w:ascii="Times New Roman" w:eastAsia="Times New Roman" w:hAnsi="Times New Roman" w:cs="Times New Roman"/>
          <w:kern w:val="0"/>
          <w14:ligatures w14:val="none"/>
        </w:rPr>
      </w:pPr>
      <w:r w:rsidRPr="007F7B60">
        <w:rPr>
          <w:rFonts w:ascii="Times New Roman" w:eastAsia="Times New Roman" w:hAnsi="Times New Roman" w:cs="Times New Roman"/>
          <w:kern w:val="0"/>
          <w14:ligatures w14:val="none"/>
        </w:rPr>
        <w:t>Intelligence Fusion Centers have become indispensable to the national security framework of the United States. By facilitating integrated intelligence sharing, enabling real-time threat detection, and supporting interagency coordination</w:t>
      </w:r>
      <w:r w:rsidR="001A7230" w:rsidRPr="007F7B60">
        <w:rPr>
          <w:rFonts w:ascii="Times New Roman" w:eastAsia="Times New Roman" w:hAnsi="Times New Roman" w:cs="Times New Roman"/>
          <w:kern w:val="0"/>
          <w14:ligatures w14:val="none"/>
        </w:rPr>
        <w:t>.</w:t>
      </w:r>
      <w:r w:rsidRPr="007F7B60">
        <w:rPr>
          <w:rFonts w:ascii="Times New Roman" w:eastAsia="Times New Roman" w:hAnsi="Times New Roman" w:cs="Times New Roman"/>
          <w:kern w:val="0"/>
          <w14:ligatures w14:val="none"/>
        </w:rPr>
        <w:t xml:space="preserve"> </w:t>
      </w:r>
      <w:r w:rsidR="001A7230" w:rsidRPr="007F7B60">
        <w:rPr>
          <w:rFonts w:ascii="Times New Roman" w:eastAsia="Times New Roman" w:hAnsi="Times New Roman" w:cs="Times New Roman"/>
          <w:kern w:val="0"/>
          <w14:ligatures w14:val="none"/>
        </w:rPr>
        <w:t>T</w:t>
      </w:r>
      <w:r w:rsidRPr="007F7B60">
        <w:rPr>
          <w:rFonts w:ascii="Times New Roman" w:eastAsia="Times New Roman" w:hAnsi="Times New Roman" w:cs="Times New Roman"/>
          <w:kern w:val="0"/>
          <w14:ligatures w14:val="none"/>
        </w:rPr>
        <w:t xml:space="preserve">hey have enhanced both public safety and national preparedness. </w:t>
      </w:r>
      <w:r w:rsidR="001A7230" w:rsidRPr="007F7B60">
        <w:rPr>
          <w:rFonts w:ascii="Times New Roman" w:eastAsia="Times New Roman" w:hAnsi="Times New Roman" w:cs="Times New Roman"/>
          <w:kern w:val="0"/>
          <w14:ligatures w14:val="none"/>
        </w:rPr>
        <w:t>Nonetheless</w:t>
      </w:r>
      <w:r w:rsidRPr="007F7B60">
        <w:rPr>
          <w:rFonts w:ascii="Times New Roman" w:eastAsia="Times New Roman" w:hAnsi="Times New Roman" w:cs="Times New Roman"/>
          <w:kern w:val="0"/>
          <w14:ligatures w14:val="none"/>
        </w:rPr>
        <w:t xml:space="preserve">, their success is not guaranteed. Ongoing </w:t>
      </w:r>
      <w:r w:rsidRPr="007F7B60">
        <w:rPr>
          <w:rFonts w:ascii="Times New Roman" w:eastAsia="Times New Roman" w:hAnsi="Times New Roman" w:cs="Times New Roman"/>
          <w:kern w:val="0"/>
          <w14:ligatures w14:val="none"/>
        </w:rPr>
        <w:lastRenderedPageBreak/>
        <w:t>challenges related to transparency, oversight, and uniformity across jurisdictions continue to impact their effectiveness. To maximize the potential of these centers, policymakers must address these issues through consistent standards, accountability mechanisms, and strategic investments. When appropriately managed, fusion centers serve not only as tools of law enforcement but also as vital safeguards for the nation.</w:t>
      </w:r>
    </w:p>
    <w:p w14:paraId="2D438376" w14:textId="77777777" w:rsidR="00570B1A" w:rsidRPr="007F7B60" w:rsidRDefault="00570B1A" w:rsidP="00570B1A">
      <w:pPr>
        <w:spacing w:after="0" w:line="480" w:lineRule="auto"/>
        <w:ind w:firstLine="720"/>
        <w:rPr>
          <w:rFonts w:ascii="Times New Roman" w:eastAsia="Times New Roman" w:hAnsi="Times New Roman" w:cs="Times New Roman"/>
          <w:kern w:val="0"/>
          <w14:ligatures w14:val="none"/>
        </w:rPr>
      </w:pPr>
    </w:p>
    <w:p w14:paraId="3C4CAE3B" w14:textId="77777777" w:rsidR="00570B1A" w:rsidRPr="007F7B60" w:rsidRDefault="00570B1A" w:rsidP="00570B1A">
      <w:pPr>
        <w:spacing w:after="0" w:line="480" w:lineRule="auto"/>
        <w:ind w:firstLine="720"/>
        <w:rPr>
          <w:rFonts w:ascii="Times New Roman" w:eastAsia="Times New Roman" w:hAnsi="Times New Roman" w:cs="Times New Roman"/>
          <w:kern w:val="0"/>
          <w14:ligatures w14:val="none"/>
        </w:rPr>
      </w:pPr>
    </w:p>
    <w:p w14:paraId="20B704C5" w14:textId="77777777" w:rsidR="00570B1A" w:rsidRPr="007F7B60" w:rsidRDefault="00570B1A" w:rsidP="00570B1A">
      <w:pPr>
        <w:spacing w:after="0" w:line="480" w:lineRule="auto"/>
        <w:ind w:firstLine="720"/>
        <w:rPr>
          <w:rFonts w:ascii="Times New Roman" w:eastAsia="Times New Roman" w:hAnsi="Times New Roman" w:cs="Times New Roman"/>
          <w:kern w:val="0"/>
          <w14:ligatures w14:val="none"/>
        </w:rPr>
      </w:pPr>
    </w:p>
    <w:p w14:paraId="1CCC8CB9" w14:textId="2CCA18CE" w:rsidR="007132B8" w:rsidRPr="007F7B60" w:rsidRDefault="007132B8" w:rsidP="00570B1A">
      <w:pPr>
        <w:spacing w:after="0" w:line="480" w:lineRule="auto"/>
        <w:ind w:firstLine="720"/>
        <w:rPr>
          <w:rFonts w:ascii="Times New Roman" w:hAnsi="Times New Roman" w:cs="Times New Roman"/>
        </w:rPr>
      </w:pPr>
    </w:p>
    <w:p w14:paraId="692889BF" w14:textId="05DF2682" w:rsidR="00974E4A" w:rsidRPr="007F7B60" w:rsidRDefault="00974E4A">
      <w:pPr>
        <w:rPr>
          <w:rFonts w:ascii="Times New Roman" w:hAnsi="Times New Roman" w:cs="Times New Roman"/>
        </w:rPr>
      </w:pPr>
      <w:r w:rsidRPr="007F7B60">
        <w:rPr>
          <w:rFonts w:ascii="Times New Roman" w:hAnsi="Times New Roman" w:cs="Times New Roman"/>
        </w:rPr>
        <w:br w:type="page"/>
      </w:r>
    </w:p>
    <w:p w14:paraId="1257DE4C" w14:textId="77777777" w:rsidR="00974E4A" w:rsidRPr="007F7B60" w:rsidRDefault="00974E4A" w:rsidP="00973EF1">
      <w:pPr>
        <w:spacing w:line="480" w:lineRule="auto"/>
        <w:jc w:val="center"/>
        <w:rPr>
          <w:rFonts w:ascii="Times New Roman" w:hAnsi="Times New Roman" w:cs="Times New Roman"/>
          <w:b/>
          <w:bCs/>
        </w:rPr>
      </w:pPr>
      <w:r w:rsidRPr="007F7B60">
        <w:rPr>
          <w:rFonts w:ascii="Times New Roman" w:hAnsi="Times New Roman" w:cs="Times New Roman"/>
          <w:b/>
          <w:bCs/>
        </w:rPr>
        <w:lastRenderedPageBreak/>
        <w:t>References</w:t>
      </w:r>
    </w:p>
    <w:p w14:paraId="4FF7BE49" w14:textId="77777777" w:rsidR="00974E4A" w:rsidRPr="007F7B60" w:rsidRDefault="00974E4A" w:rsidP="00F25DD2">
      <w:pPr>
        <w:spacing w:line="480" w:lineRule="auto"/>
        <w:ind w:left="720" w:hanging="720"/>
        <w:rPr>
          <w:rFonts w:ascii="Times New Roman" w:hAnsi="Times New Roman" w:cs="Times New Roman"/>
        </w:rPr>
      </w:pPr>
      <w:r w:rsidRPr="007F7B60">
        <w:rPr>
          <w:rFonts w:ascii="Times New Roman" w:hAnsi="Times New Roman" w:cs="Times New Roman"/>
        </w:rPr>
        <w:t xml:space="preserve">Bureau of Justice Assistance. (2006). </w:t>
      </w:r>
      <w:r w:rsidRPr="007F7B60">
        <w:rPr>
          <w:rFonts w:ascii="Times New Roman" w:hAnsi="Times New Roman" w:cs="Times New Roman"/>
          <w:i/>
          <w:iCs/>
        </w:rPr>
        <w:t>Fusion center guidelines: Developing and sharing information and intelligence in a new era</w:t>
      </w:r>
      <w:r w:rsidRPr="007F7B60">
        <w:rPr>
          <w:rFonts w:ascii="Times New Roman" w:hAnsi="Times New Roman" w:cs="Times New Roman"/>
        </w:rPr>
        <w:t xml:space="preserve"> (NCJ 210474). U.S. Department of Justice. </w:t>
      </w:r>
      <w:hyperlink r:id="rId6" w:tgtFrame="_new" w:history="1">
        <w:r w:rsidRPr="007F7B60">
          <w:rPr>
            <w:rStyle w:val="Hyperlink"/>
            <w:rFonts w:ascii="Times New Roman" w:hAnsi="Times New Roman" w:cs="Times New Roman"/>
          </w:rPr>
          <w:t>https://bja.ojp.gov/sites/g/files/xyckuh186/files/media/document/fusion_center_guidelines.pdf</w:t>
        </w:r>
      </w:hyperlink>
    </w:p>
    <w:p w14:paraId="6E4BC498" w14:textId="77777777" w:rsidR="00974E4A" w:rsidRPr="007F7B60" w:rsidRDefault="00974E4A" w:rsidP="00F25DD2">
      <w:pPr>
        <w:spacing w:line="480" w:lineRule="auto"/>
        <w:ind w:left="720" w:hanging="720"/>
        <w:rPr>
          <w:rFonts w:ascii="Times New Roman" w:hAnsi="Times New Roman" w:cs="Times New Roman"/>
        </w:rPr>
      </w:pPr>
      <w:r w:rsidRPr="007F7B60">
        <w:rPr>
          <w:rFonts w:ascii="Times New Roman" w:hAnsi="Times New Roman" w:cs="Times New Roman"/>
        </w:rPr>
        <w:t xml:space="preserve">Carter, D. L. (2022). </w:t>
      </w:r>
      <w:r w:rsidRPr="007F7B60">
        <w:rPr>
          <w:rFonts w:ascii="Times New Roman" w:hAnsi="Times New Roman" w:cs="Times New Roman"/>
          <w:i/>
          <w:iCs/>
        </w:rPr>
        <w:t>Law enforcement intelligence: A guide for state, local, and tribal law enforcement agencies</w:t>
      </w:r>
      <w:r w:rsidRPr="007F7B60">
        <w:rPr>
          <w:rFonts w:ascii="Times New Roman" w:hAnsi="Times New Roman" w:cs="Times New Roman"/>
        </w:rPr>
        <w:t xml:space="preserve"> (3rd ed.). U.S. Department of Justice. </w:t>
      </w:r>
      <w:hyperlink r:id="rId7" w:tgtFrame="_new" w:history="1">
        <w:r w:rsidRPr="007F7B60">
          <w:rPr>
            <w:rStyle w:val="Hyperlink"/>
            <w:rFonts w:ascii="Times New Roman" w:hAnsi="Times New Roman" w:cs="Times New Roman"/>
          </w:rPr>
          <w:t>https://www.ojp.gov/library/publications/law-enforcement-intelligence-guide-state-local-and-tribal-law-enforcement</w:t>
        </w:r>
      </w:hyperlink>
    </w:p>
    <w:p w14:paraId="6BC1DF65" w14:textId="77777777" w:rsidR="00974E4A" w:rsidRPr="007F7B60" w:rsidRDefault="00974E4A" w:rsidP="00F25DD2">
      <w:pPr>
        <w:spacing w:line="480" w:lineRule="auto"/>
        <w:ind w:left="720" w:hanging="720"/>
        <w:rPr>
          <w:rFonts w:ascii="Times New Roman" w:hAnsi="Times New Roman" w:cs="Times New Roman"/>
        </w:rPr>
      </w:pPr>
      <w:r w:rsidRPr="007F7B60">
        <w:rPr>
          <w:rFonts w:ascii="Times New Roman" w:hAnsi="Times New Roman" w:cs="Times New Roman"/>
        </w:rPr>
        <w:t xml:space="preserve">Davis, L. M., Pollard, M., Ward, K., Wilson, J. M., Varda, D. M., Hansell, L., &amp; Steinberg, P. (2010). Chapter three: The evolution of fusion centers and information-sharing. In </w:t>
      </w:r>
      <w:r w:rsidRPr="007F7B60">
        <w:rPr>
          <w:rFonts w:ascii="Times New Roman" w:hAnsi="Times New Roman" w:cs="Times New Roman"/>
          <w:i/>
          <w:iCs/>
        </w:rPr>
        <w:t>Long-term effects of law enforcement's post-9/11 focus on counterterrorism and homeland security</w:t>
      </w:r>
      <w:r w:rsidRPr="007F7B60">
        <w:rPr>
          <w:rFonts w:ascii="Times New Roman" w:hAnsi="Times New Roman" w:cs="Times New Roman"/>
        </w:rPr>
        <w:t xml:space="preserve"> (pp. 39–58). RAND Corporation. </w:t>
      </w:r>
      <w:hyperlink r:id="rId8" w:tgtFrame="_new" w:history="1">
        <w:r w:rsidRPr="007F7B60">
          <w:rPr>
            <w:rStyle w:val="Hyperlink"/>
            <w:rFonts w:ascii="Times New Roman" w:hAnsi="Times New Roman" w:cs="Times New Roman"/>
          </w:rPr>
          <w:t>https://www.jstor.org/stable/10.7249/mg1031nij.11?seq=1</w:t>
        </w:r>
      </w:hyperlink>
    </w:p>
    <w:p w14:paraId="07A4205A" w14:textId="77777777" w:rsidR="00974E4A" w:rsidRPr="007F7B60" w:rsidRDefault="00974E4A" w:rsidP="00F25DD2">
      <w:pPr>
        <w:spacing w:line="480" w:lineRule="auto"/>
        <w:ind w:left="720" w:hanging="720"/>
        <w:rPr>
          <w:rFonts w:ascii="Times New Roman" w:hAnsi="Times New Roman" w:cs="Times New Roman"/>
        </w:rPr>
      </w:pPr>
      <w:r w:rsidRPr="007F7B60">
        <w:rPr>
          <w:rFonts w:ascii="Times New Roman" w:hAnsi="Times New Roman" w:cs="Times New Roman"/>
        </w:rPr>
        <w:t xml:space="preserve">Grana, G., &amp; Windell, J. (2021). </w:t>
      </w:r>
      <w:r w:rsidRPr="007F7B60">
        <w:rPr>
          <w:rFonts w:ascii="Times New Roman" w:hAnsi="Times New Roman" w:cs="Times New Roman"/>
          <w:i/>
          <w:iCs/>
        </w:rPr>
        <w:t>Crime and intelligence analysis: An integrated real-time approach</w:t>
      </w:r>
      <w:r w:rsidRPr="007F7B60">
        <w:rPr>
          <w:rFonts w:ascii="Times New Roman" w:hAnsi="Times New Roman" w:cs="Times New Roman"/>
        </w:rPr>
        <w:t xml:space="preserve"> (2nd ed.). Routledge.</w:t>
      </w:r>
    </w:p>
    <w:p w14:paraId="3E79DD82" w14:textId="77777777" w:rsidR="00974E4A" w:rsidRPr="007F7B60" w:rsidRDefault="00974E4A" w:rsidP="00F25DD2">
      <w:pPr>
        <w:spacing w:line="480" w:lineRule="auto"/>
        <w:ind w:left="720" w:hanging="720"/>
        <w:rPr>
          <w:rFonts w:ascii="Times New Roman" w:hAnsi="Times New Roman" w:cs="Times New Roman"/>
        </w:rPr>
      </w:pPr>
      <w:r w:rsidRPr="007F7B60">
        <w:rPr>
          <w:rFonts w:ascii="Times New Roman" w:hAnsi="Times New Roman" w:cs="Times New Roman"/>
        </w:rPr>
        <w:t xml:space="preserve">Monahan, T., &amp; Palmer, N. A. (2009). The emerging politics of DHS fusion centers. </w:t>
      </w:r>
      <w:r w:rsidRPr="007F7B60">
        <w:rPr>
          <w:rFonts w:ascii="Times New Roman" w:hAnsi="Times New Roman" w:cs="Times New Roman"/>
          <w:i/>
          <w:iCs/>
        </w:rPr>
        <w:t>Security Dialogue, 40</w:t>
      </w:r>
      <w:r w:rsidRPr="007F7B60">
        <w:rPr>
          <w:rFonts w:ascii="Times New Roman" w:hAnsi="Times New Roman" w:cs="Times New Roman"/>
        </w:rPr>
        <w:t xml:space="preserve">(6), 617–636. </w:t>
      </w:r>
      <w:hyperlink r:id="rId9" w:tgtFrame="_new" w:history="1">
        <w:r w:rsidRPr="007F7B60">
          <w:rPr>
            <w:rStyle w:val="Hyperlink"/>
            <w:rFonts w:ascii="Times New Roman" w:hAnsi="Times New Roman" w:cs="Times New Roman"/>
          </w:rPr>
          <w:t>https://www.jstor.org/stable/26299838</w:t>
        </w:r>
      </w:hyperlink>
    </w:p>
    <w:p w14:paraId="6433A2A2" w14:textId="77777777" w:rsidR="00974E4A" w:rsidRPr="007F7B60" w:rsidRDefault="00974E4A" w:rsidP="00F25DD2">
      <w:pPr>
        <w:spacing w:line="480" w:lineRule="auto"/>
        <w:ind w:left="720" w:hanging="720"/>
        <w:rPr>
          <w:rFonts w:ascii="Times New Roman" w:hAnsi="Times New Roman" w:cs="Times New Roman"/>
        </w:rPr>
      </w:pPr>
      <w:r w:rsidRPr="007F7B60">
        <w:rPr>
          <w:rFonts w:ascii="Times New Roman" w:hAnsi="Times New Roman" w:cs="Times New Roman"/>
        </w:rPr>
        <w:t xml:space="preserve">Regan, P. M., &amp; Monahan, T. (2014). Fusion center accountability and intergovernmental information sharing. </w:t>
      </w:r>
      <w:r w:rsidRPr="007F7B60">
        <w:rPr>
          <w:rFonts w:ascii="Times New Roman" w:hAnsi="Times New Roman" w:cs="Times New Roman"/>
          <w:i/>
          <w:iCs/>
        </w:rPr>
        <w:t>Publius: The Journal of Federalism, 44</w:t>
      </w:r>
      <w:r w:rsidRPr="007F7B60">
        <w:rPr>
          <w:rFonts w:ascii="Times New Roman" w:hAnsi="Times New Roman" w:cs="Times New Roman"/>
        </w:rPr>
        <w:t xml:space="preserve">(3), 475–498. </w:t>
      </w:r>
      <w:hyperlink r:id="rId10" w:tgtFrame="_new" w:history="1">
        <w:r w:rsidRPr="007F7B60">
          <w:rPr>
            <w:rStyle w:val="Hyperlink"/>
            <w:rFonts w:ascii="Times New Roman" w:hAnsi="Times New Roman" w:cs="Times New Roman"/>
          </w:rPr>
          <w:t>https://www.jstor.org/stable/24734668</w:t>
        </w:r>
      </w:hyperlink>
    </w:p>
    <w:p w14:paraId="4458D2B9" w14:textId="2BF31BF6" w:rsidR="0047022B" w:rsidRPr="007F7B60" w:rsidRDefault="00974E4A" w:rsidP="00F25DD2">
      <w:pPr>
        <w:spacing w:line="480" w:lineRule="auto"/>
        <w:rPr>
          <w:rFonts w:ascii="Times New Roman" w:hAnsi="Times New Roman" w:cs="Times New Roman"/>
        </w:rPr>
      </w:pPr>
      <w:r w:rsidRPr="007F7B60">
        <w:rPr>
          <w:rFonts w:ascii="Times New Roman" w:hAnsi="Times New Roman" w:cs="Times New Roman"/>
        </w:rPr>
        <w:lastRenderedPageBreak/>
        <w:t xml:space="preserve">U.S. Department of Homeland Security. (2008). </w:t>
      </w:r>
      <w:r w:rsidRPr="007F7B60">
        <w:rPr>
          <w:rFonts w:ascii="Times New Roman" w:hAnsi="Times New Roman" w:cs="Times New Roman"/>
          <w:i/>
          <w:iCs/>
        </w:rPr>
        <w:t>Baseline capabilities for state and major urban area fusion centers: A supplement to the Fusion Center Guidelines</w:t>
      </w:r>
      <w:r w:rsidRPr="007F7B60">
        <w:rPr>
          <w:rFonts w:ascii="Times New Roman" w:hAnsi="Times New Roman" w:cs="Times New Roman"/>
        </w:rPr>
        <w:t>.</w:t>
      </w:r>
    </w:p>
    <w:sectPr w:rsidR="0047022B" w:rsidRPr="007F7B6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E53B9" w14:textId="77777777" w:rsidR="00056DEC" w:rsidRDefault="00056DEC" w:rsidP="00974E4A">
      <w:pPr>
        <w:spacing w:after="0" w:line="240" w:lineRule="auto"/>
      </w:pPr>
      <w:r>
        <w:separator/>
      </w:r>
    </w:p>
  </w:endnote>
  <w:endnote w:type="continuationSeparator" w:id="0">
    <w:p w14:paraId="1E774BF8" w14:textId="77777777" w:rsidR="00056DEC" w:rsidRDefault="00056DEC" w:rsidP="0097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28BB" w14:textId="77777777" w:rsidR="00056DEC" w:rsidRDefault="00056DEC" w:rsidP="00974E4A">
      <w:pPr>
        <w:spacing w:after="0" w:line="240" w:lineRule="auto"/>
      </w:pPr>
      <w:r>
        <w:separator/>
      </w:r>
    </w:p>
  </w:footnote>
  <w:footnote w:type="continuationSeparator" w:id="0">
    <w:p w14:paraId="64B05364" w14:textId="77777777" w:rsidR="00056DEC" w:rsidRDefault="00056DEC" w:rsidP="00974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1752"/>
      <w:docPartObj>
        <w:docPartGallery w:val="Page Numbers (Top of Page)"/>
        <w:docPartUnique/>
      </w:docPartObj>
    </w:sdtPr>
    <w:sdtEndPr>
      <w:rPr>
        <w:noProof/>
      </w:rPr>
    </w:sdtEndPr>
    <w:sdtContent>
      <w:p w14:paraId="6411F21B" w14:textId="52BFDCB3" w:rsidR="00974E4A" w:rsidRDefault="00974E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16CE0F" w14:textId="77777777" w:rsidR="00974E4A" w:rsidRDefault="00974E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B5"/>
    <w:rsid w:val="00056DEC"/>
    <w:rsid w:val="000F7069"/>
    <w:rsid w:val="001730A8"/>
    <w:rsid w:val="001758B0"/>
    <w:rsid w:val="001A7230"/>
    <w:rsid w:val="002504F3"/>
    <w:rsid w:val="002800C0"/>
    <w:rsid w:val="002B0E35"/>
    <w:rsid w:val="003662E0"/>
    <w:rsid w:val="0047022B"/>
    <w:rsid w:val="00493442"/>
    <w:rsid w:val="005225D0"/>
    <w:rsid w:val="00570B1A"/>
    <w:rsid w:val="00572210"/>
    <w:rsid w:val="00580628"/>
    <w:rsid w:val="005D62CC"/>
    <w:rsid w:val="00610FD9"/>
    <w:rsid w:val="006602FB"/>
    <w:rsid w:val="006604F8"/>
    <w:rsid w:val="006618A3"/>
    <w:rsid w:val="00690934"/>
    <w:rsid w:val="006D36FC"/>
    <w:rsid w:val="006E5FCB"/>
    <w:rsid w:val="00712916"/>
    <w:rsid w:val="007132B8"/>
    <w:rsid w:val="007D0576"/>
    <w:rsid w:val="007F7B60"/>
    <w:rsid w:val="00911E92"/>
    <w:rsid w:val="00973EF1"/>
    <w:rsid w:val="00974E4A"/>
    <w:rsid w:val="00AC6EA6"/>
    <w:rsid w:val="00B56658"/>
    <w:rsid w:val="00BB1146"/>
    <w:rsid w:val="00C5599A"/>
    <w:rsid w:val="00CA1191"/>
    <w:rsid w:val="00D07DCF"/>
    <w:rsid w:val="00D12FAB"/>
    <w:rsid w:val="00D35CC7"/>
    <w:rsid w:val="00E06225"/>
    <w:rsid w:val="00E625FC"/>
    <w:rsid w:val="00E7380D"/>
    <w:rsid w:val="00ED7D98"/>
    <w:rsid w:val="00EF47B5"/>
    <w:rsid w:val="00F25DD2"/>
    <w:rsid w:val="00FB2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1EC4"/>
  <w15:chartTrackingRefBased/>
  <w15:docId w15:val="{E0322FC9-1F77-4FCF-8759-0A605A041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7B5"/>
    <w:rPr>
      <w:rFonts w:eastAsiaTheme="majorEastAsia" w:cstheme="majorBidi"/>
      <w:color w:val="272727" w:themeColor="text1" w:themeTint="D8"/>
    </w:rPr>
  </w:style>
  <w:style w:type="paragraph" w:styleId="Title">
    <w:name w:val="Title"/>
    <w:basedOn w:val="Normal"/>
    <w:next w:val="Normal"/>
    <w:link w:val="TitleChar"/>
    <w:uiPriority w:val="10"/>
    <w:qFormat/>
    <w:rsid w:val="00EF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7B5"/>
    <w:pPr>
      <w:spacing w:before="160"/>
      <w:jc w:val="center"/>
    </w:pPr>
    <w:rPr>
      <w:i/>
      <w:iCs/>
      <w:color w:val="404040" w:themeColor="text1" w:themeTint="BF"/>
    </w:rPr>
  </w:style>
  <w:style w:type="character" w:customStyle="1" w:styleId="QuoteChar">
    <w:name w:val="Quote Char"/>
    <w:basedOn w:val="DefaultParagraphFont"/>
    <w:link w:val="Quote"/>
    <w:uiPriority w:val="29"/>
    <w:rsid w:val="00EF47B5"/>
    <w:rPr>
      <w:i/>
      <w:iCs/>
      <w:color w:val="404040" w:themeColor="text1" w:themeTint="BF"/>
    </w:rPr>
  </w:style>
  <w:style w:type="paragraph" w:styleId="ListParagraph">
    <w:name w:val="List Paragraph"/>
    <w:basedOn w:val="Normal"/>
    <w:uiPriority w:val="34"/>
    <w:qFormat/>
    <w:rsid w:val="00EF47B5"/>
    <w:pPr>
      <w:ind w:left="720"/>
      <w:contextualSpacing/>
    </w:pPr>
  </w:style>
  <w:style w:type="character" w:styleId="IntenseEmphasis">
    <w:name w:val="Intense Emphasis"/>
    <w:basedOn w:val="DefaultParagraphFont"/>
    <w:uiPriority w:val="21"/>
    <w:qFormat/>
    <w:rsid w:val="00EF47B5"/>
    <w:rPr>
      <w:i/>
      <w:iCs/>
      <w:color w:val="0F4761" w:themeColor="accent1" w:themeShade="BF"/>
    </w:rPr>
  </w:style>
  <w:style w:type="paragraph" w:styleId="IntenseQuote">
    <w:name w:val="Intense Quote"/>
    <w:basedOn w:val="Normal"/>
    <w:next w:val="Normal"/>
    <w:link w:val="IntenseQuoteChar"/>
    <w:uiPriority w:val="30"/>
    <w:qFormat/>
    <w:rsid w:val="00EF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7B5"/>
    <w:rPr>
      <w:i/>
      <w:iCs/>
      <w:color w:val="0F4761" w:themeColor="accent1" w:themeShade="BF"/>
    </w:rPr>
  </w:style>
  <w:style w:type="character" w:styleId="IntenseReference">
    <w:name w:val="Intense Reference"/>
    <w:basedOn w:val="DefaultParagraphFont"/>
    <w:uiPriority w:val="32"/>
    <w:qFormat/>
    <w:rsid w:val="00EF47B5"/>
    <w:rPr>
      <w:b/>
      <w:bCs/>
      <w:smallCaps/>
      <w:color w:val="0F4761" w:themeColor="accent1" w:themeShade="BF"/>
      <w:spacing w:val="5"/>
    </w:rPr>
  </w:style>
  <w:style w:type="character" w:styleId="Hyperlink">
    <w:name w:val="Hyperlink"/>
    <w:basedOn w:val="DefaultParagraphFont"/>
    <w:uiPriority w:val="99"/>
    <w:unhideWhenUsed/>
    <w:rsid w:val="00712916"/>
    <w:rPr>
      <w:color w:val="467886" w:themeColor="hyperlink"/>
      <w:u w:val="single"/>
    </w:rPr>
  </w:style>
  <w:style w:type="character" w:styleId="UnresolvedMention">
    <w:name w:val="Unresolved Mention"/>
    <w:basedOn w:val="DefaultParagraphFont"/>
    <w:uiPriority w:val="99"/>
    <w:semiHidden/>
    <w:unhideWhenUsed/>
    <w:rsid w:val="00712916"/>
    <w:rPr>
      <w:color w:val="605E5C"/>
      <w:shd w:val="clear" w:color="auto" w:fill="E1DFDD"/>
    </w:rPr>
  </w:style>
  <w:style w:type="character" w:styleId="FollowedHyperlink">
    <w:name w:val="FollowedHyperlink"/>
    <w:basedOn w:val="DefaultParagraphFont"/>
    <w:uiPriority w:val="99"/>
    <w:semiHidden/>
    <w:unhideWhenUsed/>
    <w:rsid w:val="007132B8"/>
    <w:rPr>
      <w:color w:val="96607D" w:themeColor="followedHyperlink"/>
      <w:u w:val="single"/>
    </w:rPr>
  </w:style>
  <w:style w:type="paragraph" w:styleId="Header">
    <w:name w:val="header"/>
    <w:basedOn w:val="Normal"/>
    <w:link w:val="HeaderChar"/>
    <w:uiPriority w:val="99"/>
    <w:unhideWhenUsed/>
    <w:rsid w:val="00974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E4A"/>
  </w:style>
  <w:style w:type="paragraph" w:styleId="Footer">
    <w:name w:val="footer"/>
    <w:basedOn w:val="Normal"/>
    <w:link w:val="FooterChar"/>
    <w:uiPriority w:val="99"/>
    <w:unhideWhenUsed/>
    <w:rsid w:val="00974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846">
      <w:bodyDiv w:val="1"/>
      <w:marLeft w:val="0"/>
      <w:marRight w:val="0"/>
      <w:marTop w:val="0"/>
      <w:marBottom w:val="0"/>
      <w:divBdr>
        <w:top w:val="none" w:sz="0" w:space="0" w:color="auto"/>
        <w:left w:val="none" w:sz="0" w:space="0" w:color="auto"/>
        <w:bottom w:val="none" w:sz="0" w:space="0" w:color="auto"/>
        <w:right w:val="none" w:sz="0" w:space="0" w:color="auto"/>
      </w:divBdr>
    </w:div>
    <w:div w:id="385879534">
      <w:bodyDiv w:val="1"/>
      <w:marLeft w:val="0"/>
      <w:marRight w:val="0"/>
      <w:marTop w:val="0"/>
      <w:marBottom w:val="0"/>
      <w:divBdr>
        <w:top w:val="none" w:sz="0" w:space="0" w:color="auto"/>
        <w:left w:val="none" w:sz="0" w:space="0" w:color="auto"/>
        <w:bottom w:val="none" w:sz="0" w:space="0" w:color="auto"/>
        <w:right w:val="none" w:sz="0" w:space="0" w:color="auto"/>
      </w:divBdr>
      <w:divsChild>
        <w:div w:id="1608155030">
          <w:marLeft w:val="0"/>
          <w:marRight w:val="0"/>
          <w:marTop w:val="0"/>
          <w:marBottom w:val="0"/>
          <w:divBdr>
            <w:top w:val="none" w:sz="0" w:space="0" w:color="auto"/>
            <w:left w:val="none" w:sz="0" w:space="0" w:color="auto"/>
            <w:bottom w:val="none" w:sz="0" w:space="0" w:color="auto"/>
            <w:right w:val="none" w:sz="0" w:space="0" w:color="auto"/>
          </w:divBdr>
          <w:divsChild>
            <w:div w:id="1947151325">
              <w:marLeft w:val="0"/>
              <w:marRight w:val="0"/>
              <w:marTop w:val="0"/>
              <w:marBottom w:val="0"/>
              <w:divBdr>
                <w:top w:val="none" w:sz="0" w:space="0" w:color="auto"/>
                <w:left w:val="none" w:sz="0" w:space="0" w:color="auto"/>
                <w:bottom w:val="none" w:sz="0" w:space="0" w:color="auto"/>
                <w:right w:val="none" w:sz="0" w:space="0" w:color="auto"/>
              </w:divBdr>
            </w:div>
          </w:divsChild>
        </w:div>
        <w:div w:id="1808235718">
          <w:marLeft w:val="0"/>
          <w:marRight w:val="0"/>
          <w:marTop w:val="0"/>
          <w:marBottom w:val="0"/>
          <w:divBdr>
            <w:top w:val="none" w:sz="0" w:space="0" w:color="auto"/>
            <w:left w:val="none" w:sz="0" w:space="0" w:color="auto"/>
            <w:bottom w:val="none" w:sz="0" w:space="0" w:color="auto"/>
            <w:right w:val="none" w:sz="0" w:space="0" w:color="auto"/>
          </w:divBdr>
          <w:divsChild>
            <w:div w:id="689456022">
              <w:marLeft w:val="0"/>
              <w:marRight w:val="0"/>
              <w:marTop w:val="0"/>
              <w:marBottom w:val="0"/>
              <w:divBdr>
                <w:top w:val="none" w:sz="0" w:space="0" w:color="auto"/>
                <w:left w:val="none" w:sz="0" w:space="0" w:color="auto"/>
                <w:bottom w:val="none" w:sz="0" w:space="0" w:color="auto"/>
                <w:right w:val="none" w:sz="0" w:space="0" w:color="auto"/>
              </w:divBdr>
              <w:divsChild>
                <w:div w:id="202081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0646">
          <w:marLeft w:val="0"/>
          <w:marRight w:val="0"/>
          <w:marTop w:val="0"/>
          <w:marBottom w:val="0"/>
          <w:divBdr>
            <w:top w:val="none" w:sz="0" w:space="0" w:color="auto"/>
            <w:left w:val="none" w:sz="0" w:space="0" w:color="auto"/>
            <w:bottom w:val="none" w:sz="0" w:space="0" w:color="auto"/>
            <w:right w:val="none" w:sz="0" w:space="0" w:color="auto"/>
          </w:divBdr>
          <w:divsChild>
            <w:div w:id="902712896">
              <w:marLeft w:val="0"/>
              <w:marRight w:val="0"/>
              <w:marTop w:val="0"/>
              <w:marBottom w:val="0"/>
              <w:divBdr>
                <w:top w:val="none" w:sz="0" w:space="0" w:color="auto"/>
                <w:left w:val="none" w:sz="0" w:space="0" w:color="auto"/>
                <w:bottom w:val="none" w:sz="0" w:space="0" w:color="auto"/>
                <w:right w:val="none" w:sz="0" w:space="0" w:color="auto"/>
              </w:divBdr>
            </w:div>
            <w:div w:id="449055211">
              <w:marLeft w:val="0"/>
              <w:marRight w:val="0"/>
              <w:marTop w:val="0"/>
              <w:marBottom w:val="0"/>
              <w:divBdr>
                <w:top w:val="none" w:sz="0" w:space="0" w:color="auto"/>
                <w:left w:val="none" w:sz="0" w:space="0" w:color="auto"/>
                <w:bottom w:val="none" w:sz="0" w:space="0" w:color="auto"/>
                <w:right w:val="none" w:sz="0" w:space="0" w:color="auto"/>
              </w:divBdr>
            </w:div>
          </w:divsChild>
        </w:div>
        <w:div w:id="241305447">
          <w:marLeft w:val="0"/>
          <w:marRight w:val="0"/>
          <w:marTop w:val="0"/>
          <w:marBottom w:val="0"/>
          <w:divBdr>
            <w:top w:val="none" w:sz="0" w:space="0" w:color="auto"/>
            <w:left w:val="none" w:sz="0" w:space="0" w:color="auto"/>
            <w:bottom w:val="none" w:sz="0" w:space="0" w:color="auto"/>
            <w:right w:val="none" w:sz="0" w:space="0" w:color="auto"/>
          </w:divBdr>
          <w:divsChild>
            <w:div w:id="1399284630">
              <w:marLeft w:val="0"/>
              <w:marRight w:val="0"/>
              <w:marTop w:val="0"/>
              <w:marBottom w:val="0"/>
              <w:divBdr>
                <w:top w:val="none" w:sz="0" w:space="0" w:color="auto"/>
                <w:left w:val="none" w:sz="0" w:space="0" w:color="auto"/>
                <w:bottom w:val="none" w:sz="0" w:space="0" w:color="auto"/>
                <w:right w:val="none" w:sz="0" w:space="0" w:color="auto"/>
              </w:divBdr>
              <w:divsChild>
                <w:div w:id="1678732911">
                  <w:marLeft w:val="0"/>
                  <w:marRight w:val="0"/>
                  <w:marTop w:val="0"/>
                  <w:marBottom w:val="0"/>
                  <w:divBdr>
                    <w:top w:val="none" w:sz="0" w:space="0" w:color="auto"/>
                    <w:left w:val="none" w:sz="0" w:space="0" w:color="auto"/>
                    <w:bottom w:val="none" w:sz="0" w:space="0" w:color="auto"/>
                    <w:right w:val="none" w:sz="0" w:space="0" w:color="auto"/>
                  </w:divBdr>
                  <w:divsChild>
                    <w:div w:id="1822387323">
                      <w:marLeft w:val="0"/>
                      <w:marRight w:val="0"/>
                      <w:marTop w:val="0"/>
                      <w:marBottom w:val="0"/>
                      <w:divBdr>
                        <w:top w:val="none" w:sz="0" w:space="0" w:color="auto"/>
                        <w:left w:val="none" w:sz="0" w:space="0" w:color="auto"/>
                        <w:bottom w:val="none" w:sz="0" w:space="0" w:color="auto"/>
                        <w:right w:val="none" w:sz="0" w:space="0" w:color="auto"/>
                      </w:divBdr>
                      <w:divsChild>
                        <w:div w:id="1624771467">
                          <w:marLeft w:val="0"/>
                          <w:marRight w:val="0"/>
                          <w:marTop w:val="0"/>
                          <w:marBottom w:val="0"/>
                          <w:divBdr>
                            <w:top w:val="none" w:sz="0" w:space="0" w:color="auto"/>
                            <w:left w:val="none" w:sz="0" w:space="0" w:color="auto"/>
                            <w:bottom w:val="none" w:sz="0" w:space="0" w:color="auto"/>
                            <w:right w:val="none" w:sz="0" w:space="0" w:color="auto"/>
                          </w:divBdr>
                        </w:div>
                        <w:div w:id="1523006800">
                          <w:marLeft w:val="0"/>
                          <w:marRight w:val="0"/>
                          <w:marTop w:val="0"/>
                          <w:marBottom w:val="0"/>
                          <w:divBdr>
                            <w:top w:val="none" w:sz="0" w:space="0" w:color="auto"/>
                            <w:left w:val="none" w:sz="0" w:space="0" w:color="auto"/>
                            <w:bottom w:val="none" w:sz="0" w:space="0" w:color="auto"/>
                            <w:right w:val="none" w:sz="0" w:space="0" w:color="auto"/>
                          </w:divBdr>
                        </w:div>
                        <w:div w:id="1109662451">
                          <w:marLeft w:val="0"/>
                          <w:marRight w:val="0"/>
                          <w:marTop w:val="0"/>
                          <w:marBottom w:val="0"/>
                          <w:divBdr>
                            <w:top w:val="none" w:sz="0" w:space="0" w:color="auto"/>
                            <w:left w:val="none" w:sz="0" w:space="0" w:color="auto"/>
                            <w:bottom w:val="none" w:sz="0" w:space="0" w:color="auto"/>
                            <w:right w:val="none" w:sz="0" w:space="0" w:color="auto"/>
                          </w:divBdr>
                        </w:div>
                        <w:div w:id="1647666343">
                          <w:marLeft w:val="0"/>
                          <w:marRight w:val="0"/>
                          <w:marTop w:val="0"/>
                          <w:marBottom w:val="0"/>
                          <w:divBdr>
                            <w:top w:val="none" w:sz="0" w:space="0" w:color="auto"/>
                            <w:left w:val="none" w:sz="0" w:space="0" w:color="auto"/>
                            <w:bottom w:val="none" w:sz="0" w:space="0" w:color="auto"/>
                            <w:right w:val="none" w:sz="0" w:space="0" w:color="auto"/>
                          </w:divBdr>
                        </w:div>
                        <w:div w:id="21451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222187">
      <w:bodyDiv w:val="1"/>
      <w:marLeft w:val="0"/>
      <w:marRight w:val="0"/>
      <w:marTop w:val="0"/>
      <w:marBottom w:val="0"/>
      <w:divBdr>
        <w:top w:val="none" w:sz="0" w:space="0" w:color="auto"/>
        <w:left w:val="none" w:sz="0" w:space="0" w:color="auto"/>
        <w:bottom w:val="none" w:sz="0" w:space="0" w:color="auto"/>
        <w:right w:val="none" w:sz="0" w:space="0" w:color="auto"/>
      </w:divBdr>
    </w:div>
    <w:div w:id="496268235">
      <w:bodyDiv w:val="1"/>
      <w:marLeft w:val="0"/>
      <w:marRight w:val="0"/>
      <w:marTop w:val="0"/>
      <w:marBottom w:val="0"/>
      <w:divBdr>
        <w:top w:val="none" w:sz="0" w:space="0" w:color="auto"/>
        <w:left w:val="none" w:sz="0" w:space="0" w:color="auto"/>
        <w:bottom w:val="none" w:sz="0" w:space="0" w:color="auto"/>
        <w:right w:val="none" w:sz="0" w:space="0" w:color="auto"/>
      </w:divBdr>
    </w:div>
    <w:div w:id="522287634">
      <w:bodyDiv w:val="1"/>
      <w:marLeft w:val="0"/>
      <w:marRight w:val="0"/>
      <w:marTop w:val="0"/>
      <w:marBottom w:val="0"/>
      <w:divBdr>
        <w:top w:val="none" w:sz="0" w:space="0" w:color="auto"/>
        <w:left w:val="none" w:sz="0" w:space="0" w:color="auto"/>
        <w:bottom w:val="none" w:sz="0" w:space="0" w:color="auto"/>
        <w:right w:val="none" w:sz="0" w:space="0" w:color="auto"/>
      </w:divBdr>
    </w:div>
    <w:div w:id="542445368">
      <w:bodyDiv w:val="1"/>
      <w:marLeft w:val="0"/>
      <w:marRight w:val="0"/>
      <w:marTop w:val="0"/>
      <w:marBottom w:val="0"/>
      <w:divBdr>
        <w:top w:val="none" w:sz="0" w:space="0" w:color="auto"/>
        <w:left w:val="none" w:sz="0" w:space="0" w:color="auto"/>
        <w:bottom w:val="none" w:sz="0" w:space="0" w:color="auto"/>
        <w:right w:val="none" w:sz="0" w:space="0" w:color="auto"/>
      </w:divBdr>
    </w:div>
    <w:div w:id="584847561">
      <w:bodyDiv w:val="1"/>
      <w:marLeft w:val="0"/>
      <w:marRight w:val="0"/>
      <w:marTop w:val="0"/>
      <w:marBottom w:val="0"/>
      <w:divBdr>
        <w:top w:val="none" w:sz="0" w:space="0" w:color="auto"/>
        <w:left w:val="none" w:sz="0" w:space="0" w:color="auto"/>
        <w:bottom w:val="none" w:sz="0" w:space="0" w:color="auto"/>
        <w:right w:val="none" w:sz="0" w:space="0" w:color="auto"/>
      </w:divBdr>
    </w:div>
    <w:div w:id="610478919">
      <w:bodyDiv w:val="1"/>
      <w:marLeft w:val="0"/>
      <w:marRight w:val="0"/>
      <w:marTop w:val="0"/>
      <w:marBottom w:val="0"/>
      <w:divBdr>
        <w:top w:val="none" w:sz="0" w:space="0" w:color="auto"/>
        <w:left w:val="none" w:sz="0" w:space="0" w:color="auto"/>
        <w:bottom w:val="none" w:sz="0" w:space="0" w:color="auto"/>
        <w:right w:val="none" w:sz="0" w:space="0" w:color="auto"/>
      </w:divBdr>
    </w:div>
    <w:div w:id="620039668">
      <w:bodyDiv w:val="1"/>
      <w:marLeft w:val="0"/>
      <w:marRight w:val="0"/>
      <w:marTop w:val="0"/>
      <w:marBottom w:val="0"/>
      <w:divBdr>
        <w:top w:val="none" w:sz="0" w:space="0" w:color="auto"/>
        <w:left w:val="none" w:sz="0" w:space="0" w:color="auto"/>
        <w:bottom w:val="none" w:sz="0" w:space="0" w:color="auto"/>
        <w:right w:val="none" w:sz="0" w:space="0" w:color="auto"/>
      </w:divBdr>
    </w:div>
    <w:div w:id="634717433">
      <w:bodyDiv w:val="1"/>
      <w:marLeft w:val="0"/>
      <w:marRight w:val="0"/>
      <w:marTop w:val="0"/>
      <w:marBottom w:val="0"/>
      <w:divBdr>
        <w:top w:val="none" w:sz="0" w:space="0" w:color="auto"/>
        <w:left w:val="none" w:sz="0" w:space="0" w:color="auto"/>
        <w:bottom w:val="none" w:sz="0" w:space="0" w:color="auto"/>
        <w:right w:val="none" w:sz="0" w:space="0" w:color="auto"/>
      </w:divBdr>
      <w:divsChild>
        <w:div w:id="344016961">
          <w:marLeft w:val="0"/>
          <w:marRight w:val="0"/>
          <w:marTop w:val="0"/>
          <w:marBottom w:val="0"/>
          <w:divBdr>
            <w:top w:val="none" w:sz="0" w:space="0" w:color="auto"/>
            <w:left w:val="none" w:sz="0" w:space="0" w:color="auto"/>
            <w:bottom w:val="none" w:sz="0" w:space="0" w:color="auto"/>
            <w:right w:val="none" w:sz="0" w:space="0" w:color="auto"/>
          </w:divBdr>
          <w:divsChild>
            <w:div w:id="1171795395">
              <w:marLeft w:val="0"/>
              <w:marRight w:val="0"/>
              <w:marTop w:val="0"/>
              <w:marBottom w:val="0"/>
              <w:divBdr>
                <w:top w:val="none" w:sz="0" w:space="0" w:color="auto"/>
                <w:left w:val="none" w:sz="0" w:space="0" w:color="auto"/>
                <w:bottom w:val="none" w:sz="0" w:space="0" w:color="auto"/>
                <w:right w:val="none" w:sz="0" w:space="0" w:color="auto"/>
              </w:divBdr>
            </w:div>
          </w:divsChild>
        </w:div>
        <w:div w:id="1184514241">
          <w:marLeft w:val="0"/>
          <w:marRight w:val="0"/>
          <w:marTop w:val="0"/>
          <w:marBottom w:val="0"/>
          <w:divBdr>
            <w:top w:val="none" w:sz="0" w:space="0" w:color="auto"/>
            <w:left w:val="none" w:sz="0" w:space="0" w:color="auto"/>
            <w:bottom w:val="none" w:sz="0" w:space="0" w:color="auto"/>
            <w:right w:val="none" w:sz="0" w:space="0" w:color="auto"/>
          </w:divBdr>
          <w:divsChild>
            <w:div w:id="1299217548">
              <w:marLeft w:val="0"/>
              <w:marRight w:val="0"/>
              <w:marTop w:val="0"/>
              <w:marBottom w:val="0"/>
              <w:divBdr>
                <w:top w:val="none" w:sz="0" w:space="0" w:color="auto"/>
                <w:left w:val="none" w:sz="0" w:space="0" w:color="auto"/>
                <w:bottom w:val="none" w:sz="0" w:space="0" w:color="auto"/>
                <w:right w:val="none" w:sz="0" w:space="0" w:color="auto"/>
              </w:divBdr>
              <w:divsChild>
                <w:div w:id="10309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6798">
          <w:marLeft w:val="0"/>
          <w:marRight w:val="0"/>
          <w:marTop w:val="0"/>
          <w:marBottom w:val="0"/>
          <w:divBdr>
            <w:top w:val="none" w:sz="0" w:space="0" w:color="auto"/>
            <w:left w:val="none" w:sz="0" w:space="0" w:color="auto"/>
            <w:bottom w:val="none" w:sz="0" w:space="0" w:color="auto"/>
            <w:right w:val="none" w:sz="0" w:space="0" w:color="auto"/>
          </w:divBdr>
          <w:divsChild>
            <w:div w:id="253518515">
              <w:marLeft w:val="0"/>
              <w:marRight w:val="0"/>
              <w:marTop w:val="0"/>
              <w:marBottom w:val="0"/>
              <w:divBdr>
                <w:top w:val="none" w:sz="0" w:space="0" w:color="auto"/>
                <w:left w:val="none" w:sz="0" w:space="0" w:color="auto"/>
                <w:bottom w:val="none" w:sz="0" w:space="0" w:color="auto"/>
                <w:right w:val="none" w:sz="0" w:space="0" w:color="auto"/>
              </w:divBdr>
            </w:div>
            <w:div w:id="614751543">
              <w:marLeft w:val="0"/>
              <w:marRight w:val="0"/>
              <w:marTop w:val="0"/>
              <w:marBottom w:val="0"/>
              <w:divBdr>
                <w:top w:val="none" w:sz="0" w:space="0" w:color="auto"/>
                <w:left w:val="none" w:sz="0" w:space="0" w:color="auto"/>
                <w:bottom w:val="none" w:sz="0" w:space="0" w:color="auto"/>
                <w:right w:val="none" w:sz="0" w:space="0" w:color="auto"/>
              </w:divBdr>
            </w:div>
          </w:divsChild>
        </w:div>
        <w:div w:id="1515150733">
          <w:marLeft w:val="0"/>
          <w:marRight w:val="0"/>
          <w:marTop w:val="0"/>
          <w:marBottom w:val="0"/>
          <w:divBdr>
            <w:top w:val="none" w:sz="0" w:space="0" w:color="auto"/>
            <w:left w:val="none" w:sz="0" w:space="0" w:color="auto"/>
            <w:bottom w:val="none" w:sz="0" w:space="0" w:color="auto"/>
            <w:right w:val="none" w:sz="0" w:space="0" w:color="auto"/>
          </w:divBdr>
          <w:divsChild>
            <w:div w:id="2054621751">
              <w:marLeft w:val="0"/>
              <w:marRight w:val="0"/>
              <w:marTop w:val="0"/>
              <w:marBottom w:val="0"/>
              <w:divBdr>
                <w:top w:val="none" w:sz="0" w:space="0" w:color="auto"/>
                <w:left w:val="none" w:sz="0" w:space="0" w:color="auto"/>
                <w:bottom w:val="none" w:sz="0" w:space="0" w:color="auto"/>
                <w:right w:val="none" w:sz="0" w:space="0" w:color="auto"/>
              </w:divBdr>
              <w:divsChild>
                <w:div w:id="1127698054">
                  <w:marLeft w:val="0"/>
                  <w:marRight w:val="0"/>
                  <w:marTop w:val="0"/>
                  <w:marBottom w:val="0"/>
                  <w:divBdr>
                    <w:top w:val="none" w:sz="0" w:space="0" w:color="auto"/>
                    <w:left w:val="none" w:sz="0" w:space="0" w:color="auto"/>
                    <w:bottom w:val="none" w:sz="0" w:space="0" w:color="auto"/>
                    <w:right w:val="none" w:sz="0" w:space="0" w:color="auto"/>
                  </w:divBdr>
                  <w:divsChild>
                    <w:div w:id="968165375">
                      <w:marLeft w:val="0"/>
                      <w:marRight w:val="0"/>
                      <w:marTop w:val="0"/>
                      <w:marBottom w:val="0"/>
                      <w:divBdr>
                        <w:top w:val="none" w:sz="0" w:space="0" w:color="auto"/>
                        <w:left w:val="none" w:sz="0" w:space="0" w:color="auto"/>
                        <w:bottom w:val="none" w:sz="0" w:space="0" w:color="auto"/>
                        <w:right w:val="none" w:sz="0" w:space="0" w:color="auto"/>
                      </w:divBdr>
                      <w:divsChild>
                        <w:div w:id="622347566">
                          <w:marLeft w:val="0"/>
                          <w:marRight w:val="0"/>
                          <w:marTop w:val="0"/>
                          <w:marBottom w:val="0"/>
                          <w:divBdr>
                            <w:top w:val="none" w:sz="0" w:space="0" w:color="auto"/>
                            <w:left w:val="none" w:sz="0" w:space="0" w:color="auto"/>
                            <w:bottom w:val="none" w:sz="0" w:space="0" w:color="auto"/>
                            <w:right w:val="none" w:sz="0" w:space="0" w:color="auto"/>
                          </w:divBdr>
                        </w:div>
                        <w:div w:id="40174412">
                          <w:marLeft w:val="0"/>
                          <w:marRight w:val="0"/>
                          <w:marTop w:val="0"/>
                          <w:marBottom w:val="0"/>
                          <w:divBdr>
                            <w:top w:val="none" w:sz="0" w:space="0" w:color="auto"/>
                            <w:left w:val="none" w:sz="0" w:space="0" w:color="auto"/>
                            <w:bottom w:val="none" w:sz="0" w:space="0" w:color="auto"/>
                            <w:right w:val="none" w:sz="0" w:space="0" w:color="auto"/>
                          </w:divBdr>
                        </w:div>
                        <w:div w:id="1901937422">
                          <w:marLeft w:val="0"/>
                          <w:marRight w:val="0"/>
                          <w:marTop w:val="0"/>
                          <w:marBottom w:val="0"/>
                          <w:divBdr>
                            <w:top w:val="none" w:sz="0" w:space="0" w:color="auto"/>
                            <w:left w:val="none" w:sz="0" w:space="0" w:color="auto"/>
                            <w:bottom w:val="none" w:sz="0" w:space="0" w:color="auto"/>
                            <w:right w:val="none" w:sz="0" w:space="0" w:color="auto"/>
                          </w:divBdr>
                        </w:div>
                        <w:div w:id="319888928">
                          <w:marLeft w:val="0"/>
                          <w:marRight w:val="0"/>
                          <w:marTop w:val="0"/>
                          <w:marBottom w:val="0"/>
                          <w:divBdr>
                            <w:top w:val="none" w:sz="0" w:space="0" w:color="auto"/>
                            <w:left w:val="none" w:sz="0" w:space="0" w:color="auto"/>
                            <w:bottom w:val="none" w:sz="0" w:space="0" w:color="auto"/>
                            <w:right w:val="none" w:sz="0" w:space="0" w:color="auto"/>
                          </w:divBdr>
                        </w:div>
                        <w:div w:id="13681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496162">
      <w:bodyDiv w:val="1"/>
      <w:marLeft w:val="0"/>
      <w:marRight w:val="0"/>
      <w:marTop w:val="0"/>
      <w:marBottom w:val="0"/>
      <w:divBdr>
        <w:top w:val="none" w:sz="0" w:space="0" w:color="auto"/>
        <w:left w:val="none" w:sz="0" w:space="0" w:color="auto"/>
        <w:bottom w:val="none" w:sz="0" w:space="0" w:color="auto"/>
        <w:right w:val="none" w:sz="0" w:space="0" w:color="auto"/>
      </w:divBdr>
    </w:div>
    <w:div w:id="1043484958">
      <w:bodyDiv w:val="1"/>
      <w:marLeft w:val="0"/>
      <w:marRight w:val="0"/>
      <w:marTop w:val="0"/>
      <w:marBottom w:val="0"/>
      <w:divBdr>
        <w:top w:val="none" w:sz="0" w:space="0" w:color="auto"/>
        <w:left w:val="none" w:sz="0" w:space="0" w:color="auto"/>
        <w:bottom w:val="none" w:sz="0" w:space="0" w:color="auto"/>
        <w:right w:val="none" w:sz="0" w:space="0" w:color="auto"/>
      </w:divBdr>
    </w:div>
    <w:div w:id="1078018440">
      <w:bodyDiv w:val="1"/>
      <w:marLeft w:val="0"/>
      <w:marRight w:val="0"/>
      <w:marTop w:val="0"/>
      <w:marBottom w:val="0"/>
      <w:divBdr>
        <w:top w:val="none" w:sz="0" w:space="0" w:color="auto"/>
        <w:left w:val="none" w:sz="0" w:space="0" w:color="auto"/>
        <w:bottom w:val="none" w:sz="0" w:space="0" w:color="auto"/>
        <w:right w:val="none" w:sz="0" w:space="0" w:color="auto"/>
      </w:divBdr>
    </w:div>
    <w:div w:id="1113596651">
      <w:bodyDiv w:val="1"/>
      <w:marLeft w:val="0"/>
      <w:marRight w:val="0"/>
      <w:marTop w:val="0"/>
      <w:marBottom w:val="0"/>
      <w:divBdr>
        <w:top w:val="none" w:sz="0" w:space="0" w:color="auto"/>
        <w:left w:val="none" w:sz="0" w:space="0" w:color="auto"/>
        <w:bottom w:val="none" w:sz="0" w:space="0" w:color="auto"/>
        <w:right w:val="none" w:sz="0" w:space="0" w:color="auto"/>
      </w:divBdr>
    </w:div>
    <w:div w:id="1139229259">
      <w:bodyDiv w:val="1"/>
      <w:marLeft w:val="0"/>
      <w:marRight w:val="0"/>
      <w:marTop w:val="0"/>
      <w:marBottom w:val="0"/>
      <w:divBdr>
        <w:top w:val="none" w:sz="0" w:space="0" w:color="auto"/>
        <w:left w:val="none" w:sz="0" w:space="0" w:color="auto"/>
        <w:bottom w:val="none" w:sz="0" w:space="0" w:color="auto"/>
        <w:right w:val="none" w:sz="0" w:space="0" w:color="auto"/>
      </w:divBdr>
    </w:div>
    <w:div w:id="1251156056">
      <w:bodyDiv w:val="1"/>
      <w:marLeft w:val="0"/>
      <w:marRight w:val="0"/>
      <w:marTop w:val="0"/>
      <w:marBottom w:val="0"/>
      <w:divBdr>
        <w:top w:val="none" w:sz="0" w:space="0" w:color="auto"/>
        <w:left w:val="none" w:sz="0" w:space="0" w:color="auto"/>
        <w:bottom w:val="none" w:sz="0" w:space="0" w:color="auto"/>
        <w:right w:val="none" w:sz="0" w:space="0" w:color="auto"/>
      </w:divBdr>
    </w:div>
    <w:div w:id="1258322505">
      <w:bodyDiv w:val="1"/>
      <w:marLeft w:val="0"/>
      <w:marRight w:val="0"/>
      <w:marTop w:val="0"/>
      <w:marBottom w:val="0"/>
      <w:divBdr>
        <w:top w:val="none" w:sz="0" w:space="0" w:color="auto"/>
        <w:left w:val="none" w:sz="0" w:space="0" w:color="auto"/>
        <w:bottom w:val="none" w:sz="0" w:space="0" w:color="auto"/>
        <w:right w:val="none" w:sz="0" w:space="0" w:color="auto"/>
      </w:divBdr>
    </w:div>
    <w:div w:id="1270552506">
      <w:bodyDiv w:val="1"/>
      <w:marLeft w:val="0"/>
      <w:marRight w:val="0"/>
      <w:marTop w:val="0"/>
      <w:marBottom w:val="0"/>
      <w:divBdr>
        <w:top w:val="none" w:sz="0" w:space="0" w:color="auto"/>
        <w:left w:val="none" w:sz="0" w:space="0" w:color="auto"/>
        <w:bottom w:val="none" w:sz="0" w:space="0" w:color="auto"/>
        <w:right w:val="none" w:sz="0" w:space="0" w:color="auto"/>
      </w:divBdr>
    </w:div>
    <w:div w:id="1369065963">
      <w:bodyDiv w:val="1"/>
      <w:marLeft w:val="0"/>
      <w:marRight w:val="0"/>
      <w:marTop w:val="0"/>
      <w:marBottom w:val="0"/>
      <w:divBdr>
        <w:top w:val="none" w:sz="0" w:space="0" w:color="auto"/>
        <w:left w:val="none" w:sz="0" w:space="0" w:color="auto"/>
        <w:bottom w:val="none" w:sz="0" w:space="0" w:color="auto"/>
        <w:right w:val="none" w:sz="0" w:space="0" w:color="auto"/>
      </w:divBdr>
    </w:div>
    <w:div w:id="1444035979">
      <w:bodyDiv w:val="1"/>
      <w:marLeft w:val="0"/>
      <w:marRight w:val="0"/>
      <w:marTop w:val="0"/>
      <w:marBottom w:val="0"/>
      <w:divBdr>
        <w:top w:val="none" w:sz="0" w:space="0" w:color="auto"/>
        <w:left w:val="none" w:sz="0" w:space="0" w:color="auto"/>
        <w:bottom w:val="none" w:sz="0" w:space="0" w:color="auto"/>
        <w:right w:val="none" w:sz="0" w:space="0" w:color="auto"/>
      </w:divBdr>
    </w:div>
    <w:div w:id="1560559366">
      <w:bodyDiv w:val="1"/>
      <w:marLeft w:val="0"/>
      <w:marRight w:val="0"/>
      <w:marTop w:val="0"/>
      <w:marBottom w:val="0"/>
      <w:divBdr>
        <w:top w:val="none" w:sz="0" w:space="0" w:color="auto"/>
        <w:left w:val="none" w:sz="0" w:space="0" w:color="auto"/>
        <w:bottom w:val="none" w:sz="0" w:space="0" w:color="auto"/>
        <w:right w:val="none" w:sz="0" w:space="0" w:color="auto"/>
      </w:divBdr>
    </w:div>
    <w:div w:id="1568110675">
      <w:bodyDiv w:val="1"/>
      <w:marLeft w:val="0"/>
      <w:marRight w:val="0"/>
      <w:marTop w:val="0"/>
      <w:marBottom w:val="0"/>
      <w:divBdr>
        <w:top w:val="none" w:sz="0" w:space="0" w:color="auto"/>
        <w:left w:val="none" w:sz="0" w:space="0" w:color="auto"/>
        <w:bottom w:val="none" w:sz="0" w:space="0" w:color="auto"/>
        <w:right w:val="none" w:sz="0" w:space="0" w:color="auto"/>
      </w:divBdr>
    </w:div>
    <w:div w:id="1570576346">
      <w:bodyDiv w:val="1"/>
      <w:marLeft w:val="0"/>
      <w:marRight w:val="0"/>
      <w:marTop w:val="0"/>
      <w:marBottom w:val="0"/>
      <w:divBdr>
        <w:top w:val="none" w:sz="0" w:space="0" w:color="auto"/>
        <w:left w:val="none" w:sz="0" w:space="0" w:color="auto"/>
        <w:bottom w:val="none" w:sz="0" w:space="0" w:color="auto"/>
        <w:right w:val="none" w:sz="0" w:space="0" w:color="auto"/>
      </w:divBdr>
    </w:div>
    <w:div w:id="1738822118">
      <w:bodyDiv w:val="1"/>
      <w:marLeft w:val="0"/>
      <w:marRight w:val="0"/>
      <w:marTop w:val="0"/>
      <w:marBottom w:val="0"/>
      <w:divBdr>
        <w:top w:val="none" w:sz="0" w:space="0" w:color="auto"/>
        <w:left w:val="none" w:sz="0" w:space="0" w:color="auto"/>
        <w:bottom w:val="none" w:sz="0" w:space="0" w:color="auto"/>
        <w:right w:val="none" w:sz="0" w:space="0" w:color="auto"/>
      </w:divBdr>
    </w:div>
    <w:div w:id="1762800377">
      <w:bodyDiv w:val="1"/>
      <w:marLeft w:val="0"/>
      <w:marRight w:val="0"/>
      <w:marTop w:val="0"/>
      <w:marBottom w:val="0"/>
      <w:divBdr>
        <w:top w:val="none" w:sz="0" w:space="0" w:color="auto"/>
        <w:left w:val="none" w:sz="0" w:space="0" w:color="auto"/>
        <w:bottom w:val="none" w:sz="0" w:space="0" w:color="auto"/>
        <w:right w:val="none" w:sz="0" w:space="0" w:color="auto"/>
      </w:divBdr>
    </w:div>
    <w:div w:id="1768770873">
      <w:bodyDiv w:val="1"/>
      <w:marLeft w:val="0"/>
      <w:marRight w:val="0"/>
      <w:marTop w:val="0"/>
      <w:marBottom w:val="0"/>
      <w:divBdr>
        <w:top w:val="none" w:sz="0" w:space="0" w:color="auto"/>
        <w:left w:val="none" w:sz="0" w:space="0" w:color="auto"/>
        <w:bottom w:val="none" w:sz="0" w:space="0" w:color="auto"/>
        <w:right w:val="none" w:sz="0" w:space="0" w:color="auto"/>
      </w:divBdr>
    </w:div>
    <w:div w:id="1810390909">
      <w:bodyDiv w:val="1"/>
      <w:marLeft w:val="0"/>
      <w:marRight w:val="0"/>
      <w:marTop w:val="0"/>
      <w:marBottom w:val="0"/>
      <w:divBdr>
        <w:top w:val="none" w:sz="0" w:space="0" w:color="auto"/>
        <w:left w:val="none" w:sz="0" w:space="0" w:color="auto"/>
        <w:bottom w:val="none" w:sz="0" w:space="0" w:color="auto"/>
        <w:right w:val="none" w:sz="0" w:space="0" w:color="auto"/>
      </w:divBdr>
    </w:div>
    <w:div w:id="1991667760">
      <w:bodyDiv w:val="1"/>
      <w:marLeft w:val="0"/>
      <w:marRight w:val="0"/>
      <w:marTop w:val="0"/>
      <w:marBottom w:val="0"/>
      <w:divBdr>
        <w:top w:val="none" w:sz="0" w:space="0" w:color="auto"/>
        <w:left w:val="none" w:sz="0" w:space="0" w:color="auto"/>
        <w:bottom w:val="none" w:sz="0" w:space="0" w:color="auto"/>
        <w:right w:val="none" w:sz="0" w:space="0" w:color="auto"/>
      </w:divBdr>
    </w:div>
    <w:div w:id="212226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7249/mg1031nij.11?seq=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ojp.gov/library/publications/law-enforcement-intelligence-guide-state-local-and-tribal-law-enforc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ja.ojp.gov/sites/g/files/xyckuh186/files/media/document/fusion_center_guidelines.pdf"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jstor.org/stable/24734668" TargetMode="External"/><Relationship Id="rId4" Type="http://schemas.openxmlformats.org/officeDocument/2006/relationships/footnotes" Target="footnotes.xml"/><Relationship Id="rId9" Type="http://schemas.openxmlformats.org/officeDocument/2006/relationships/hyperlink" Target="https://www.jstor.org/stable/262998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8</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28</cp:revision>
  <dcterms:created xsi:type="dcterms:W3CDTF">2025-04-06T16:53:00Z</dcterms:created>
  <dcterms:modified xsi:type="dcterms:W3CDTF">2025-04-14T00:42:00Z</dcterms:modified>
</cp:coreProperties>
</file>