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01E5D" w14:textId="7A8C7666" w:rsidR="007E7B20" w:rsidRPr="0086621F" w:rsidRDefault="007E7B20" w:rsidP="007E7B20">
      <w:pPr>
        <w:rPr>
          <w:rFonts w:ascii="Times New Roman" w:hAnsi="Times New Roman" w:cs="Times New Roman"/>
          <w:b/>
          <w:bCs/>
        </w:rPr>
      </w:pPr>
      <w:r w:rsidRPr="0086621F">
        <w:rPr>
          <w:rFonts w:ascii="Times New Roman" w:hAnsi="Times New Roman" w:cs="Times New Roman"/>
          <w:b/>
          <w:bCs/>
        </w:rPr>
        <w:t>1. Compare and contrast procedural differences between adult and juvenile court proceedings? Should juveniles be transferred to adult court?</w:t>
      </w:r>
    </w:p>
    <w:p w14:paraId="275736EB" w14:textId="14F29EE4" w:rsidR="006D06E1" w:rsidRPr="0086621F" w:rsidRDefault="00693C8B" w:rsidP="00BF517D">
      <w:pPr>
        <w:ind w:firstLine="720"/>
        <w:rPr>
          <w:rFonts w:ascii="Times New Roman" w:hAnsi="Times New Roman" w:cs="Times New Roman"/>
        </w:rPr>
      </w:pPr>
      <w:r w:rsidRPr="0086621F">
        <w:rPr>
          <w:rFonts w:ascii="Times New Roman" w:hAnsi="Times New Roman" w:cs="Times New Roman"/>
        </w:rPr>
        <w:t>Some</w:t>
      </w:r>
      <w:r w:rsidR="006D06E1" w:rsidRPr="0086621F">
        <w:rPr>
          <w:rFonts w:ascii="Times New Roman" w:hAnsi="Times New Roman" w:cs="Times New Roman"/>
        </w:rPr>
        <w:t xml:space="preserve"> of the differences between the court proceedings is the age</w:t>
      </w:r>
      <w:r w:rsidRPr="0086621F">
        <w:rPr>
          <w:rFonts w:ascii="Times New Roman" w:hAnsi="Times New Roman" w:cs="Times New Roman"/>
        </w:rPr>
        <w:t>, terminology used, purpose and focus, and the procedures. With the age difference anyone aged 18 or older is considered an adult, while juvenile court handles cases for individuals under the age of 18, with this exact age limit varying by state to state.</w:t>
      </w:r>
      <w:r w:rsidR="00BF517D" w:rsidRPr="0086621F">
        <w:rPr>
          <w:rFonts w:ascii="Times New Roman" w:hAnsi="Times New Roman" w:cs="Times New Roman"/>
        </w:rPr>
        <w:t xml:space="preserve"> In adult court, individuals are typically referred to as defendants and are presumed innocent until proven guilty. The trials follow a more formal, adversarial process, with a judge overseeing the proceedings. Juveniles are referred to as delinquents and are not usually entitled to a jury trial. There proceedings are less formal with no jury and the focus being more on helping the juvenile.</w:t>
      </w:r>
      <w:r w:rsidR="006D06E1" w:rsidRPr="0086621F">
        <w:rPr>
          <w:rFonts w:ascii="Times New Roman" w:hAnsi="Times New Roman" w:cs="Times New Roman"/>
        </w:rPr>
        <w:t xml:space="preserve"> The adult justice system focuses on punishment and deterrence, where their goal is to hold individuals accountable for their actions and impose appropriate sentences based on the severity of the crime. Juvenile courts aim for rehabilitation and restorative justice, with their goal being to address the underlying issues contributing to the juvenile’s behavior</w:t>
      </w:r>
      <w:r w:rsidR="00BF517D" w:rsidRPr="0086621F">
        <w:rPr>
          <w:rFonts w:ascii="Times New Roman" w:hAnsi="Times New Roman" w:cs="Times New Roman"/>
        </w:rPr>
        <w:t xml:space="preserve"> (Siegel &amp; Worrall, 2016).</w:t>
      </w:r>
    </w:p>
    <w:p w14:paraId="7EC6A9C5" w14:textId="0A87C08D" w:rsidR="006D06E1" w:rsidRPr="0086621F" w:rsidRDefault="006D06E1" w:rsidP="00BF517D">
      <w:pPr>
        <w:ind w:firstLine="720"/>
        <w:rPr>
          <w:rFonts w:ascii="Times New Roman" w:hAnsi="Times New Roman" w:cs="Times New Roman"/>
          <w:b/>
          <w:bCs/>
        </w:rPr>
      </w:pPr>
      <w:r w:rsidRPr="0086621F">
        <w:rPr>
          <w:rFonts w:ascii="Times New Roman" w:hAnsi="Times New Roman" w:cs="Times New Roman"/>
        </w:rPr>
        <w:t>The decision to transfer juveniles to adult court should be made cautiously. While there are valid concerns about serious offenses and the need to protect public safety, research supports a rehabilitative approach for most young offenders. Juvenile courts, with their focus on rehabilitation and the acknowledgment of developmental differences, are better suited for addressing the needs of juveniles. Transferring juveniles to adult court should be reserved for the most extreme cases, where rehabilitation is unlikely, and public safety demands it</w:t>
      </w:r>
      <w:r w:rsidR="00BF517D" w:rsidRPr="0086621F">
        <w:rPr>
          <w:rFonts w:ascii="Times New Roman" w:hAnsi="Times New Roman" w:cs="Times New Roman"/>
        </w:rPr>
        <w:t xml:space="preserve"> (Siegel &amp; Worrall, 2016).</w:t>
      </w:r>
    </w:p>
    <w:p w14:paraId="4D1F100C" w14:textId="77777777" w:rsidR="007E7B20" w:rsidRPr="0086621F" w:rsidRDefault="007E7B20" w:rsidP="007E7B20">
      <w:pPr>
        <w:rPr>
          <w:rFonts w:ascii="Times New Roman" w:hAnsi="Times New Roman" w:cs="Times New Roman"/>
          <w:b/>
          <w:bCs/>
        </w:rPr>
      </w:pPr>
      <w:r w:rsidRPr="0086621F">
        <w:rPr>
          <w:rFonts w:ascii="Times New Roman" w:hAnsi="Times New Roman" w:cs="Times New Roman"/>
          <w:b/>
          <w:bCs/>
        </w:rPr>
        <w:t>2. What emerging crime do you see as the biggest threat in the new millennium?  Why?</w:t>
      </w:r>
    </w:p>
    <w:p w14:paraId="06C8A504" w14:textId="710FB15F" w:rsidR="007E7B20" w:rsidRPr="0086621F" w:rsidRDefault="0086621F" w:rsidP="0086621F">
      <w:pPr>
        <w:ind w:firstLine="720"/>
        <w:rPr>
          <w:rFonts w:ascii="Times New Roman" w:hAnsi="Times New Roman" w:cs="Times New Roman"/>
        </w:rPr>
      </w:pPr>
      <w:r w:rsidRPr="0086621F">
        <w:rPr>
          <w:rFonts w:ascii="Times New Roman" w:hAnsi="Times New Roman" w:cs="Times New Roman"/>
        </w:rPr>
        <w:t xml:space="preserve">Cybercrime, particularly </w:t>
      </w:r>
      <w:r>
        <w:rPr>
          <w:rFonts w:ascii="Times New Roman" w:hAnsi="Times New Roman" w:cs="Times New Roman"/>
        </w:rPr>
        <w:t>phishing, ransomware</w:t>
      </w:r>
      <w:r w:rsidRPr="0086621F">
        <w:rPr>
          <w:rFonts w:ascii="Times New Roman" w:hAnsi="Times New Roman" w:cs="Times New Roman"/>
        </w:rPr>
        <w:t xml:space="preserve"> and data breaches, is emerging as the biggest threat in the new millennium due to the increasing reliance on digital systems and the internet. As more personal, business, and critical infrastructure data are stored online, cybercriminals exploit vulnerabilities to steal information, disrupt services, or demand ransoms. Ransomware attacks have become especially concerning, targeting essential sectors like healthcare and government, while data breaches lead to widespread identity theft. The global nature and sophistication of cybercrime make it difficult to combat, with criminals operating across borders and taking advantage of weak cybersecurity defenses. As society becomes more interconnected, the consequences of cybercrim</w:t>
      </w:r>
      <w:r w:rsidRPr="0086621F">
        <w:rPr>
          <w:rFonts w:ascii="Times New Roman" w:hAnsi="Times New Roman" w:cs="Times New Roman"/>
        </w:rPr>
        <w:t xml:space="preserve">e </w:t>
      </w:r>
      <w:r w:rsidRPr="0086621F">
        <w:rPr>
          <w:rFonts w:ascii="Times New Roman" w:hAnsi="Times New Roman" w:cs="Times New Roman"/>
        </w:rPr>
        <w:t>such as economic disruption and harm to public safety</w:t>
      </w:r>
      <w:r w:rsidRPr="0086621F">
        <w:rPr>
          <w:rFonts w:ascii="Times New Roman" w:hAnsi="Times New Roman" w:cs="Times New Roman"/>
        </w:rPr>
        <w:t xml:space="preserve"> </w:t>
      </w:r>
      <w:r w:rsidRPr="0086621F">
        <w:rPr>
          <w:rFonts w:ascii="Times New Roman" w:hAnsi="Times New Roman" w:cs="Times New Roman"/>
        </w:rPr>
        <w:t>are growing, making cybersecurity a critical priority</w:t>
      </w:r>
      <w:r w:rsidRPr="0086621F">
        <w:rPr>
          <w:rFonts w:ascii="Times New Roman" w:hAnsi="Times New Roman" w:cs="Times New Roman"/>
        </w:rPr>
        <w:t xml:space="preserve"> (Siegel &amp; Worrall, 2016).</w:t>
      </w:r>
    </w:p>
    <w:p w14:paraId="28AC3268" w14:textId="3BB76C75" w:rsidR="007E7B20" w:rsidRPr="00AD2643" w:rsidRDefault="007E7B20" w:rsidP="007E7B20">
      <w:pPr>
        <w:jc w:val="center"/>
        <w:rPr>
          <w:rFonts w:ascii="Times New Roman" w:hAnsi="Times New Roman" w:cs="Times New Roman"/>
        </w:rPr>
      </w:pPr>
      <w:r w:rsidRPr="00AD2643">
        <w:rPr>
          <w:rFonts w:ascii="Times New Roman" w:hAnsi="Times New Roman" w:cs="Times New Roman"/>
        </w:rPr>
        <w:t>References</w:t>
      </w:r>
    </w:p>
    <w:p w14:paraId="711676C7" w14:textId="77777777" w:rsidR="007E7B20" w:rsidRDefault="007E7B20" w:rsidP="007E7B20">
      <w:pPr>
        <w:spacing w:line="480" w:lineRule="auto"/>
        <w:ind w:left="720" w:hanging="720"/>
        <w:rPr>
          <w:rFonts w:ascii="Times New Roman" w:hAnsi="Times New Roman" w:cs="Times New Roman"/>
        </w:rPr>
      </w:pPr>
      <w:r w:rsidRPr="00AD2643">
        <w:rPr>
          <w:rFonts w:ascii="Times New Roman" w:hAnsi="Times New Roman" w:cs="Times New Roman"/>
        </w:rPr>
        <w:t xml:space="preserve">Siegel, L. J., &amp; Worrall, J. L. (2016). </w:t>
      </w:r>
      <w:r w:rsidRPr="00AD2643">
        <w:rPr>
          <w:rFonts w:ascii="Times New Roman" w:hAnsi="Times New Roman" w:cs="Times New Roman"/>
          <w:i/>
          <w:iCs/>
        </w:rPr>
        <w:t>Introduction to Criminal Justice</w:t>
      </w:r>
      <w:r w:rsidRPr="00AD2643">
        <w:rPr>
          <w:rFonts w:ascii="Times New Roman" w:hAnsi="Times New Roman" w:cs="Times New Roman"/>
        </w:rPr>
        <w:t xml:space="preserve"> (16th ed.). CENGAGE Learning Custom Publishing.</w:t>
      </w:r>
    </w:p>
    <w:p w14:paraId="740B8451" w14:textId="77777777" w:rsidR="00364E59" w:rsidRDefault="00364E59"/>
    <w:sectPr w:rsidR="00364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59"/>
    <w:rsid w:val="00364E59"/>
    <w:rsid w:val="00585798"/>
    <w:rsid w:val="00693C8B"/>
    <w:rsid w:val="006D06E1"/>
    <w:rsid w:val="007E7B20"/>
    <w:rsid w:val="0086621F"/>
    <w:rsid w:val="00BF517D"/>
    <w:rsid w:val="00CE3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A54A"/>
  <w15:chartTrackingRefBased/>
  <w15:docId w15:val="{4E88F809-5F56-4E95-BB2E-E189FF56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20"/>
  </w:style>
  <w:style w:type="paragraph" w:styleId="Heading1">
    <w:name w:val="heading 1"/>
    <w:basedOn w:val="Normal"/>
    <w:next w:val="Normal"/>
    <w:link w:val="Heading1Char"/>
    <w:uiPriority w:val="9"/>
    <w:qFormat/>
    <w:rsid w:val="00364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59"/>
    <w:rPr>
      <w:rFonts w:eastAsiaTheme="majorEastAsia" w:cstheme="majorBidi"/>
      <w:color w:val="272727" w:themeColor="text1" w:themeTint="D8"/>
    </w:rPr>
  </w:style>
  <w:style w:type="paragraph" w:styleId="Title">
    <w:name w:val="Title"/>
    <w:basedOn w:val="Normal"/>
    <w:next w:val="Normal"/>
    <w:link w:val="TitleChar"/>
    <w:uiPriority w:val="10"/>
    <w:qFormat/>
    <w:rsid w:val="00364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59"/>
    <w:pPr>
      <w:spacing w:before="160"/>
      <w:jc w:val="center"/>
    </w:pPr>
    <w:rPr>
      <w:i/>
      <w:iCs/>
      <w:color w:val="404040" w:themeColor="text1" w:themeTint="BF"/>
    </w:rPr>
  </w:style>
  <w:style w:type="character" w:customStyle="1" w:styleId="QuoteChar">
    <w:name w:val="Quote Char"/>
    <w:basedOn w:val="DefaultParagraphFont"/>
    <w:link w:val="Quote"/>
    <w:uiPriority w:val="29"/>
    <w:rsid w:val="00364E59"/>
    <w:rPr>
      <w:i/>
      <w:iCs/>
      <w:color w:val="404040" w:themeColor="text1" w:themeTint="BF"/>
    </w:rPr>
  </w:style>
  <w:style w:type="paragraph" w:styleId="ListParagraph">
    <w:name w:val="List Paragraph"/>
    <w:basedOn w:val="Normal"/>
    <w:uiPriority w:val="34"/>
    <w:qFormat/>
    <w:rsid w:val="00364E59"/>
    <w:pPr>
      <w:ind w:left="720"/>
      <w:contextualSpacing/>
    </w:pPr>
  </w:style>
  <w:style w:type="character" w:styleId="IntenseEmphasis">
    <w:name w:val="Intense Emphasis"/>
    <w:basedOn w:val="DefaultParagraphFont"/>
    <w:uiPriority w:val="21"/>
    <w:qFormat/>
    <w:rsid w:val="00364E59"/>
    <w:rPr>
      <w:i/>
      <w:iCs/>
      <w:color w:val="0F4761" w:themeColor="accent1" w:themeShade="BF"/>
    </w:rPr>
  </w:style>
  <w:style w:type="paragraph" w:styleId="IntenseQuote">
    <w:name w:val="Intense Quote"/>
    <w:basedOn w:val="Normal"/>
    <w:next w:val="Normal"/>
    <w:link w:val="IntenseQuoteChar"/>
    <w:uiPriority w:val="30"/>
    <w:qFormat/>
    <w:rsid w:val="00364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E59"/>
    <w:rPr>
      <w:i/>
      <w:iCs/>
      <w:color w:val="0F4761" w:themeColor="accent1" w:themeShade="BF"/>
    </w:rPr>
  </w:style>
  <w:style w:type="character" w:styleId="IntenseReference">
    <w:name w:val="Intense Reference"/>
    <w:basedOn w:val="DefaultParagraphFont"/>
    <w:uiPriority w:val="32"/>
    <w:qFormat/>
    <w:rsid w:val="00364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cp:revision>
  <dcterms:created xsi:type="dcterms:W3CDTF">2024-11-23T21:55:00Z</dcterms:created>
  <dcterms:modified xsi:type="dcterms:W3CDTF">2024-11-25T02:16:00Z</dcterms:modified>
</cp:coreProperties>
</file>