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452B" w14:textId="4AE5D259" w:rsidR="00C36BD9" w:rsidRPr="00194BFF" w:rsidRDefault="00C36BD9" w:rsidP="005073F6">
      <w:pPr>
        <w:spacing w:after="0" w:line="480" w:lineRule="auto"/>
        <w:rPr>
          <w:rFonts w:ascii="Times New Roman" w:hAnsi="Times New Roman" w:cs="Times New Roman"/>
        </w:rPr>
      </w:pPr>
      <w:r w:rsidRPr="00194BFF">
        <w:rPr>
          <w:rFonts w:ascii="Times New Roman" w:hAnsi="Times New Roman" w:cs="Times New Roman"/>
        </w:rPr>
        <w:t>Tyler Vander Mooren</w:t>
      </w:r>
    </w:p>
    <w:p w14:paraId="7FDF33E5" w14:textId="66718CC5" w:rsidR="00C36BD9" w:rsidRPr="00194BFF" w:rsidRDefault="00C36BD9" w:rsidP="005073F6">
      <w:pPr>
        <w:spacing w:after="0" w:line="480" w:lineRule="auto"/>
        <w:rPr>
          <w:rFonts w:ascii="Times New Roman" w:hAnsi="Times New Roman" w:cs="Times New Roman"/>
        </w:rPr>
      </w:pPr>
      <w:r w:rsidRPr="00194BFF">
        <w:rPr>
          <w:rFonts w:ascii="Times New Roman" w:hAnsi="Times New Roman" w:cs="Times New Roman"/>
        </w:rPr>
        <w:t xml:space="preserve">CCJ385 – Deeper Dive Assignment </w:t>
      </w:r>
      <w:r w:rsidR="00EF3A2C" w:rsidRPr="00194BFF">
        <w:rPr>
          <w:rFonts w:ascii="Times New Roman" w:hAnsi="Times New Roman" w:cs="Times New Roman"/>
        </w:rPr>
        <w:t>2</w:t>
      </w:r>
    </w:p>
    <w:p w14:paraId="570610F1" w14:textId="552D3FB9" w:rsidR="00C36BD9" w:rsidRPr="00194BFF" w:rsidRDefault="00C36BD9" w:rsidP="005073F6">
      <w:pPr>
        <w:spacing w:after="0" w:line="480" w:lineRule="auto"/>
        <w:rPr>
          <w:rFonts w:ascii="Times New Roman" w:hAnsi="Times New Roman" w:cs="Times New Roman"/>
        </w:rPr>
      </w:pPr>
      <w:r w:rsidRPr="00194BFF">
        <w:rPr>
          <w:rFonts w:ascii="Times New Roman" w:hAnsi="Times New Roman" w:cs="Times New Roman"/>
        </w:rPr>
        <w:t>9/</w:t>
      </w:r>
      <w:r w:rsidR="007D2044" w:rsidRPr="00194BFF">
        <w:rPr>
          <w:rFonts w:ascii="Times New Roman" w:hAnsi="Times New Roman" w:cs="Times New Roman"/>
        </w:rPr>
        <w:t>10</w:t>
      </w:r>
      <w:r w:rsidRPr="00194BFF">
        <w:rPr>
          <w:rFonts w:ascii="Times New Roman" w:hAnsi="Times New Roman" w:cs="Times New Roman"/>
        </w:rPr>
        <w:t>/2025</w:t>
      </w:r>
    </w:p>
    <w:p w14:paraId="378694DE" w14:textId="4B17DE88" w:rsidR="007D2044" w:rsidRPr="00194BFF" w:rsidRDefault="00CB5B9E" w:rsidP="005073F6">
      <w:pPr>
        <w:spacing w:after="0" w:line="480" w:lineRule="auto"/>
        <w:rPr>
          <w:rFonts w:ascii="Times New Roman" w:hAnsi="Times New Roman" w:cs="Times New Roman"/>
          <w:b/>
          <w:bCs/>
        </w:rPr>
      </w:pPr>
      <w:bookmarkStart w:id="0" w:name="_Hlk208425710"/>
      <w:r w:rsidRPr="00194BFF">
        <w:rPr>
          <w:rFonts w:ascii="Times New Roman" w:hAnsi="Times New Roman" w:cs="Times New Roman"/>
          <w:b/>
          <w:bCs/>
        </w:rPr>
        <w:t>Evaluating the Designation of Drug Cartels as Terrorist Organizations</w:t>
      </w:r>
    </w:p>
    <w:bookmarkEnd w:id="0"/>
    <w:p w14:paraId="2632007F" w14:textId="63233022" w:rsidR="00FC1510" w:rsidRPr="00FC1510" w:rsidRDefault="00FC1510" w:rsidP="005073F6">
      <w:pPr>
        <w:spacing w:after="0" w:line="480" w:lineRule="auto"/>
        <w:ind w:firstLine="720"/>
        <w:rPr>
          <w:rFonts w:ascii="Times New Roman" w:hAnsi="Times New Roman" w:cs="Times New Roman"/>
        </w:rPr>
      </w:pPr>
      <w:r w:rsidRPr="00FC1510">
        <w:rPr>
          <w:rFonts w:ascii="Times New Roman" w:hAnsi="Times New Roman" w:cs="Times New Roman"/>
        </w:rPr>
        <w:t xml:space="preserve">In 2025, the </w:t>
      </w:r>
      <w:r w:rsidR="00CF17E8" w:rsidRPr="00194BFF">
        <w:rPr>
          <w:rFonts w:ascii="Times New Roman" w:hAnsi="Times New Roman" w:cs="Times New Roman"/>
        </w:rPr>
        <w:t xml:space="preserve">Trump </w:t>
      </w:r>
      <w:r w:rsidRPr="00FC1510">
        <w:rPr>
          <w:rFonts w:ascii="Times New Roman" w:hAnsi="Times New Roman" w:cs="Times New Roman"/>
        </w:rPr>
        <w:t xml:space="preserve">Administration designated </w:t>
      </w:r>
      <w:r w:rsidR="00CF17E8" w:rsidRPr="00194BFF">
        <w:rPr>
          <w:rFonts w:ascii="Times New Roman" w:hAnsi="Times New Roman" w:cs="Times New Roman"/>
        </w:rPr>
        <w:t xml:space="preserve">several international drug cartels including </w:t>
      </w:r>
      <w:r w:rsidRPr="00FC1510">
        <w:rPr>
          <w:rFonts w:ascii="Times New Roman" w:hAnsi="Times New Roman" w:cs="Times New Roman"/>
        </w:rPr>
        <w:t>Tren de Aragua</w:t>
      </w:r>
      <w:r w:rsidR="00CF17E8" w:rsidRPr="00194BFF">
        <w:rPr>
          <w:rFonts w:ascii="Times New Roman" w:hAnsi="Times New Roman" w:cs="Times New Roman"/>
        </w:rPr>
        <w:t xml:space="preserve">, and </w:t>
      </w:r>
      <w:r w:rsidRPr="00FC1510">
        <w:rPr>
          <w:rFonts w:ascii="Times New Roman" w:hAnsi="Times New Roman" w:cs="Times New Roman"/>
        </w:rPr>
        <w:t>MS-13</w:t>
      </w:r>
      <w:r w:rsidR="00CF17E8" w:rsidRPr="00194BFF">
        <w:rPr>
          <w:rFonts w:ascii="Times New Roman" w:hAnsi="Times New Roman" w:cs="Times New Roman"/>
        </w:rPr>
        <w:t xml:space="preserve"> </w:t>
      </w:r>
      <w:r w:rsidRPr="00FC1510">
        <w:rPr>
          <w:rFonts w:ascii="Times New Roman" w:hAnsi="Times New Roman" w:cs="Times New Roman"/>
        </w:rPr>
        <w:t>as Foreign Terrorist Organizations (FTOs) and Specially Designated Global Terrorists (SDGTs). The stated r</w:t>
      </w:r>
      <w:r w:rsidR="00CF17E8" w:rsidRPr="00194BFF">
        <w:rPr>
          <w:rFonts w:ascii="Times New Roman" w:hAnsi="Times New Roman" w:cs="Times New Roman"/>
        </w:rPr>
        <w:t>eason</w:t>
      </w:r>
      <w:r w:rsidRPr="00FC1510">
        <w:rPr>
          <w:rFonts w:ascii="Times New Roman" w:hAnsi="Times New Roman" w:cs="Times New Roman"/>
        </w:rPr>
        <w:t xml:space="preserve"> was that their </w:t>
      </w:r>
      <w:r w:rsidR="00CF17E8" w:rsidRPr="00194BFF">
        <w:rPr>
          <w:rFonts w:ascii="Times New Roman" w:hAnsi="Times New Roman" w:cs="Times New Roman"/>
        </w:rPr>
        <w:t>large-scale</w:t>
      </w:r>
      <w:r w:rsidRPr="00FC1510">
        <w:rPr>
          <w:rFonts w:ascii="Times New Roman" w:hAnsi="Times New Roman" w:cs="Times New Roman"/>
        </w:rPr>
        <w:t xml:space="preserve"> violence, corruption, and destabilization </w:t>
      </w:r>
      <w:r w:rsidR="00CF17E8" w:rsidRPr="00194BFF">
        <w:rPr>
          <w:rFonts w:ascii="Times New Roman" w:hAnsi="Times New Roman" w:cs="Times New Roman"/>
        </w:rPr>
        <w:t>is</w:t>
      </w:r>
      <w:r w:rsidRPr="00FC1510">
        <w:rPr>
          <w:rFonts w:ascii="Times New Roman" w:hAnsi="Times New Roman" w:cs="Times New Roman"/>
        </w:rPr>
        <w:t xml:space="preserve"> terrorism that threatens U.S. national security (Executive Office of the President, 2025). This move represents a departure from traditional policy, which has generally distinguished between ideologically motivated terrorist groups and profit</w:t>
      </w:r>
      <w:r w:rsidR="00CF17E8" w:rsidRPr="00194BFF">
        <w:rPr>
          <w:rFonts w:ascii="Times New Roman" w:hAnsi="Times New Roman" w:cs="Times New Roman"/>
        </w:rPr>
        <w:t xml:space="preserve"> </w:t>
      </w:r>
      <w:r w:rsidRPr="00FC1510">
        <w:rPr>
          <w:rFonts w:ascii="Times New Roman" w:hAnsi="Times New Roman" w:cs="Times New Roman"/>
        </w:rPr>
        <w:t>driven criminal cartels.</w:t>
      </w:r>
    </w:p>
    <w:p w14:paraId="130B4392" w14:textId="5CBF1259" w:rsidR="00FC1510" w:rsidRPr="00FC1510" w:rsidRDefault="00FC1510" w:rsidP="005509F2">
      <w:pPr>
        <w:spacing w:after="0" w:line="480" w:lineRule="auto"/>
        <w:ind w:firstLine="720"/>
        <w:rPr>
          <w:rFonts w:ascii="Times New Roman" w:hAnsi="Times New Roman" w:cs="Times New Roman"/>
        </w:rPr>
      </w:pPr>
      <w:r w:rsidRPr="00FC1510">
        <w:rPr>
          <w:rFonts w:ascii="Times New Roman" w:hAnsi="Times New Roman" w:cs="Times New Roman"/>
        </w:rPr>
        <w:t xml:space="preserve">Legally, the decision aligns with the Immigration and Nationality Act §219, which defines FTOs as foreign groups engaging in terrorist activity that threatens U.S. interests. The designations </w:t>
      </w:r>
      <w:r w:rsidR="00CF17E8" w:rsidRPr="00194BFF">
        <w:rPr>
          <w:rFonts w:ascii="Times New Roman" w:hAnsi="Times New Roman" w:cs="Times New Roman"/>
        </w:rPr>
        <w:t>broaden the government’s toolkit by incorporating measures such as the material support statute</w:t>
      </w:r>
      <w:r w:rsidRPr="00FC1510">
        <w:rPr>
          <w:rFonts w:ascii="Times New Roman" w:hAnsi="Times New Roman" w:cs="Times New Roman"/>
        </w:rPr>
        <w:t xml:space="preserve"> (18 U.S.C. §2339B), immigration restrictions, and asset </w:t>
      </w:r>
      <w:r w:rsidR="00CF17E8" w:rsidRPr="00194BFF">
        <w:rPr>
          <w:rFonts w:ascii="Times New Roman" w:hAnsi="Times New Roman" w:cs="Times New Roman"/>
        </w:rPr>
        <w:t>freezing</w:t>
      </w:r>
      <w:r w:rsidRPr="00FC1510">
        <w:rPr>
          <w:rFonts w:ascii="Times New Roman" w:hAnsi="Times New Roman" w:cs="Times New Roman"/>
        </w:rPr>
        <w:t xml:space="preserve"> under EO 13224 (Congressional Research Service, 2023). These authorities can strengthen law enforcement and intelligence operations by broadening the grounds for prosecutions and sanctions. For example, individuals providing help or financial support to cartels may now face prosecution under terrorism laws, significantly raising the stakes for those who interact with these groups.</w:t>
      </w:r>
      <w:r w:rsidR="00CF17E8" w:rsidRPr="00194BFF">
        <w:rPr>
          <w:rFonts w:ascii="Times New Roman" w:hAnsi="Times New Roman" w:cs="Times New Roman"/>
        </w:rPr>
        <w:t xml:space="preserve"> </w:t>
      </w:r>
      <w:r w:rsidRPr="00FC1510">
        <w:rPr>
          <w:rFonts w:ascii="Times New Roman" w:hAnsi="Times New Roman" w:cs="Times New Roman"/>
        </w:rPr>
        <w:t>At the same time, scholars and policymakers caution against stretching the terrorism label too far. Cartels remain primarily profit</w:t>
      </w:r>
      <w:r w:rsidR="00CF17E8" w:rsidRPr="00194BFF">
        <w:rPr>
          <w:rFonts w:ascii="Times New Roman" w:hAnsi="Times New Roman" w:cs="Times New Roman"/>
        </w:rPr>
        <w:t xml:space="preserve"> </w:t>
      </w:r>
      <w:r w:rsidRPr="00FC1510">
        <w:rPr>
          <w:rFonts w:ascii="Times New Roman" w:hAnsi="Times New Roman" w:cs="Times New Roman"/>
        </w:rPr>
        <w:t xml:space="preserve">driven enterprises, not ideological actors with political or religious goals. </w:t>
      </w:r>
      <w:r w:rsidR="00CF17E8" w:rsidRPr="00194BFF">
        <w:rPr>
          <w:rFonts w:ascii="Times New Roman" w:hAnsi="Times New Roman" w:cs="Times New Roman"/>
        </w:rPr>
        <w:t>Equating cartels with terrorist organization risks complicating diplomatic cooperation, particularly with Mexico, which has historically resisted applying terrorism frameworks to its domestic security issues (American University, 2025).</w:t>
      </w:r>
      <w:r w:rsidRPr="00FC1510">
        <w:rPr>
          <w:rFonts w:ascii="Times New Roman" w:hAnsi="Times New Roman" w:cs="Times New Roman"/>
        </w:rPr>
        <w:t xml:space="preserve"> Jupp (2025) similarly </w:t>
      </w:r>
      <w:r w:rsidR="00CF17E8" w:rsidRPr="00194BFF">
        <w:rPr>
          <w:rFonts w:ascii="Times New Roman" w:hAnsi="Times New Roman" w:cs="Times New Roman"/>
        </w:rPr>
        <w:lastRenderedPageBreak/>
        <w:t>points out</w:t>
      </w:r>
      <w:r w:rsidRPr="00FC1510">
        <w:rPr>
          <w:rFonts w:ascii="Times New Roman" w:hAnsi="Times New Roman" w:cs="Times New Roman"/>
        </w:rPr>
        <w:t xml:space="preserve"> that while drug cartels may use violence that appears “terroristic,” their motives and organizational structures </w:t>
      </w:r>
      <w:r w:rsidR="00264051" w:rsidRPr="00194BFF">
        <w:rPr>
          <w:rFonts w:ascii="Times New Roman" w:hAnsi="Times New Roman" w:cs="Times New Roman"/>
        </w:rPr>
        <w:t>are fundamentally different</w:t>
      </w:r>
      <w:r w:rsidRPr="00FC1510">
        <w:rPr>
          <w:rFonts w:ascii="Times New Roman" w:hAnsi="Times New Roman" w:cs="Times New Roman"/>
        </w:rPr>
        <w:t xml:space="preserve"> from traditional terrorist organizations, creating challenges for consistent policy responses.</w:t>
      </w:r>
    </w:p>
    <w:p w14:paraId="322C00A5" w14:textId="739530EA" w:rsidR="00FC1510" w:rsidRPr="00FC1510" w:rsidRDefault="00264051" w:rsidP="005509F2">
      <w:pPr>
        <w:spacing w:after="0" w:line="480" w:lineRule="auto"/>
        <w:ind w:firstLine="720"/>
        <w:rPr>
          <w:rFonts w:ascii="Times New Roman" w:hAnsi="Times New Roman" w:cs="Times New Roman"/>
        </w:rPr>
      </w:pPr>
      <w:r w:rsidRPr="00194BFF">
        <w:rPr>
          <w:rFonts w:ascii="Times New Roman" w:hAnsi="Times New Roman" w:cs="Times New Roman"/>
        </w:rPr>
        <w:t xml:space="preserve">From a broader security perspective, modern conceptions of global security have expanded to include threats beyond conventional warfare, such as organized crime and transnational drug trafficking (Hough, 2023). </w:t>
      </w:r>
      <w:r w:rsidR="00FC1510" w:rsidRPr="00FC1510">
        <w:rPr>
          <w:rFonts w:ascii="Times New Roman" w:hAnsi="Times New Roman" w:cs="Times New Roman"/>
        </w:rPr>
        <w:t xml:space="preserve">In this sense, the Administration’s designations can be seen as part of a broader recognition that cartels destabilize societies and undermine national security in ways that resemble terrorist groups. </w:t>
      </w:r>
      <w:r w:rsidRPr="00194BFF">
        <w:rPr>
          <w:rFonts w:ascii="Times New Roman" w:hAnsi="Times New Roman" w:cs="Times New Roman"/>
        </w:rPr>
        <w:t>However</w:t>
      </w:r>
      <w:r w:rsidR="00FC1510" w:rsidRPr="00FC1510">
        <w:rPr>
          <w:rFonts w:ascii="Times New Roman" w:hAnsi="Times New Roman" w:cs="Times New Roman"/>
        </w:rPr>
        <w:t xml:space="preserve">, this </w:t>
      </w:r>
      <w:r w:rsidRPr="00194BFF">
        <w:rPr>
          <w:rFonts w:ascii="Times New Roman" w:hAnsi="Times New Roman" w:cs="Times New Roman"/>
        </w:rPr>
        <w:t>broad</w:t>
      </w:r>
      <w:r w:rsidR="00FC1510" w:rsidRPr="00FC1510">
        <w:rPr>
          <w:rFonts w:ascii="Times New Roman" w:hAnsi="Times New Roman" w:cs="Times New Roman"/>
        </w:rPr>
        <w:t xml:space="preserve"> framework must be balanced carefully to </w:t>
      </w:r>
      <w:r w:rsidRPr="00194BFF">
        <w:rPr>
          <w:rFonts w:ascii="Times New Roman" w:hAnsi="Times New Roman" w:cs="Times New Roman"/>
        </w:rPr>
        <w:t>prevent</w:t>
      </w:r>
      <w:r w:rsidR="00FC1510" w:rsidRPr="00FC1510">
        <w:rPr>
          <w:rFonts w:ascii="Times New Roman" w:hAnsi="Times New Roman" w:cs="Times New Roman"/>
        </w:rPr>
        <w:t xml:space="preserve"> blurring</w:t>
      </w:r>
      <w:r w:rsidRPr="00194BFF">
        <w:rPr>
          <w:rFonts w:ascii="Times New Roman" w:hAnsi="Times New Roman" w:cs="Times New Roman"/>
        </w:rPr>
        <w:t xml:space="preserve"> the lines</w:t>
      </w:r>
      <w:r w:rsidR="00FC1510" w:rsidRPr="00FC1510">
        <w:rPr>
          <w:rFonts w:ascii="Times New Roman" w:hAnsi="Times New Roman" w:cs="Times New Roman"/>
        </w:rPr>
        <w:t xml:space="preserve"> between terrorism and organized crime, which could </w:t>
      </w:r>
      <w:r w:rsidRPr="00194BFF">
        <w:rPr>
          <w:rFonts w:ascii="Times New Roman" w:hAnsi="Times New Roman" w:cs="Times New Roman"/>
        </w:rPr>
        <w:t>undermine</w:t>
      </w:r>
      <w:r w:rsidR="00FC1510" w:rsidRPr="00FC1510">
        <w:rPr>
          <w:rFonts w:ascii="Times New Roman" w:hAnsi="Times New Roman" w:cs="Times New Roman"/>
        </w:rPr>
        <w:t xml:space="preserve"> analytical clarity and </w:t>
      </w:r>
      <w:r w:rsidRPr="00194BFF">
        <w:rPr>
          <w:rFonts w:ascii="Times New Roman" w:hAnsi="Times New Roman" w:cs="Times New Roman"/>
        </w:rPr>
        <w:t xml:space="preserve">weaken </w:t>
      </w:r>
      <w:r w:rsidR="00FC1510" w:rsidRPr="00FC1510">
        <w:rPr>
          <w:rFonts w:ascii="Times New Roman" w:hAnsi="Times New Roman" w:cs="Times New Roman"/>
        </w:rPr>
        <w:t>policy effectiveness.</w:t>
      </w:r>
    </w:p>
    <w:p w14:paraId="5D219427" w14:textId="1EDB9ECC" w:rsidR="00FC1510" w:rsidRPr="00FC1510" w:rsidRDefault="00FC1510" w:rsidP="005509F2">
      <w:pPr>
        <w:spacing w:after="0" w:line="480" w:lineRule="auto"/>
        <w:ind w:firstLine="720"/>
        <w:rPr>
          <w:rFonts w:ascii="Times New Roman" w:hAnsi="Times New Roman" w:cs="Times New Roman"/>
        </w:rPr>
      </w:pPr>
      <w:r w:rsidRPr="00FC1510">
        <w:rPr>
          <w:rFonts w:ascii="Times New Roman" w:hAnsi="Times New Roman" w:cs="Times New Roman"/>
        </w:rPr>
        <w:t>It is also important to note that many tools already exist for targeting cartels, including the Kingpin Act, RICO statutes, and money-laundering laws.</w:t>
      </w:r>
      <w:r w:rsidR="00194BFF" w:rsidRPr="00194BFF">
        <w:rPr>
          <w:rFonts w:ascii="Times New Roman" w:hAnsi="Times New Roman" w:cs="Times New Roman"/>
        </w:rPr>
        <w:t xml:space="preserve"> The FTO designation does not create new authorities</w:t>
      </w:r>
      <w:r w:rsidRPr="00FC1510">
        <w:rPr>
          <w:rFonts w:ascii="Times New Roman" w:hAnsi="Times New Roman" w:cs="Times New Roman"/>
        </w:rPr>
        <w:t xml:space="preserve"> but instead</w:t>
      </w:r>
      <w:r w:rsidR="00194BFF" w:rsidRPr="00194BFF">
        <w:rPr>
          <w:rFonts w:ascii="Times New Roman" w:hAnsi="Times New Roman" w:cs="Times New Roman"/>
        </w:rPr>
        <w:t xml:space="preserve"> adds</w:t>
      </w:r>
      <w:r w:rsidRPr="00FC1510">
        <w:rPr>
          <w:rFonts w:ascii="Times New Roman" w:hAnsi="Times New Roman" w:cs="Times New Roman"/>
        </w:rPr>
        <w:t xml:space="preserve"> additional penalties, international stigma, and political weight. </w:t>
      </w:r>
      <w:r w:rsidR="00194BFF" w:rsidRPr="00194BFF">
        <w:rPr>
          <w:rFonts w:ascii="Times New Roman" w:hAnsi="Times New Roman" w:cs="Times New Roman"/>
        </w:rPr>
        <w:t>While</w:t>
      </w:r>
      <w:r w:rsidRPr="00FC1510">
        <w:rPr>
          <w:rFonts w:ascii="Times New Roman" w:hAnsi="Times New Roman" w:cs="Times New Roman"/>
        </w:rPr>
        <w:t xml:space="preserve"> the designations may </w:t>
      </w:r>
      <w:r w:rsidR="00194BFF" w:rsidRPr="00194BFF">
        <w:rPr>
          <w:rFonts w:ascii="Times New Roman" w:hAnsi="Times New Roman" w:cs="Times New Roman"/>
        </w:rPr>
        <w:t>strengthen</w:t>
      </w:r>
      <w:r w:rsidRPr="00FC1510">
        <w:rPr>
          <w:rFonts w:ascii="Times New Roman" w:hAnsi="Times New Roman" w:cs="Times New Roman"/>
        </w:rPr>
        <w:t xml:space="preserve"> signaling and resource prioritization, their </w:t>
      </w:r>
      <w:r w:rsidR="00194BFF" w:rsidRPr="00194BFF">
        <w:rPr>
          <w:rFonts w:ascii="Times New Roman" w:hAnsi="Times New Roman" w:cs="Times New Roman"/>
        </w:rPr>
        <w:t>long-term</w:t>
      </w:r>
      <w:r w:rsidRPr="00FC1510">
        <w:rPr>
          <w:rFonts w:ascii="Times New Roman" w:hAnsi="Times New Roman" w:cs="Times New Roman"/>
        </w:rPr>
        <w:t xml:space="preserve"> effectiveness will depend on </w:t>
      </w:r>
      <w:r w:rsidR="00194BFF" w:rsidRPr="00194BFF">
        <w:rPr>
          <w:rFonts w:ascii="Times New Roman" w:hAnsi="Times New Roman" w:cs="Times New Roman"/>
        </w:rPr>
        <w:t>precise application</w:t>
      </w:r>
      <w:r w:rsidRPr="00FC1510">
        <w:rPr>
          <w:rFonts w:ascii="Times New Roman" w:hAnsi="Times New Roman" w:cs="Times New Roman"/>
        </w:rPr>
        <w:t xml:space="preserve">, </w:t>
      </w:r>
      <w:r w:rsidR="00194BFF" w:rsidRPr="00194BFF">
        <w:rPr>
          <w:rFonts w:ascii="Times New Roman" w:hAnsi="Times New Roman" w:cs="Times New Roman"/>
        </w:rPr>
        <w:t>legal</w:t>
      </w:r>
      <w:r w:rsidRPr="00FC1510">
        <w:rPr>
          <w:rFonts w:ascii="Times New Roman" w:hAnsi="Times New Roman" w:cs="Times New Roman"/>
        </w:rPr>
        <w:t xml:space="preserve"> oversight, and diplomatic management. If applied too broadly, they risk undermining established counterterrorism frameworks</w:t>
      </w:r>
      <w:r w:rsidR="00194BFF" w:rsidRPr="00194BFF">
        <w:rPr>
          <w:rFonts w:ascii="Times New Roman" w:hAnsi="Times New Roman" w:cs="Times New Roman"/>
        </w:rPr>
        <w:t>. However,</w:t>
      </w:r>
      <w:r w:rsidRPr="00FC1510">
        <w:rPr>
          <w:rFonts w:ascii="Times New Roman" w:hAnsi="Times New Roman" w:cs="Times New Roman"/>
        </w:rPr>
        <w:t xml:space="preserve"> if implemented carefully they may give U.S. agencies an added edge in dismantling violent</w:t>
      </w:r>
      <w:r w:rsidR="00194BFF" w:rsidRPr="00194BFF">
        <w:rPr>
          <w:rFonts w:ascii="Times New Roman" w:hAnsi="Times New Roman" w:cs="Times New Roman"/>
        </w:rPr>
        <w:t xml:space="preserve"> organizations</w:t>
      </w:r>
      <w:r w:rsidRPr="00FC1510">
        <w:rPr>
          <w:rFonts w:ascii="Times New Roman" w:hAnsi="Times New Roman" w:cs="Times New Roman"/>
        </w:rPr>
        <w:t xml:space="preserve"> that destabilize the Western Hemisphere.</w:t>
      </w:r>
    </w:p>
    <w:p w14:paraId="5AE8C2BC" w14:textId="64594B83" w:rsidR="00CB5B9E" w:rsidRPr="000501A8" w:rsidRDefault="00CB5B9E" w:rsidP="00EF3A2C">
      <w:pPr>
        <w:spacing w:line="360" w:lineRule="auto"/>
        <w:rPr>
          <w:rFonts w:ascii="Times New Roman" w:hAnsi="Times New Roman" w:cs="Times New Roman"/>
        </w:rPr>
      </w:pPr>
    </w:p>
    <w:p w14:paraId="50B2C97D" w14:textId="77777777" w:rsidR="00CB5B9E" w:rsidRPr="000501A8" w:rsidRDefault="00CB5B9E">
      <w:pPr>
        <w:rPr>
          <w:rFonts w:ascii="Times New Roman" w:hAnsi="Times New Roman" w:cs="Times New Roman"/>
        </w:rPr>
      </w:pPr>
      <w:r w:rsidRPr="000501A8">
        <w:rPr>
          <w:rFonts w:ascii="Times New Roman" w:hAnsi="Times New Roman" w:cs="Times New Roman"/>
        </w:rPr>
        <w:br w:type="page"/>
      </w:r>
    </w:p>
    <w:p w14:paraId="634778AC" w14:textId="77777777" w:rsidR="00CB5B9E" w:rsidRPr="000501A8" w:rsidRDefault="00CB5B9E" w:rsidP="00C9028F">
      <w:pPr>
        <w:spacing w:line="360" w:lineRule="auto"/>
        <w:jc w:val="center"/>
        <w:rPr>
          <w:rFonts w:ascii="Times New Roman" w:hAnsi="Times New Roman" w:cs="Times New Roman"/>
        </w:rPr>
      </w:pPr>
      <w:r w:rsidRPr="000501A8">
        <w:rPr>
          <w:rFonts w:ascii="Times New Roman" w:hAnsi="Times New Roman" w:cs="Times New Roman"/>
        </w:rPr>
        <w:lastRenderedPageBreak/>
        <w:t>References</w:t>
      </w:r>
    </w:p>
    <w:p w14:paraId="654006FF" w14:textId="39563760" w:rsidR="00A6060E" w:rsidRPr="000501A8" w:rsidRDefault="00C9028F" w:rsidP="00FD17E4">
      <w:pPr>
        <w:spacing w:line="480" w:lineRule="auto"/>
        <w:ind w:left="720" w:hanging="720"/>
        <w:rPr>
          <w:rFonts w:ascii="Times New Roman" w:hAnsi="Times New Roman" w:cs="Times New Roman"/>
        </w:rPr>
      </w:pPr>
      <w:r w:rsidRPr="000501A8">
        <w:rPr>
          <w:rFonts w:ascii="Times New Roman" w:hAnsi="Times New Roman" w:cs="Times New Roman"/>
        </w:rPr>
        <w:t xml:space="preserve">American University. (2025, June 20). </w:t>
      </w:r>
      <w:r w:rsidRPr="000501A8">
        <w:rPr>
          <w:rFonts w:ascii="Times New Roman" w:hAnsi="Times New Roman" w:cs="Times New Roman"/>
          <w:i/>
          <w:iCs/>
        </w:rPr>
        <w:t>The potential policy impacts of classifying cartels as FTOs</w:t>
      </w:r>
      <w:r w:rsidRPr="000501A8">
        <w:rPr>
          <w:rFonts w:ascii="Times New Roman" w:hAnsi="Times New Roman" w:cs="Times New Roman"/>
        </w:rPr>
        <w:t xml:space="preserve">. </w:t>
      </w:r>
      <w:hyperlink r:id="rId4" w:history="1">
        <w:r w:rsidRPr="000501A8">
          <w:rPr>
            <w:rStyle w:val="Hyperlink"/>
            <w:rFonts w:ascii="Times New Roman" w:hAnsi="Times New Roman" w:cs="Times New Roman"/>
          </w:rPr>
          <w:t>https://www.american.edu/spa/news/classifying-cartels-as-ftos-06202025.cfm</w:t>
        </w:r>
      </w:hyperlink>
    </w:p>
    <w:p w14:paraId="1953EE17" w14:textId="3E283074" w:rsidR="00C9028F" w:rsidRPr="000501A8" w:rsidRDefault="00C9028F" w:rsidP="00FD17E4">
      <w:pPr>
        <w:spacing w:line="480" w:lineRule="auto"/>
        <w:ind w:left="720" w:hanging="720"/>
        <w:rPr>
          <w:rFonts w:ascii="Times New Roman" w:hAnsi="Times New Roman" w:cs="Times New Roman"/>
        </w:rPr>
      </w:pPr>
      <w:r w:rsidRPr="000501A8">
        <w:rPr>
          <w:rFonts w:ascii="Times New Roman" w:hAnsi="Times New Roman" w:cs="Times New Roman"/>
        </w:rPr>
        <w:t>Congressional Research Service. (2023</w:t>
      </w:r>
      <w:r w:rsidR="00FD17E4">
        <w:rPr>
          <w:rFonts w:ascii="Times New Roman" w:hAnsi="Times New Roman" w:cs="Times New Roman"/>
        </w:rPr>
        <w:t>, August 15</w:t>
      </w:r>
      <w:r w:rsidRPr="000501A8">
        <w:rPr>
          <w:rFonts w:ascii="Times New Roman" w:hAnsi="Times New Roman" w:cs="Times New Roman"/>
        </w:rPr>
        <w:t xml:space="preserve">). </w:t>
      </w:r>
      <w:r w:rsidRPr="000501A8">
        <w:rPr>
          <w:rFonts w:ascii="Times New Roman" w:hAnsi="Times New Roman" w:cs="Times New Roman"/>
          <w:i/>
          <w:iCs/>
        </w:rPr>
        <w:t>Terrorist material support: An overview of 18 U.S.C. §2339A &amp; §2339B</w:t>
      </w:r>
      <w:r w:rsidRPr="000501A8">
        <w:rPr>
          <w:rFonts w:ascii="Times New Roman" w:hAnsi="Times New Roman" w:cs="Times New Roman"/>
        </w:rPr>
        <w:t xml:space="preserve"> (CRS Report R41333). </w:t>
      </w:r>
      <w:hyperlink r:id="rId5" w:history="1">
        <w:r w:rsidR="00E73734" w:rsidRPr="000501A8">
          <w:rPr>
            <w:rStyle w:val="Hyperlink"/>
            <w:rFonts w:ascii="Times New Roman" w:hAnsi="Times New Roman" w:cs="Times New Roman"/>
          </w:rPr>
          <w:t>https://www.c</w:t>
        </w:r>
        <w:r w:rsidR="00E73734" w:rsidRPr="000501A8">
          <w:rPr>
            <w:rStyle w:val="Hyperlink"/>
            <w:rFonts w:ascii="Times New Roman" w:hAnsi="Times New Roman" w:cs="Times New Roman"/>
          </w:rPr>
          <w:t>o</w:t>
        </w:r>
        <w:r w:rsidR="00E73734" w:rsidRPr="000501A8">
          <w:rPr>
            <w:rStyle w:val="Hyperlink"/>
            <w:rFonts w:ascii="Times New Roman" w:hAnsi="Times New Roman" w:cs="Times New Roman"/>
          </w:rPr>
          <w:t>ngress</w:t>
        </w:r>
        <w:r w:rsidR="00E73734" w:rsidRPr="000501A8">
          <w:rPr>
            <w:rStyle w:val="Hyperlink"/>
            <w:rFonts w:ascii="Times New Roman" w:hAnsi="Times New Roman" w:cs="Times New Roman"/>
          </w:rPr>
          <w:t>.</w:t>
        </w:r>
        <w:r w:rsidR="00E73734" w:rsidRPr="000501A8">
          <w:rPr>
            <w:rStyle w:val="Hyperlink"/>
            <w:rFonts w:ascii="Times New Roman" w:hAnsi="Times New Roman" w:cs="Times New Roman"/>
          </w:rPr>
          <w:t>gov/crs-product/R41333</w:t>
        </w:r>
      </w:hyperlink>
    </w:p>
    <w:p w14:paraId="7A884BF1" w14:textId="0489E657" w:rsidR="00E73734" w:rsidRPr="000501A8" w:rsidRDefault="00C9028F" w:rsidP="00FD17E4">
      <w:pPr>
        <w:spacing w:line="480" w:lineRule="auto"/>
        <w:ind w:left="720" w:hanging="720"/>
        <w:rPr>
          <w:rFonts w:ascii="Times New Roman" w:hAnsi="Times New Roman" w:cs="Times New Roman"/>
        </w:rPr>
      </w:pPr>
      <w:r w:rsidRPr="000501A8">
        <w:rPr>
          <w:rFonts w:ascii="Times New Roman" w:hAnsi="Times New Roman" w:cs="Times New Roman"/>
        </w:rPr>
        <w:t xml:space="preserve">Executive Office of the President. (2025, January 20). </w:t>
      </w:r>
      <w:r w:rsidRPr="000501A8">
        <w:rPr>
          <w:rFonts w:ascii="Times New Roman" w:hAnsi="Times New Roman" w:cs="Times New Roman"/>
          <w:i/>
          <w:iCs/>
        </w:rPr>
        <w:t xml:space="preserve">Designating cartels and other organizations </w:t>
      </w:r>
      <w:proofErr w:type="gramStart"/>
      <w:r w:rsidRPr="000501A8">
        <w:rPr>
          <w:rFonts w:ascii="Times New Roman" w:hAnsi="Times New Roman" w:cs="Times New Roman"/>
          <w:i/>
          <w:iCs/>
        </w:rPr>
        <w:t>as</w:t>
      </w:r>
      <w:proofErr w:type="gramEnd"/>
      <w:r w:rsidRPr="000501A8">
        <w:rPr>
          <w:rFonts w:ascii="Times New Roman" w:hAnsi="Times New Roman" w:cs="Times New Roman"/>
          <w:i/>
          <w:iCs/>
        </w:rPr>
        <w:t xml:space="preserve"> FTOs and SDGTs</w:t>
      </w:r>
      <w:r w:rsidRPr="000501A8">
        <w:rPr>
          <w:rFonts w:ascii="Times New Roman" w:hAnsi="Times New Roman" w:cs="Times New Roman"/>
        </w:rPr>
        <w:t xml:space="preserve">. The White House. </w:t>
      </w:r>
      <w:hyperlink r:id="rId6" w:history="1">
        <w:r w:rsidR="00E73734" w:rsidRPr="000501A8">
          <w:rPr>
            <w:rStyle w:val="Hyperlink"/>
            <w:rFonts w:ascii="Times New Roman" w:hAnsi="Times New Roman" w:cs="Times New Roman"/>
          </w:rPr>
          <w:t>https://www.whitehouse.gov/presidential-actions/2</w:t>
        </w:r>
        <w:r w:rsidR="00E73734" w:rsidRPr="000501A8">
          <w:rPr>
            <w:rStyle w:val="Hyperlink"/>
            <w:rFonts w:ascii="Times New Roman" w:hAnsi="Times New Roman" w:cs="Times New Roman"/>
          </w:rPr>
          <w:t>0</w:t>
        </w:r>
        <w:r w:rsidR="00E73734" w:rsidRPr="000501A8">
          <w:rPr>
            <w:rStyle w:val="Hyperlink"/>
            <w:rFonts w:ascii="Times New Roman" w:hAnsi="Times New Roman" w:cs="Times New Roman"/>
          </w:rPr>
          <w:t>25/01/designating-cartels-and-other-organizations-as-foreign-terrorist-organizations-and-specially-designated-global-terrorists/</w:t>
        </w:r>
      </w:hyperlink>
    </w:p>
    <w:p w14:paraId="15058958" w14:textId="6ADB3A2F" w:rsidR="00C9028F" w:rsidRPr="000501A8" w:rsidRDefault="00C9028F" w:rsidP="00FD17E4">
      <w:pPr>
        <w:spacing w:line="480" w:lineRule="auto"/>
        <w:ind w:left="720" w:hanging="720"/>
        <w:rPr>
          <w:rFonts w:ascii="Times New Roman" w:hAnsi="Times New Roman" w:cs="Times New Roman"/>
        </w:rPr>
      </w:pPr>
      <w:r w:rsidRPr="000501A8">
        <w:rPr>
          <w:rFonts w:ascii="Times New Roman" w:hAnsi="Times New Roman" w:cs="Times New Roman"/>
        </w:rPr>
        <w:t>Hough, P. (202</w:t>
      </w:r>
      <w:r w:rsidR="000501A8">
        <w:rPr>
          <w:rFonts w:ascii="Times New Roman" w:hAnsi="Times New Roman" w:cs="Times New Roman"/>
        </w:rPr>
        <w:t>3</w:t>
      </w:r>
      <w:r w:rsidRPr="000501A8">
        <w:rPr>
          <w:rFonts w:ascii="Times New Roman" w:hAnsi="Times New Roman" w:cs="Times New Roman"/>
        </w:rPr>
        <w:t xml:space="preserve">). </w:t>
      </w:r>
      <w:r w:rsidRPr="000501A8">
        <w:rPr>
          <w:rFonts w:ascii="Times New Roman" w:hAnsi="Times New Roman" w:cs="Times New Roman"/>
          <w:i/>
          <w:iCs/>
        </w:rPr>
        <w:t>Understanding global security</w:t>
      </w:r>
      <w:r w:rsidRPr="000501A8">
        <w:rPr>
          <w:rFonts w:ascii="Times New Roman" w:hAnsi="Times New Roman" w:cs="Times New Roman"/>
        </w:rPr>
        <w:t xml:space="preserve"> (5th ed.). Routledge. </w:t>
      </w:r>
    </w:p>
    <w:p w14:paraId="29DA9D50" w14:textId="457EC704" w:rsidR="00C9028F" w:rsidRPr="000501A8" w:rsidRDefault="00C9028F" w:rsidP="00FD17E4">
      <w:pPr>
        <w:spacing w:line="480" w:lineRule="auto"/>
        <w:ind w:left="720" w:hanging="720"/>
        <w:rPr>
          <w:rFonts w:ascii="Times New Roman" w:hAnsi="Times New Roman" w:cs="Times New Roman"/>
        </w:rPr>
      </w:pPr>
      <w:r w:rsidRPr="000501A8">
        <w:rPr>
          <w:rFonts w:ascii="Times New Roman" w:hAnsi="Times New Roman" w:cs="Times New Roman"/>
        </w:rPr>
        <w:t>Jupp, J. (2025</w:t>
      </w:r>
      <w:r w:rsidR="00FD17E4">
        <w:rPr>
          <w:rFonts w:ascii="Times New Roman" w:hAnsi="Times New Roman" w:cs="Times New Roman"/>
        </w:rPr>
        <w:t>, May 12</w:t>
      </w:r>
      <w:r w:rsidRPr="000501A8">
        <w:rPr>
          <w:rFonts w:ascii="Times New Roman" w:hAnsi="Times New Roman" w:cs="Times New Roman"/>
        </w:rPr>
        <w:t xml:space="preserve">). The crime-terror nexus and the illicit trade in drugs. </w:t>
      </w:r>
      <w:r w:rsidRPr="000501A8">
        <w:rPr>
          <w:rFonts w:ascii="Times New Roman" w:hAnsi="Times New Roman" w:cs="Times New Roman"/>
          <w:i/>
          <w:iCs/>
        </w:rPr>
        <w:t>Studies in Conflict &amp; Terrorism</w:t>
      </w:r>
      <w:r w:rsidR="00E73734" w:rsidRPr="000501A8">
        <w:rPr>
          <w:rFonts w:ascii="Times New Roman" w:hAnsi="Times New Roman" w:cs="Times New Roman"/>
        </w:rPr>
        <w:t xml:space="preserve">. </w:t>
      </w:r>
      <w:hyperlink r:id="rId7" w:history="1">
        <w:r w:rsidR="00E73734" w:rsidRPr="000501A8">
          <w:rPr>
            <w:rStyle w:val="Hyperlink"/>
            <w:rFonts w:ascii="Times New Roman" w:hAnsi="Times New Roman" w:cs="Times New Roman"/>
          </w:rPr>
          <w:t>https://www.tandfonline.com/doi/full/1</w:t>
        </w:r>
        <w:r w:rsidR="00E73734" w:rsidRPr="000501A8">
          <w:rPr>
            <w:rStyle w:val="Hyperlink"/>
            <w:rFonts w:ascii="Times New Roman" w:hAnsi="Times New Roman" w:cs="Times New Roman"/>
          </w:rPr>
          <w:t>0</w:t>
        </w:r>
        <w:r w:rsidR="00E73734" w:rsidRPr="000501A8">
          <w:rPr>
            <w:rStyle w:val="Hyperlink"/>
            <w:rFonts w:ascii="Times New Roman" w:hAnsi="Times New Roman" w:cs="Times New Roman"/>
          </w:rPr>
          <w:t>.1080/1057610X.2025.2506555</w:t>
        </w:r>
      </w:hyperlink>
    </w:p>
    <w:p w14:paraId="00753F36" w14:textId="57278FC4" w:rsidR="00C9028F" w:rsidRPr="00EF3A2C" w:rsidRDefault="00C9028F" w:rsidP="00EF3A2C">
      <w:pPr>
        <w:spacing w:line="360" w:lineRule="auto"/>
        <w:rPr>
          <w:rFonts w:ascii="Times New Roman" w:hAnsi="Times New Roman" w:cs="Times New Roman"/>
        </w:rPr>
      </w:pPr>
    </w:p>
    <w:sectPr w:rsidR="00C9028F" w:rsidRPr="00EF3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5C"/>
    <w:rsid w:val="000501A8"/>
    <w:rsid w:val="00192253"/>
    <w:rsid w:val="00194BFF"/>
    <w:rsid w:val="00264051"/>
    <w:rsid w:val="003D7875"/>
    <w:rsid w:val="00455ED8"/>
    <w:rsid w:val="00492C23"/>
    <w:rsid w:val="004E3569"/>
    <w:rsid w:val="005073F6"/>
    <w:rsid w:val="00532825"/>
    <w:rsid w:val="005509F2"/>
    <w:rsid w:val="00555664"/>
    <w:rsid w:val="00710E5C"/>
    <w:rsid w:val="007D2044"/>
    <w:rsid w:val="00803BE2"/>
    <w:rsid w:val="00846762"/>
    <w:rsid w:val="009E23B7"/>
    <w:rsid w:val="00A45E99"/>
    <w:rsid w:val="00A6060E"/>
    <w:rsid w:val="00A7717C"/>
    <w:rsid w:val="00AF1621"/>
    <w:rsid w:val="00AF53A4"/>
    <w:rsid w:val="00C36BD9"/>
    <w:rsid w:val="00C83EA1"/>
    <w:rsid w:val="00C9028F"/>
    <w:rsid w:val="00CA3F4D"/>
    <w:rsid w:val="00CB5B9E"/>
    <w:rsid w:val="00CF17E8"/>
    <w:rsid w:val="00D10ECD"/>
    <w:rsid w:val="00D302A3"/>
    <w:rsid w:val="00E2259A"/>
    <w:rsid w:val="00E73734"/>
    <w:rsid w:val="00E849C6"/>
    <w:rsid w:val="00EF3A2C"/>
    <w:rsid w:val="00F418A4"/>
    <w:rsid w:val="00FC1510"/>
    <w:rsid w:val="00FD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F989"/>
  <w15:chartTrackingRefBased/>
  <w15:docId w15:val="{B68F29F1-EDC4-4DC9-82ED-AB49FFEA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5C"/>
    <w:rPr>
      <w:rFonts w:eastAsiaTheme="majorEastAsia" w:cstheme="majorBidi"/>
      <w:color w:val="272727" w:themeColor="text1" w:themeTint="D8"/>
    </w:rPr>
  </w:style>
  <w:style w:type="paragraph" w:styleId="Title">
    <w:name w:val="Title"/>
    <w:basedOn w:val="Normal"/>
    <w:next w:val="Normal"/>
    <w:link w:val="TitleChar"/>
    <w:uiPriority w:val="10"/>
    <w:qFormat/>
    <w:rsid w:val="0071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E5C"/>
    <w:rPr>
      <w:i/>
      <w:iCs/>
      <w:color w:val="404040" w:themeColor="text1" w:themeTint="BF"/>
    </w:rPr>
  </w:style>
  <w:style w:type="paragraph" w:styleId="ListParagraph">
    <w:name w:val="List Paragraph"/>
    <w:basedOn w:val="Normal"/>
    <w:uiPriority w:val="34"/>
    <w:qFormat/>
    <w:rsid w:val="00710E5C"/>
    <w:pPr>
      <w:ind w:left="720"/>
      <w:contextualSpacing/>
    </w:pPr>
  </w:style>
  <w:style w:type="character" w:styleId="IntenseEmphasis">
    <w:name w:val="Intense Emphasis"/>
    <w:basedOn w:val="DefaultParagraphFont"/>
    <w:uiPriority w:val="21"/>
    <w:qFormat/>
    <w:rsid w:val="00710E5C"/>
    <w:rPr>
      <w:i/>
      <w:iCs/>
      <w:color w:val="0F4761" w:themeColor="accent1" w:themeShade="BF"/>
    </w:rPr>
  </w:style>
  <w:style w:type="paragraph" w:styleId="IntenseQuote">
    <w:name w:val="Intense Quote"/>
    <w:basedOn w:val="Normal"/>
    <w:next w:val="Normal"/>
    <w:link w:val="IntenseQuoteChar"/>
    <w:uiPriority w:val="30"/>
    <w:qFormat/>
    <w:rsid w:val="0071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5C"/>
    <w:rPr>
      <w:i/>
      <w:iCs/>
      <w:color w:val="0F4761" w:themeColor="accent1" w:themeShade="BF"/>
    </w:rPr>
  </w:style>
  <w:style w:type="character" w:styleId="IntenseReference">
    <w:name w:val="Intense Reference"/>
    <w:basedOn w:val="DefaultParagraphFont"/>
    <w:uiPriority w:val="32"/>
    <w:qFormat/>
    <w:rsid w:val="00710E5C"/>
    <w:rPr>
      <w:b/>
      <w:bCs/>
      <w:smallCaps/>
      <w:color w:val="0F4761" w:themeColor="accent1" w:themeShade="BF"/>
      <w:spacing w:val="5"/>
    </w:rPr>
  </w:style>
  <w:style w:type="character" w:styleId="Hyperlink">
    <w:name w:val="Hyperlink"/>
    <w:basedOn w:val="DefaultParagraphFont"/>
    <w:uiPriority w:val="99"/>
    <w:unhideWhenUsed/>
    <w:rsid w:val="00EF3A2C"/>
    <w:rPr>
      <w:color w:val="467886" w:themeColor="hyperlink"/>
      <w:u w:val="single"/>
    </w:rPr>
  </w:style>
  <w:style w:type="character" w:styleId="UnresolvedMention">
    <w:name w:val="Unresolved Mention"/>
    <w:basedOn w:val="DefaultParagraphFont"/>
    <w:uiPriority w:val="99"/>
    <w:semiHidden/>
    <w:unhideWhenUsed/>
    <w:rsid w:val="00EF3A2C"/>
    <w:rPr>
      <w:color w:val="605E5C"/>
      <w:shd w:val="clear" w:color="auto" w:fill="E1DFDD"/>
    </w:rPr>
  </w:style>
  <w:style w:type="character" w:styleId="FollowedHyperlink">
    <w:name w:val="FollowedHyperlink"/>
    <w:basedOn w:val="DefaultParagraphFont"/>
    <w:uiPriority w:val="99"/>
    <w:semiHidden/>
    <w:unhideWhenUsed/>
    <w:rsid w:val="00EF3A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5557">
      <w:bodyDiv w:val="1"/>
      <w:marLeft w:val="0"/>
      <w:marRight w:val="0"/>
      <w:marTop w:val="0"/>
      <w:marBottom w:val="0"/>
      <w:divBdr>
        <w:top w:val="none" w:sz="0" w:space="0" w:color="auto"/>
        <w:left w:val="none" w:sz="0" w:space="0" w:color="auto"/>
        <w:bottom w:val="none" w:sz="0" w:space="0" w:color="auto"/>
        <w:right w:val="none" w:sz="0" w:space="0" w:color="auto"/>
      </w:divBdr>
    </w:div>
    <w:div w:id="162623989">
      <w:bodyDiv w:val="1"/>
      <w:marLeft w:val="0"/>
      <w:marRight w:val="0"/>
      <w:marTop w:val="0"/>
      <w:marBottom w:val="0"/>
      <w:divBdr>
        <w:top w:val="none" w:sz="0" w:space="0" w:color="auto"/>
        <w:left w:val="none" w:sz="0" w:space="0" w:color="auto"/>
        <w:bottom w:val="none" w:sz="0" w:space="0" w:color="auto"/>
        <w:right w:val="none" w:sz="0" w:space="0" w:color="auto"/>
      </w:divBdr>
    </w:div>
    <w:div w:id="216358849">
      <w:bodyDiv w:val="1"/>
      <w:marLeft w:val="0"/>
      <w:marRight w:val="0"/>
      <w:marTop w:val="0"/>
      <w:marBottom w:val="0"/>
      <w:divBdr>
        <w:top w:val="none" w:sz="0" w:space="0" w:color="auto"/>
        <w:left w:val="none" w:sz="0" w:space="0" w:color="auto"/>
        <w:bottom w:val="none" w:sz="0" w:space="0" w:color="auto"/>
        <w:right w:val="none" w:sz="0" w:space="0" w:color="auto"/>
      </w:divBdr>
    </w:div>
    <w:div w:id="499932610">
      <w:bodyDiv w:val="1"/>
      <w:marLeft w:val="0"/>
      <w:marRight w:val="0"/>
      <w:marTop w:val="0"/>
      <w:marBottom w:val="0"/>
      <w:divBdr>
        <w:top w:val="none" w:sz="0" w:space="0" w:color="auto"/>
        <w:left w:val="none" w:sz="0" w:space="0" w:color="auto"/>
        <w:bottom w:val="none" w:sz="0" w:space="0" w:color="auto"/>
        <w:right w:val="none" w:sz="0" w:space="0" w:color="auto"/>
      </w:divBdr>
    </w:div>
    <w:div w:id="544369235">
      <w:bodyDiv w:val="1"/>
      <w:marLeft w:val="0"/>
      <w:marRight w:val="0"/>
      <w:marTop w:val="0"/>
      <w:marBottom w:val="0"/>
      <w:divBdr>
        <w:top w:val="none" w:sz="0" w:space="0" w:color="auto"/>
        <w:left w:val="none" w:sz="0" w:space="0" w:color="auto"/>
        <w:bottom w:val="none" w:sz="0" w:space="0" w:color="auto"/>
        <w:right w:val="none" w:sz="0" w:space="0" w:color="auto"/>
      </w:divBdr>
    </w:div>
    <w:div w:id="590240097">
      <w:bodyDiv w:val="1"/>
      <w:marLeft w:val="0"/>
      <w:marRight w:val="0"/>
      <w:marTop w:val="0"/>
      <w:marBottom w:val="0"/>
      <w:divBdr>
        <w:top w:val="none" w:sz="0" w:space="0" w:color="auto"/>
        <w:left w:val="none" w:sz="0" w:space="0" w:color="auto"/>
        <w:bottom w:val="none" w:sz="0" w:space="0" w:color="auto"/>
        <w:right w:val="none" w:sz="0" w:space="0" w:color="auto"/>
      </w:divBdr>
    </w:div>
    <w:div w:id="598147638">
      <w:bodyDiv w:val="1"/>
      <w:marLeft w:val="0"/>
      <w:marRight w:val="0"/>
      <w:marTop w:val="0"/>
      <w:marBottom w:val="0"/>
      <w:divBdr>
        <w:top w:val="none" w:sz="0" w:space="0" w:color="auto"/>
        <w:left w:val="none" w:sz="0" w:space="0" w:color="auto"/>
        <w:bottom w:val="none" w:sz="0" w:space="0" w:color="auto"/>
        <w:right w:val="none" w:sz="0" w:space="0" w:color="auto"/>
      </w:divBdr>
    </w:div>
    <w:div w:id="647168846">
      <w:bodyDiv w:val="1"/>
      <w:marLeft w:val="0"/>
      <w:marRight w:val="0"/>
      <w:marTop w:val="0"/>
      <w:marBottom w:val="0"/>
      <w:divBdr>
        <w:top w:val="none" w:sz="0" w:space="0" w:color="auto"/>
        <w:left w:val="none" w:sz="0" w:space="0" w:color="auto"/>
        <w:bottom w:val="none" w:sz="0" w:space="0" w:color="auto"/>
        <w:right w:val="none" w:sz="0" w:space="0" w:color="auto"/>
      </w:divBdr>
    </w:div>
    <w:div w:id="734817871">
      <w:bodyDiv w:val="1"/>
      <w:marLeft w:val="0"/>
      <w:marRight w:val="0"/>
      <w:marTop w:val="0"/>
      <w:marBottom w:val="0"/>
      <w:divBdr>
        <w:top w:val="none" w:sz="0" w:space="0" w:color="auto"/>
        <w:left w:val="none" w:sz="0" w:space="0" w:color="auto"/>
        <w:bottom w:val="none" w:sz="0" w:space="0" w:color="auto"/>
        <w:right w:val="none" w:sz="0" w:space="0" w:color="auto"/>
      </w:divBdr>
    </w:div>
    <w:div w:id="1120606134">
      <w:bodyDiv w:val="1"/>
      <w:marLeft w:val="0"/>
      <w:marRight w:val="0"/>
      <w:marTop w:val="0"/>
      <w:marBottom w:val="0"/>
      <w:divBdr>
        <w:top w:val="none" w:sz="0" w:space="0" w:color="auto"/>
        <w:left w:val="none" w:sz="0" w:space="0" w:color="auto"/>
        <w:bottom w:val="none" w:sz="0" w:space="0" w:color="auto"/>
        <w:right w:val="none" w:sz="0" w:space="0" w:color="auto"/>
      </w:divBdr>
    </w:div>
    <w:div w:id="1233734089">
      <w:bodyDiv w:val="1"/>
      <w:marLeft w:val="0"/>
      <w:marRight w:val="0"/>
      <w:marTop w:val="0"/>
      <w:marBottom w:val="0"/>
      <w:divBdr>
        <w:top w:val="none" w:sz="0" w:space="0" w:color="auto"/>
        <w:left w:val="none" w:sz="0" w:space="0" w:color="auto"/>
        <w:bottom w:val="none" w:sz="0" w:space="0" w:color="auto"/>
        <w:right w:val="none" w:sz="0" w:space="0" w:color="auto"/>
      </w:divBdr>
    </w:div>
    <w:div w:id="1286042746">
      <w:bodyDiv w:val="1"/>
      <w:marLeft w:val="0"/>
      <w:marRight w:val="0"/>
      <w:marTop w:val="0"/>
      <w:marBottom w:val="0"/>
      <w:divBdr>
        <w:top w:val="none" w:sz="0" w:space="0" w:color="auto"/>
        <w:left w:val="none" w:sz="0" w:space="0" w:color="auto"/>
        <w:bottom w:val="none" w:sz="0" w:space="0" w:color="auto"/>
        <w:right w:val="none" w:sz="0" w:space="0" w:color="auto"/>
      </w:divBdr>
    </w:div>
    <w:div w:id="1397123451">
      <w:bodyDiv w:val="1"/>
      <w:marLeft w:val="0"/>
      <w:marRight w:val="0"/>
      <w:marTop w:val="0"/>
      <w:marBottom w:val="0"/>
      <w:divBdr>
        <w:top w:val="none" w:sz="0" w:space="0" w:color="auto"/>
        <w:left w:val="none" w:sz="0" w:space="0" w:color="auto"/>
        <w:bottom w:val="none" w:sz="0" w:space="0" w:color="auto"/>
        <w:right w:val="none" w:sz="0" w:space="0" w:color="auto"/>
      </w:divBdr>
    </w:div>
    <w:div w:id="1592272369">
      <w:bodyDiv w:val="1"/>
      <w:marLeft w:val="0"/>
      <w:marRight w:val="0"/>
      <w:marTop w:val="0"/>
      <w:marBottom w:val="0"/>
      <w:divBdr>
        <w:top w:val="none" w:sz="0" w:space="0" w:color="auto"/>
        <w:left w:val="none" w:sz="0" w:space="0" w:color="auto"/>
        <w:bottom w:val="none" w:sz="0" w:space="0" w:color="auto"/>
        <w:right w:val="none" w:sz="0" w:space="0" w:color="auto"/>
      </w:divBdr>
    </w:div>
    <w:div w:id="1594043959">
      <w:bodyDiv w:val="1"/>
      <w:marLeft w:val="0"/>
      <w:marRight w:val="0"/>
      <w:marTop w:val="0"/>
      <w:marBottom w:val="0"/>
      <w:divBdr>
        <w:top w:val="none" w:sz="0" w:space="0" w:color="auto"/>
        <w:left w:val="none" w:sz="0" w:space="0" w:color="auto"/>
        <w:bottom w:val="none" w:sz="0" w:space="0" w:color="auto"/>
        <w:right w:val="none" w:sz="0" w:space="0" w:color="auto"/>
      </w:divBdr>
    </w:div>
    <w:div w:id="1612780303">
      <w:bodyDiv w:val="1"/>
      <w:marLeft w:val="0"/>
      <w:marRight w:val="0"/>
      <w:marTop w:val="0"/>
      <w:marBottom w:val="0"/>
      <w:divBdr>
        <w:top w:val="none" w:sz="0" w:space="0" w:color="auto"/>
        <w:left w:val="none" w:sz="0" w:space="0" w:color="auto"/>
        <w:bottom w:val="none" w:sz="0" w:space="0" w:color="auto"/>
        <w:right w:val="none" w:sz="0" w:space="0" w:color="auto"/>
      </w:divBdr>
    </w:div>
    <w:div w:id="1805149829">
      <w:bodyDiv w:val="1"/>
      <w:marLeft w:val="0"/>
      <w:marRight w:val="0"/>
      <w:marTop w:val="0"/>
      <w:marBottom w:val="0"/>
      <w:divBdr>
        <w:top w:val="none" w:sz="0" w:space="0" w:color="auto"/>
        <w:left w:val="none" w:sz="0" w:space="0" w:color="auto"/>
        <w:bottom w:val="none" w:sz="0" w:space="0" w:color="auto"/>
        <w:right w:val="none" w:sz="0" w:space="0" w:color="auto"/>
      </w:divBdr>
    </w:div>
    <w:div w:id="1810440846">
      <w:bodyDiv w:val="1"/>
      <w:marLeft w:val="0"/>
      <w:marRight w:val="0"/>
      <w:marTop w:val="0"/>
      <w:marBottom w:val="0"/>
      <w:divBdr>
        <w:top w:val="none" w:sz="0" w:space="0" w:color="auto"/>
        <w:left w:val="none" w:sz="0" w:space="0" w:color="auto"/>
        <w:bottom w:val="none" w:sz="0" w:space="0" w:color="auto"/>
        <w:right w:val="none" w:sz="0" w:space="0" w:color="auto"/>
      </w:divBdr>
    </w:div>
    <w:div w:id="2080976520">
      <w:bodyDiv w:val="1"/>
      <w:marLeft w:val="0"/>
      <w:marRight w:val="0"/>
      <w:marTop w:val="0"/>
      <w:marBottom w:val="0"/>
      <w:divBdr>
        <w:top w:val="none" w:sz="0" w:space="0" w:color="auto"/>
        <w:left w:val="none" w:sz="0" w:space="0" w:color="auto"/>
        <w:bottom w:val="none" w:sz="0" w:space="0" w:color="auto"/>
        <w:right w:val="none" w:sz="0" w:space="0" w:color="auto"/>
      </w:divBdr>
    </w:div>
    <w:div w:id="209867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andfonline.com/doi/full/10.1080/1057610X.2025.250655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itehouse.gov/presidential-actions/2025/01/designating-cartels-and-other-organizations-as-foreign-terrorist-organizations-and-specially-designated-global-terrorists/" TargetMode="External"/><Relationship Id="rId5" Type="http://schemas.openxmlformats.org/officeDocument/2006/relationships/hyperlink" Target="https://www.congress.gov/crs-product/R41333" TargetMode="External"/><Relationship Id="rId4" Type="http://schemas.openxmlformats.org/officeDocument/2006/relationships/hyperlink" Target="https://www.american.edu/spa/news/classifying-cartels-as-ftos-06202025.cf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12</cp:revision>
  <dcterms:created xsi:type="dcterms:W3CDTF">2025-09-18T23:53:00Z</dcterms:created>
  <dcterms:modified xsi:type="dcterms:W3CDTF">2025-09-19T00:57:00Z</dcterms:modified>
</cp:coreProperties>
</file>