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32D9" w14:textId="77777777" w:rsidR="00676EDE" w:rsidRPr="005F7C98" w:rsidRDefault="00676EDE" w:rsidP="006E5830">
      <w:pPr>
        <w:spacing w:after="0" w:line="480" w:lineRule="auto"/>
        <w:rPr>
          <w:rFonts w:ascii="Times New Roman" w:hAnsi="Times New Roman" w:cs="Times New Roman"/>
        </w:rPr>
      </w:pPr>
      <w:r w:rsidRPr="005F7C98">
        <w:rPr>
          <w:rFonts w:ascii="Times New Roman" w:hAnsi="Times New Roman" w:cs="Times New Roman"/>
        </w:rPr>
        <w:t>Tyler Vander Mooren</w:t>
      </w:r>
    </w:p>
    <w:p w14:paraId="14AD90FE" w14:textId="08DDA7BF" w:rsidR="00676EDE" w:rsidRPr="005F7C98" w:rsidRDefault="00676EDE" w:rsidP="006E5830">
      <w:pPr>
        <w:spacing w:after="0" w:line="480" w:lineRule="auto"/>
        <w:rPr>
          <w:rFonts w:ascii="Times New Roman" w:hAnsi="Times New Roman" w:cs="Times New Roman"/>
        </w:rPr>
      </w:pPr>
      <w:r w:rsidRPr="005F7C98">
        <w:rPr>
          <w:rFonts w:ascii="Times New Roman" w:hAnsi="Times New Roman" w:cs="Times New Roman"/>
        </w:rPr>
        <w:t xml:space="preserve">CCJ385 – </w:t>
      </w:r>
      <w:r w:rsidR="00C00BD5" w:rsidRPr="005F7C98">
        <w:rPr>
          <w:rFonts w:ascii="Times New Roman" w:hAnsi="Times New Roman" w:cs="Times New Roman"/>
        </w:rPr>
        <w:t>Reflection 1</w:t>
      </w:r>
    </w:p>
    <w:p w14:paraId="7D4705D1" w14:textId="77777777" w:rsidR="00123981" w:rsidRPr="005F7C98" w:rsidRDefault="00676EDE" w:rsidP="006E5830">
      <w:pPr>
        <w:spacing w:after="0" w:line="480" w:lineRule="auto"/>
        <w:rPr>
          <w:rFonts w:ascii="Times New Roman" w:hAnsi="Times New Roman" w:cs="Times New Roman"/>
        </w:rPr>
      </w:pPr>
      <w:r w:rsidRPr="005F7C98">
        <w:rPr>
          <w:rFonts w:ascii="Times New Roman" w:hAnsi="Times New Roman" w:cs="Times New Roman"/>
        </w:rPr>
        <w:t>9/26/2025</w:t>
      </w:r>
    </w:p>
    <w:p w14:paraId="4845A035" w14:textId="0B60025B" w:rsidR="00123981" w:rsidRPr="005F7C98" w:rsidRDefault="005121AE" w:rsidP="006E5830">
      <w:pPr>
        <w:spacing w:after="0" w:line="480" w:lineRule="auto"/>
        <w:rPr>
          <w:rFonts w:ascii="Times New Roman" w:hAnsi="Times New Roman" w:cs="Times New Roman"/>
        </w:rPr>
      </w:pPr>
      <w:r w:rsidRPr="005F7C98">
        <w:rPr>
          <w:rFonts w:ascii="Times New Roman" w:hAnsi="Times New Roman" w:cs="Times New Roman"/>
          <w:b/>
          <w:bCs/>
        </w:rPr>
        <w:t>The Consequences of Reprioritizing DOJ Objectives Away from Combating Domestic Extremism</w:t>
      </w:r>
    </w:p>
    <w:p w14:paraId="02C8A928" w14:textId="77777777" w:rsidR="00123981" w:rsidRPr="005F7C98" w:rsidRDefault="001015CB" w:rsidP="00247B29">
      <w:pPr>
        <w:spacing w:after="0" w:line="480" w:lineRule="auto"/>
        <w:ind w:firstLine="720"/>
        <w:rPr>
          <w:rFonts w:ascii="Times New Roman" w:hAnsi="Times New Roman" w:cs="Times New Roman"/>
          <w:b/>
          <w:bCs/>
        </w:rPr>
      </w:pPr>
      <w:r w:rsidRPr="001015CB">
        <w:rPr>
          <w:rFonts w:ascii="Times New Roman" w:eastAsia="Times New Roman" w:hAnsi="Times New Roman" w:cs="Times New Roman"/>
          <w:kern w:val="0"/>
          <w14:ligatures w14:val="none"/>
        </w:rPr>
        <w:t>Non-state actors</w:t>
      </w:r>
      <w:r w:rsidR="00A4033B" w:rsidRPr="005F7C98">
        <w:rPr>
          <w:rFonts w:ascii="Times New Roman" w:eastAsia="Times New Roman" w:hAnsi="Times New Roman" w:cs="Times New Roman"/>
          <w:kern w:val="0"/>
          <w14:ligatures w14:val="none"/>
        </w:rPr>
        <w:t xml:space="preserve"> are</w:t>
      </w:r>
      <w:r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groups or individuals operating outside the formal authority of a government</w:t>
      </w:r>
      <w:r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 xml:space="preserve">represent one of the most dynamic threats to U.S. national security today. Among them, domestic extremist groups pose unique dangers because they exploit the openness of American society to pursue anti-government, ideological, and violent agendas. Domestic terrorism is not a distant or foreign issue but a persistent and growing threat within the United States itself. As recent scholarships and government reports </w:t>
      </w:r>
      <w:r w:rsidR="00420A0E" w:rsidRPr="005F7C98">
        <w:rPr>
          <w:rFonts w:ascii="Times New Roman" w:eastAsia="Times New Roman" w:hAnsi="Times New Roman" w:cs="Times New Roman"/>
          <w:kern w:val="0"/>
          <w14:ligatures w14:val="none"/>
        </w:rPr>
        <w:t>show</w:t>
      </w:r>
      <w:r w:rsidRPr="001015CB">
        <w:rPr>
          <w:rFonts w:ascii="Times New Roman" w:eastAsia="Times New Roman" w:hAnsi="Times New Roman" w:cs="Times New Roman"/>
          <w:kern w:val="0"/>
          <w14:ligatures w14:val="none"/>
        </w:rPr>
        <w:t xml:space="preserve"> extremist actors from organized militias to lone wolf attackers have increased both in activity and lethality (Hough, 2023). </w:t>
      </w:r>
      <w:r w:rsidR="00420A0E" w:rsidRPr="005F7C98">
        <w:rPr>
          <w:rFonts w:ascii="Times New Roman" w:eastAsia="Times New Roman" w:hAnsi="Times New Roman" w:cs="Times New Roman"/>
          <w:kern w:val="0"/>
          <w14:ligatures w14:val="none"/>
        </w:rPr>
        <w:t>There are many</w:t>
      </w:r>
      <w:r w:rsidRPr="001015CB">
        <w:rPr>
          <w:rFonts w:ascii="Times New Roman" w:eastAsia="Times New Roman" w:hAnsi="Times New Roman" w:cs="Times New Roman"/>
          <w:kern w:val="0"/>
          <w14:ligatures w14:val="none"/>
        </w:rPr>
        <w:t xml:space="preserve"> risks posed by non-state extremist actors</w:t>
      </w:r>
      <w:r w:rsidR="00420A0E" w:rsidRPr="005F7C98">
        <w:rPr>
          <w:rFonts w:ascii="Times New Roman" w:eastAsia="Times New Roman" w:hAnsi="Times New Roman" w:cs="Times New Roman"/>
          <w:kern w:val="0"/>
          <w14:ligatures w14:val="none"/>
        </w:rPr>
        <w:t xml:space="preserve"> and with</w:t>
      </w:r>
      <w:r w:rsidRPr="001015CB">
        <w:rPr>
          <w:rFonts w:ascii="Times New Roman" w:eastAsia="Times New Roman" w:hAnsi="Times New Roman" w:cs="Times New Roman"/>
          <w:kern w:val="0"/>
          <w14:ligatures w14:val="none"/>
        </w:rPr>
        <w:t xml:space="preserve"> the Department of Justice’s (DOJ) recent reprioritization away from combating domestic terrorism</w:t>
      </w:r>
      <w:r w:rsidR="00420A0E" w:rsidRPr="005F7C98">
        <w:rPr>
          <w:rFonts w:ascii="Times New Roman" w:eastAsia="Times New Roman" w:hAnsi="Times New Roman" w:cs="Times New Roman"/>
          <w:kern w:val="0"/>
          <w14:ligatures w14:val="none"/>
        </w:rPr>
        <w:t>, these risks grow ever larger. D</w:t>
      </w:r>
      <w:r w:rsidRPr="001015CB">
        <w:rPr>
          <w:rFonts w:ascii="Times New Roman" w:eastAsia="Times New Roman" w:hAnsi="Times New Roman" w:cs="Times New Roman"/>
          <w:kern w:val="0"/>
          <w14:ligatures w14:val="none"/>
        </w:rPr>
        <w:t>eprioritizing domestic extremism undermines long-term national security and leaves the U.S. more vulnerable to radicalization and violence, even if short-term cost savings appear beneficial.</w:t>
      </w:r>
    </w:p>
    <w:p w14:paraId="21F22216" w14:textId="77777777" w:rsidR="00123981" w:rsidRPr="005F7C98" w:rsidRDefault="001015CB" w:rsidP="006E5830">
      <w:pPr>
        <w:spacing w:after="0" w:line="480" w:lineRule="auto"/>
        <w:rPr>
          <w:rFonts w:ascii="Times New Roman" w:hAnsi="Times New Roman" w:cs="Times New Roman"/>
          <w:b/>
          <w:bCs/>
        </w:rPr>
      </w:pPr>
      <w:r w:rsidRPr="001015CB">
        <w:rPr>
          <w:rFonts w:ascii="Times New Roman" w:eastAsia="Times New Roman" w:hAnsi="Times New Roman" w:cs="Times New Roman"/>
          <w:b/>
          <w:bCs/>
          <w:kern w:val="0"/>
          <w14:ligatures w14:val="none"/>
        </w:rPr>
        <w:t>Threat Overview</w:t>
      </w:r>
    </w:p>
    <w:p w14:paraId="1BEDAE8A" w14:textId="77777777" w:rsidR="00123981" w:rsidRPr="005F7C98" w:rsidRDefault="001015CB" w:rsidP="006E5830">
      <w:pPr>
        <w:spacing w:after="0" w:line="480" w:lineRule="auto"/>
        <w:ind w:firstLine="720"/>
        <w:rPr>
          <w:rFonts w:ascii="Times New Roman" w:hAnsi="Times New Roman" w:cs="Times New Roman"/>
          <w:b/>
          <w:bCs/>
        </w:rPr>
      </w:pPr>
      <w:r w:rsidRPr="001015CB">
        <w:rPr>
          <w:rFonts w:ascii="Times New Roman" w:eastAsia="Times New Roman" w:hAnsi="Times New Roman" w:cs="Times New Roman"/>
          <w:kern w:val="0"/>
          <w14:ligatures w14:val="none"/>
        </w:rPr>
        <w:t xml:space="preserve">Non-state extremist actors are individuals and groups who operate independently from recognized states and pursue violent, ideological, or political goals. </w:t>
      </w:r>
      <w:r w:rsidR="00420A0E" w:rsidRPr="005F7C98">
        <w:rPr>
          <w:rFonts w:ascii="Times New Roman" w:eastAsia="Times New Roman" w:hAnsi="Times New Roman" w:cs="Times New Roman"/>
          <w:kern w:val="0"/>
          <w14:ligatures w14:val="none"/>
        </w:rPr>
        <w:t>These</w:t>
      </w:r>
      <w:r w:rsidRPr="001015CB">
        <w:rPr>
          <w:rFonts w:ascii="Times New Roman" w:eastAsia="Times New Roman" w:hAnsi="Times New Roman" w:cs="Times New Roman"/>
          <w:kern w:val="0"/>
          <w14:ligatures w14:val="none"/>
        </w:rPr>
        <w:t xml:space="preserve"> non-state actors often exploit information networks, weak institutional oversight, and social grievances to spread their ideologies and recruit new members</w:t>
      </w:r>
      <w:r w:rsidR="00420A0E" w:rsidRPr="005F7C98">
        <w:rPr>
          <w:rFonts w:ascii="Times New Roman" w:eastAsia="Times New Roman" w:hAnsi="Times New Roman" w:cs="Times New Roman"/>
          <w:kern w:val="0"/>
          <w14:ligatures w14:val="none"/>
        </w:rPr>
        <w:t xml:space="preserve"> (Grana &amp; Windell, 20</w:t>
      </w:r>
      <w:r w:rsidR="005A6D10" w:rsidRPr="005F7C98">
        <w:rPr>
          <w:rFonts w:ascii="Times New Roman" w:eastAsia="Times New Roman" w:hAnsi="Times New Roman" w:cs="Times New Roman"/>
          <w:kern w:val="0"/>
          <w14:ligatures w14:val="none"/>
        </w:rPr>
        <w:t>2</w:t>
      </w:r>
      <w:r w:rsidR="00420A0E" w:rsidRPr="005F7C98">
        <w:rPr>
          <w:rFonts w:ascii="Times New Roman" w:eastAsia="Times New Roman" w:hAnsi="Times New Roman" w:cs="Times New Roman"/>
          <w:kern w:val="0"/>
          <w14:ligatures w14:val="none"/>
        </w:rPr>
        <w:t>1).</w:t>
      </w:r>
      <w:r w:rsidRPr="001015CB">
        <w:rPr>
          <w:rFonts w:ascii="Times New Roman" w:eastAsia="Times New Roman" w:hAnsi="Times New Roman" w:cs="Times New Roman"/>
          <w:kern w:val="0"/>
          <w14:ligatures w14:val="none"/>
        </w:rPr>
        <w:t xml:space="preserve"> Domestic extremism specifically refers to threats from inside the U.S., ranging from anti-government militias and white </w:t>
      </w:r>
      <w:r w:rsidRPr="001015CB">
        <w:rPr>
          <w:rFonts w:ascii="Times New Roman" w:eastAsia="Times New Roman" w:hAnsi="Times New Roman" w:cs="Times New Roman"/>
          <w:kern w:val="0"/>
          <w14:ligatures w14:val="none"/>
        </w:rPr>
        <w:lastRenderedPageBreak/>
        <w:t>supremacist groups to radicalized lone actors. The relevance of this threat is undeniable</w:t>
      </w:r>
      <w:r w:rsidR="001C407E" w:rsidRPr="005F7C98">
        <w:rPr>
          <w:rFonts w:ascii="Times New Roman" w:eastAsia="Times New Roman" w:hAnsi="Times New Roman" w:cs="Times New Roman"/>
          <w:kern w:val="0"/>
          <w14:ligatures w14:val="none"/>
        </w:rPr>
        <w:t>.</w:t>
      </w:r>
      <w:r w:rsidRPr="001015CB">
        <w:rPr>
          <w:rFonts w:ascii="Times New Roman" w:eastAsia="Times New Roman" w:hAnsi="Times New Roman" w:cs="Times New Roman"/>
          <w:kern w:val="0"/>
          <w14:ligatures w14:val="none"/>
        </w:rPr>
        <w:t xml:space="preserve"> </w:t>
      </w:r>
      <w:r w:rsidR="001C407E" w:rsidRPr="005F7C98">
        <w:rPr>
          <w:rFonts w:ascii="Times New Roman" w:eastAsia="Times New Roman" w:hAnsi="Times New Roman" w:cs="Times New Roman"/>
          <w:kern w:val="0"/>
          <w14:ligatures w14:val="none"/>
        </w:rPr>
        <w:t>T</w:t>
      </w:r>
      <w:r w:rsidRPr="001015CB">
        <w:rPr>
          <w:rFonts w:ascii="Times New Roman" w:eastAsia="Times New Roman" w:hAnsi="Times New Roman" w:cs="Times New Roman"/>
          <w:kern w:val="0"/>
          <w14:ligatures w14:val="none"/>
        </w:rPr>
        <w:t>he Department of Homeland Security (DHS) and DOJ both recognize domestic violent extremism as one of the most significant terrorism</w:t>
      </w:r>
      <w:r w:rsidR="00420A0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related threats facing the nation (DOJ, 2023). Incidents like the January 6th Capitol attack, militia</w:t>
      </w:r>
      <w:r w:rsidR="00420A0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 xml:space="preserve">related standoffs, and targeted mass shootings underscore how extremist actors bypass traditional counterterrorism defenses. </w:t>
      </w:r>
      <w:r w:rsidR="00420A0E" w:rsidRPr="005F7C98">
        <w:rPr>
          <w:rFonts w:ascii="Times New Roman" w:eastAsia="Times New Roman" w:hAnsi="Times New Roman" w:cs="Times New Roman"/>
          <w:kern w:val="0"/>
          <w14:ligatures w14:val="none"/>
        </w:rPr>
        <w:t>G</w:t>
      </w:r>
      <w:r w:rsidRPr="001015CB">
        <w:rPr>
          <w:rFonts w:ascii="Times New Roman" w:eastAsia="Times New Roman" w:hAnsi="Times New Roman" w:cs="Times New Roman"/>
          <w:kern w:val="0"/>
          <w14:ligatures w14:val="none"/>
        </w:rPr>
        <w:t>lobal security threats are n</w:t>
      </w:r>
      <w:r w:rsidR="00531CB4" w:rsidRPr="005F7C98">
        <w:rPr>
          <w:rFonts w:ascii="Times New Roman" w:eastAsia="Times New Roman" w:hAnsi="Times New Roman" w:cs="Times New Roman"/>
          <w:kern w:val="0"/>
          <w14:ligatures w14:val="none"/>
        </w:rPr>
        <w:t>ot solely external;</w:t>
      </w:r>
      <w:r w:rsidR="00420A0E" w:rsidRPr="005F7C98">
        <w:rPr>
          <w:rFonts w:ascii="Times New Roman" w:eastAsia="Times New Roman" w:hAnsi="Times New Roman" w:cs="Times New Roman"/>
          <w:kern w:val="0"/>
          <w14:ligatures w14:val="none"/>
        </w:rPr>
        <w:t xml:space="preserve"> </w:t>
      </w:r>
      <w:r w:rsidR="00531CB4" w:rsidRPr="005F7C98">
        <w:rPr>
          <w:rFonts w:ascii="Times New Roman" w:eastAsia="Times New Roman" w:hAnsi="Times New Roman" w:cs="Times New Roman"/>
          <w:kern w:val="0"/>
          <w14:ligatures w14:val="none"/>
        </w:rPr>
        <w:t>internal extremist activity has become more prevalent in recent years</w:t>
      </w:r>
      <w:r w:rsidR="00420A0E" w:rsidRPr="005F7C98">
        <w:rPr>
          <w:rFonts w:ascii="Times New Roman" w:eastAsia="Times New Roman" w:hAnsi="Times New Roman" w:cs="Times New Roman"/>
          <w:kern w:val="0"/>
          <w14:ligatures w14:val="none"/>
        </w:rPr>
        <w:t xml:space="preserve"> (Hough, 2023).</w:t>
      </w:r>
    </w:p>
    <w:p w14:paraId="0E255180" w14:textId="77777777" w:rsidR="00123981" w:rsidRPr="005F7C98" w:rsidRDefault="001015CB" w:rsidP="006E5830">
      <w:pPr>
        <w:spacing w:after="0" w:line="480" w:lineRule="auto"/>
        <w:rPr>
          <w:rFonts w:ascii="Times New Roman" w:hAnsi="Times New Roman" w:cs="Times New Roman"/>
          <w:b/>
          <w:bCs/>
        </w:rPr>
      </w:pPr>
      <w:r w:rsidRPr="001015CB">
        <w:rPr>
          <w:rFonts w:ascii="Times New Roman" w:eastAsia="Times New Roman" w:hAnsi="Times New Roman" w:cs="Times New Roman"/>
          <w:b/>
          <w:bCs/>
          <w:kern w:val="0"/>
          <w14:ligatures w14:val="none"/>
        </w:rPr>
        <w:t>Government Changes</w:t>
      </w:r>
    </w:p>
    <w:p w14:paraId="237C7CC7" w14:textId="2336F36D" w:rsidR="00123981" w:rsidRPr="005F7C98" w:rsidRDefault="001015CB" w:rsidP="006E5830">
      <w:pPr>
        <w:spacing w:after="0" w:line="480" w:lineRule="auto"/>
        <w:ind w:firstLine="720"/>
        <w:rPr>
          <w:rFonts w:ascii="Times New Roman" w:hAnsi="Times New Roman" w:cs="Times New Roman"/>
          <w:b/>
          <w:bCs/>
        </w:rPr>
      </w:pPr>
      <w:r w:rsidRPr="001015CB">
        <w:rPr>
          <w:rFonts w:ascii="Times New Roman" w:eastAsia="Times New Roman" w:hAnsi="Times New Roman" w:cs="Times New Roman"/>
          <w:kern w:val="0"/>
          <w14:ligatures w14:val="none"/>
        </w:rPr>
        <w:t>Despite the growing seriousness of these threats, the DOJ has reprioritized its objectives in recent years</w:t>
      </w:r>
      <w:r w:rsidR="000432AA" w:rsidRPr="005F7C98">
        <w:rPr>
          <w:rFonts w:ascii="Times New Roman" w:eastAsia="Times New Roman" w:hAnsi="Times New Roman" w:cs="Times New Roman"/>
          <w:kern w:val="0"/>
          <w14:ligatures w14:val="none"/>
        </w:rPr>
        <w:t xml:space="preserve"> and </w:t>
      </w:r>
      <w:r w:rsidRPr="001015CB">
        <w:rPr>
          <w:rFonts w:ascii="Times New Roman" w:eastAsia="Times New Roman" w:hAnsi="Times New Roman" w:cs="Times New Roman"/>
          <w:kern w:val="0"/>
          <w14:ligatures w14:val="none"/>
        </w:rPr>
        <w:t>shift</w:t>
      </w:r>
      <w:r w:rsidR="000432AA" w:rsidRPr="005F7C98">
        <w:rPr>
          <w:rFonts w:ascii="Times New Roman" w:eastAsia="Times New Roman" w:hAnsi="Times New Roman" w:cs="Times New Roman"/>
          <w:kern w:val="0"/>
          <w14:ligatures w14:val="none"/>
        </w:rPr>
        <w:t>ed</w:t>
      </w:r>
      <w:r w:rsidRPr="001015CB">
        <w:rPr>
          <w:rFonts w:ascii="Times New Roman" w:eastAsia="Times New Roman" w:hAnsi="Times New Roman" w:cs="Times New Roman"/>
          <w:kern w:val="0"/>
          <w14:ligatures w14:val="none"/>
        </w:rPr>
        <w:t xml:space="preserve"> resources away from domestic counterterrorism efforts. Budgetary reallocations have scaled back the FBI’s counter</w:t>
      </w:r>
      <w:r w:rsidR="00420A0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extremism units, narrowing the scope of domestic terrorism investigations (</w:t>
      </w:r>
      <w:r w:rsidR="007D6269" w:rsidRPr="005F7C98">
        <w:rPr>
          <w:rFonts w:ascii="Times New Roman" w:eastAsia="Times New Roman" w:hAnsi="Times New Roman" w:cs="Times New Roman"/>
          <w:kern w:val="0"/>
          <w14:ligatures w14:val="none"/>
        </w:rPr>
        <w:t>GAO</w:t>
      </w:r>
      <w:r w:rsidRPr="001015CB">
        <w:rPr>
          <w:rFonts w:ascii="Times New Roman" w:eastAsia="Times New Roman" w:hAnsi="Times New Roman" w:cs="Times New Roman"/>
          <w:kern w:val="0"/>
          <w14:ligatures w14:val="none"/>
        </w:rPr>
        <w:t>, 2025). While the DOJ previously invested heavily in monitoring extremist networks, recent directives have emphasized focusing on immigration</w:t>
      </w:r>
      <w:r w:rsidR="00420A0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related crimes and cybercrime instead (Byman, 2023). This shift has generated political and public debate</w:t>
      </w:r>
      <w:r w:rsidR="00420A0E" w:rsidRPr="005F7C98">
        <w:rPr>
          <w:rFonts w:ascii="Times New Roman" w:eastAsia="Times New Roman" w:hAnsi="Times New Roman" w:cs="Times New Roman"/>
          <w:kern w:val="0"/>
          <w14:ligatures w14:val="none"/>
        </w:rPr>
        <w:t>, mainly on the immigration related side</w:t>
      </w:r>
      <w:r w:rsidRPr="001015CB">
        <w:rPr>
          <w:rFonts w:ascii="Times New Roman" w:eastAsia="Times New Roman" w:hAnsi="Times New Roman" w:cs="Times New Roman"/>
          <w:kern w:val="0"/>
          <w14:ligatures w14:val="none"/>
        </w:rPr>
        <w:t>. Some policymakers argue that expanding the definition of domestic terrorism risks infringing on civil liberties, while others see the reprioritization as a dangerous concession that leaves extremist groups unchecked.</w:t>
      </w:r>
    </w:p>
    <w:p w14:paraId="7F13A30F" w14:textId="16A06CD9" w:rsidR="00123981" w:rsidRPr="005F7C98" w:rsidRDefault="001015CB" w:rsidP="00FE7DC4">
      <w:pPr>
        <w:spacing w:after="0" w:line="480" w:lineRule="auto"/>
        <w:rPr>
          <w:rFonts w:ascii="Times New Roman" w:eastAsia="Times New Roman" w:hAnsi="Times New Roman" w:cs="Times New Roman"/>
          <w:kern w:val="0"/>
          <w14:ligatures w14:val="none"/>
        </w:rPr>
      </w:pPr>
      <w:r w:rsidRPr="001015CB">
        <w:rPr>
          <w:rFonts w:ascii="Times New Roman" w:eastAsia="Times New Roman" w:hAnsi="Times New Roman" w:cs="Times New Roman"/>
          <w:b/>
          <w:bCs/>
          <w:kern w:val="0"/>
          <w14:ligatures w14:val="none"/>
        </w:rPr>
        <w:t>Consequences and Benefits</w:t>
      </w:r>
    </w:p>
    <w:p w14:paraId="357E6162" w14:textId="0F490363" w:rsidR="00123981" w:rsidRPr="005F7C98" w:rsidRDefault="001015CB" w:rsidP="00FE7DC4">
      <w:pPr>
        <w:spacing w:after="0" w:line="480" w:lineRule="auto"/>
        <w:ind w:firstLine="720"/>
        <w:rPr>
          <w:rFonts w:ascii="Times New Roman" w:eastAsia="Times New Roman" w:hAnsi="Times New Roman" w:cs="Times New Roman"/>
          <w:kern w:val="0"/>
          <w14:ligatures w14:val="none"/>
        </w:rPr>
      </w:pPr>
      <w:r w:rsidRPr="001015CB">
        <w:rPr>
          <w:rFonts w:ascii="Times New Roman" w:eastAsia="Times New Roman" w:hAnsi="Times New Roman" w:cs="Times New Roman"/>
          <w:kern w:val="0"/>
          <w14:ligatures w14:val="none"/>
        </w:rPr>
        <w:t xml:space="preserve">The consequences of these DOJ reprioritizations are significant. Reduced monitoring and deterrence </w:t>
      </w:r>
      <w:r w:rsidR="00420A0E" w:rsidRPr="005F7C98">
        <w:rPr>
          <w:rFonts w:ascii="Times New Roman" w:eastAsia="Times New Roman" w:hAnsi="Times New Roman" w:cs="Times New Roman"/>
          <w:kern w:val="0"/>
          <w14:ligatures w14:val="none"/>
        </w:rPr>
        <w:t>will further promote</w:t>
      </w:r>
      <w:r w:rsidRPr="001015CB">
        <w:rPr>
          <w:rFonts w:ascii="Times New Roman" w:eastAsia="Times New Roman" w:hAnsi="Times New Roman" w:cs="Times New Roman"/>
          <w:kern w:val="0"/>
          <w14:ligatures w14:val="none"/>
        </w:rPr>
        <w:t xml:space="preserve"> extremist groups and create more opportunities for radicalization. </w:t>
      </w:r>
      <w:r w:rsidR="0043081E" w:rsidRPr="005F7C98">
        <w:rPr>
          <w:rFonts w:ascii="Times New Roman" w:eastAsia="Times New Roman" w:hAnsi="Times New Roman" w:cs="Times New Roman"/>
          <w:kern w:val="0"/>
          <w14:ligatures w14:val="none"/>
        </w:rPr>
        <w:t>T</w:t>
      </w:r>
      <w:r w:rsidR="00420A0E" w:rsidRPr="005F7C98">
        <w:rPr>
          <w:rFonts w:ascii="Times New Roman" w:eastAsia="Times New Roman" w:hAnsi="Times New Roman" w:cs="Times New Roman"/>
          <w:kern w:val="0"/>
          <w14:ligatures w14:val="none"/>
        </w:rPr>
        <w:t>his is shown by the GAO that d</w:t>
      </w:r>
      <w:r w:rsidRPr="001015CB">
        <w:rPr>
          <w:rFonts w:ascii="Times New Roman" w:eastAsia="Times New Roman" w:hAnsi="Times New Roman" w:cs="Times New Roman"/>
          <w:kern w:val="0"/>
          <w14:ligatures w14:val="none"/>
        </w:rPr>
        <w:t>eclining investigative resources have been shown to reduce opportunities for early intervention in extremist plots (</w:t>
      </w:r>
      <w:r w:rsidRPr="005F7C98">
        <w:rPr>
          <w:rFonts w:ascii="Times New Roman" w:eastAsia="Times New Roman" w:hAnsi="Times New Roman" w:cs="Times New Roman"/>
          <w:kern w:val="0"/>
          <w14:ligatures w14:val="none"/>
        </w:rPr>
        <w:t>GAO,</w:t>
      </w:r>
      <w:r w:rsidRPr="001015CB">
        <w:rPr>
          <w:rFonts w:ascii="Times New Roman" w:eastAsia="Times New Roman" w:hAnsi="Times New Roman" w:cs="Times New Roman"/>
          <w:kern w:val="0"/>
          <w14:ligatures w14:val="none"/>
        </w:rPr>
        <w:t xml:space="preserve"> 2025). Moreover, scaling back focus </w:t>
      </w:r>
      <w:r w:rsidR="0043081E" w:rsidRPr="005F7C98">
        <w:rPr>
          <w:rFonts w:ascii="Times New Roman" w:eastAsia="Times New Roman" w:hAnsi="Times New Roman" w:cs="Times New Roman"/>
          <w:kern w:val="0"/>
          <w14:ligatures w14:val="none"/>
        </w:rPr>
        <w:t xml:space="preserve">further </w:t>
      </w:r>
      <w:r w:rsidRPr="001015CB">
        <w:rPr>
          <w:rFonts w:ascii="Times New Roman" w:eastAsia="Times New Roman" w:hAnsi="Times New Roman" w:cs="Times New Roman"/>
          <w:kern w:val="0"/>
          <w14:ligatures w14:val="none"/>
        </w:rPr>
        <w:t>undermines public trust in law enforcement, as communities</w:t>
      </w:r>
      <w:r w:rsidR="0043081E" w:rsidRPr="005F7C98">
        <w:rPr>
          <w:rFonts w:ascii="Times New Roman" w:eastAsia="Times New Roman" w:hAnsi="Times New Roman" w:cs="Times New Roman"/>
          <w:kern w:val="0"/>
          <w14:ligatures w14:val="none"/>
        </w:rPr>
        <w:t xml:space="preserve"> will</w:t>
      </w:r>
      <w:r w:rsidRPr="001015CB">
        <w:rPr>
          <w:rFonts w:ascii="Times New Roman" w:eastAsia="Times New Roman" w:hAnsi="Times New Roman" w:cs="Times New Roman"/>
          <w:kern w:val="0"/>
          <w14:ligatures w14:val="none"/>
        </w:rPr>
        <w:t xml:space="preserve"> perceive federal </w:t>
      </w:r>
      <w:r w:rsidRPr="001015CB">
        <w:rPr>
          <w:rFonts w:ascii="Times New Roman" w:eastAsia="Times New Roman" w:hAnsi="Times New Roman" w:cs="Times New Roman"/>
          <w:kern w:val="0"/>
          <w14:ligatures w14:val="none"/>
        </w:rPr>
        <w:lastRenderedPageBreak/>
        <w:t xml:space="preserve">agencies as unprepared or unwilling to address rising domestic terrorism. The potential benefits of these cuts are </w:t>
      </w:r>
      <w:r w:rsidR="0043081E" w:rsidRPr="005F7C98">
        <w:rPr>
          <w:rFonts w:ascii="Times New Roman" w:eastAsia="Times New Roman" w:hAnsi="Times New Roman" w:cs="Times New Roman"/>
          <w:kern w:val="0"/>
          <w14:ligatures w14:val="none"/>
        </w:rPr>
        <w:t xml:space="preserve">almost entirely </w:t>
      </w:r>
      <w:r w:rsidRPr="001015CB">
        <w:rPr>
          <w:rFonts w:ascii="Times New Roman" w:eastAsia="Times New Roman" w:hAnsi="Times New Roman" w:cs="Times New Roman"/>
          <w:kern w:val="0"/>
          <w14:ligatures w14:val="none"/>
        </w:rPr>
        <w:t>resource</w:t>
      </w:r>
      <w:r w:rsidR="0043081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based. Shifting funding away from counter</w:t>
      </w:r>
      <w:r w:rsidR="0043081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extremism allows agencies to invest more in other pressing areas, such as immigration enforcement or cybercrime investigations. However, these benefits appear limited when weighed against the risks. By reducing focus on domestic extremism, the U.S. may be prioritizing short</w:t>
      </w:r>
      <w:r w:rsidR="0043081E" w:rsidRPr="005F7C98">
        <w:rPr>
          <w:rFonts w:ascii="Times New Roman" w:eastAsia="Times New Roman" w:hAnsi="Times New Roman" w:cs="Times New Roman"/>
          <w:kern w:val="0"/>
          <w14:ligatures w14:val="none"/>
        </w:rPr>
        <w:t>-</w:t>
      </w:r>
      <w:r w:rsidRPr="001015CB">
        <w:rPr>
          <w:rFonts w:ascii="Times New Roman" w:eastAsia="Times New Roman" w:hAnsi="Times New Roman" w:cs="Times New Roman"/>
          <w:kern w:val="0"/>
          <w14:ligatures w14:val="none"/>
        </w:rPr>
        <w:t xml:space="preserve">term cost savings </w:t>
      </w:r>
      <w:r w:rsidR="0043081E" w:rsidRPr="005F7C98">
        <w:rPr>
          <w:rFonts w:ascii="Times New Roman" w:eastAsia="Times New Roman" w:hAnsi="Times New Roman" w:cs="Times New Roman"/>
          <w:kern w:val="0"/>
          <w14:ligatures w14:val="none"/>
        </w:rPr>
        <w:t>but at the cost of</w:t>
      </w:r>
      <w:r w:rsidRPr="001015CB">
        <w:rPr>
          <w:rFonts w:ascii="Times New Roman" w:eastAsia="Times New Roman" w:hAnsi="Times New Roman" w:cs="Times New Roman"/>
          <w:kern w:val="0"/>
          <w14:ligatures w14:val="none"/>
        </w:rPr>
        <w:t xml:space="preserve"> </w:t>
      </w:r>
      <w:r w:rsidR="0043081E" w:rsidRPr="005F7C98">
        <w:rPr>
          <w:rFonts w:ascii="Times New Roman" w:eastAsia="Times New Roman" w:hAnsi="Times New Roman" w:cs="Times New Roman"/>
          <w:kern w:val="0"/>
          <w14:ligatures w14:val="none"/>
        </w:rPr>
        <w:t>long-term</w:t>
      </w:r>
      <w:r w:rsidRPr="001015CB">
        <w:rPr>
          <w:rFonts w:ascii="Times New Roman" w:eastAsia="Times New Roman" w:hAnsi="Times New Roman" w:cs="Times New Roman"/>
          <w:kern w:val="0"/>
          <w14:ligatures w14:val="none"/>
        </w:rPr>
        <w:t xml:space="preserve"> security stability.</w:t>
      </w:r>
    </w:p>
    <w:p w14:paraId="3662D933" w14:textId="77777777" w:rsidR="00123981" w:rsidRPr="005F7C98" w:rsidRDefault="001015CB" w:rsidP="00432332">
      <w:pPr>
        <w:spacing w:after="0" w:line="480" w:lineRule="auto"/>
        <w:rPr>
          <w:rFonts w:ascii="Times New Roman" w:eastAsia="Times New Roman" w:hAnsi="Times New Roman" w:cs="Times New Roman"/>
          <w:b/>
          <w:bCs/>
          <w:kern w:val="0"/>
          <w14:ligatures w14:val="none"/>
        </w:rPr>
      </w:pPr>
      <w:r w:rsidRPr="001015CB">
        <w:rPr>
          <w:rFonts w:ascii="Times New Roman" w:eastAsia="Times New Roman" w:hAnsi="Times New Roman" w:cs="Times New Roman"/>
          <w:b/>
          <w:bCs/>
          <w:kern w:val="0"/>
          <w14:ligatures w14:val="none"/>
        </w:rPr>
        <w:t>Ends vs. Means</w:t>
      </w:r>
    </w:p>
    <w:p w14:paraId="58389EFC" w14:textId="4C6AC05F" w:rsidR="00123981" w:rsidRPr="005F7C98" w:rsidRDefault="001015CB" w:rsidP="006E5830">
      <w:pPr>
        <w:spacing w:after="0" w:line="480" w:lineRule="auto"/>
        <w:ind w:firstLine="720"/>
        <w:rPr>
          <w:rFonts w:ascii="Times New Roman" w:eastAsia="Times New Roman" w:hAnsi="Times New Roman" w:cs="Times New Roman"/>
          <w:kern w:val="0"/>
          <w14:ligatures w14:val="none"/>
        </w:rPr>
      </w:pPr>
      <w:r w:rsidRPr="001015CB">
        <w:rPr>
          <w:rFonts w:ascii="Times New Roman" w:eastAsia="Times New Roman" w:hAnsi="Times New Roman" w:cs="Times New Roman"/>
          <w:kern w:val="0"/>
          <w14:ligatures w14:val="none"/>
        </w:rPr>
        <w:t>The core question is whether cost</w:t>
      </w:r>
      <w:r w:rsidR="0043081E" w:rsidRPr="005F7C98">
        <w:rPr>
          <w:rFonts w:ascii="Times New Roman" w:eastAsia="Times New Roman" w:hAnsi="Times New Roman" w:cs="Times New Roman"/>
          <w:kern w:val="0"/>
          <w14:ligatures w14:val="none"/>
        </w:rPr>
        <w:t xml:space="preserve"> </w:t>
      </w:r>
      <w:proofErr w:type="gramStart"/>
      <w:r w:rsidRPr="001015CB">
        <w:rPr>
          <w:rFonts w:ascii="Times New Roman" w:eastAsia="Times New Roman" w:hAnsi="Times New Roman" w:cs="Times New Roman"/>
          <w:kern w:val="0"/>
          <w14:ligatures w14:val="none"/>
        </w:rPr>
        <w:t>cutting</w:t>
      </w:r>
      <w:proofErr w:type="gramEnd"/>
      <w:r w:rsidRPr="001015CB">
        <w:rPr>
          <w:rFonts w:ascii="Times New Roman" w:eastAsia="Times New Roman" w:hAnsi="Times New Roman" w:cs="Times New Roman"/>
          <w:kern w:val="0"/>
          <w14:ligatures w14:val="none"/>
        </w:rPr>
        <w:t xml:space="preserve"> and reprioritization truly creates a stronger, more secure nation. The evidence suggests otherwise. While reallocating resources may reduce spending, it simultaneously increases vulnerability to extremist violence. Intelligence gaps allow extremist networks to </w:t>
      </w:r>
      <w:r w:rsidR="0043081E" w:rsidRPr="005F7C98">
        <w:rPr>
          <w:rFonts w:ascii="Times New Roman" w:eastAsia="Times New Roman" w:hAnsi="Times New Roman" w:cs="Times New Roman"/>
          <w:kern w:val="0"/>
          <w14:ligatures w14:val="none"/>
        </w:rPr>
        <w:t>grow</w:t>
      </w:r>
      <w:r w:rsidRPr="001015CB">
        <w:rPr>
          <w:rFonts w:ascii="Times New Roman" w:eastAsia="Times New Roman" w:hAnsi="Times New Roman" w:cs="Times New Roman"/>
          <w:kern w:val="0"/>
          <w14:ligatures w14:val="none"/>
        </w:rPr>
        <w:t xml:space="preserve"> undetected (Grana &amp; Windell, 2021). Furthermore, undermining domestic counterterrorism efforts weakens deterrence and accountability, </w:t>
      </w:r>
      <w:r w:rsidR="0043081E" w:rsidRPr="005F7C98">
        <w:rPr>
          <w:rFonts w:ascii="Times New Roman" w:eastAsia="Times New Roman" w:hAnsi="Times New Roman" w:cs="Times New Roman"/>
          <w:kern w:val="0"/>
          <w14:ligatures w14:val="none"/>
        </w:rPr>
        <w:t>fostering doubts about government institutions</w:t>
      </w:r>
      <w:r w:rsidRPr="001015CB">
        <w:rPr>
          <w:rFonts w:ascii="Times New Roman" w:eastAsia="Times New Roman" w:hAnsi="Times New Roman" w:cs="Times New Roman"/>
          <w:kern w:val="0"/>
          <w14:ligatures w14:val="none"/>
        </w:rPr>
        <w:t xml:space="preserve"> (Byman, 2023). Cost cutting in national security, particularly in counter</w:t>
      </w:r>
      <w:r w:rsidR="0043081E" w:rsidRPr="005F7C98">
        <w:rPr>
          <w:rFonts w:ascii="Times New Roman" w:eastAsia="Times New Roman" w:hAnsi="Times New Roman" w:cs="Times New Roman"/>
          <w:kern w:val="0"/>
          <w14:ligatures w14:val="none"/>
        </w:rPr>
        <w:t xml:space="preserve"> </w:t>
      </w:r>
      <w:r w:rsidRPr="001015CB">
        <w:rPr>
          <w:rFonts w:ascii="Times New Roman" w:eastAsia="Times New Roman" w:hAnsi="Times New Roman" w:cs="Times New Roman"/>
          <w:kern w:val="0"/>
          <w14:ligatures w14:val="none"/>
        </w:rPr>
        <w:t>extremism, may generate savings</w:t>
      </w:r>
      <w:r w:rsidR="0043081E" w:rsidRPr="005F7C98">
        <w:rPr>
          <w:rFonts w:ascii="Times New Roman" w:eastAsia="Times New Roman" w:hAnsi="Times New Roman" w:cs="Times New Roman"/>
          <w:kern w:val="0"/>
          <w14:ligatures w14:val="none"/>
        </w:rPr>
        <w:t xml:space="preserve"> or reduce spending</w:t>
      </w:r>
      <w:r w:rsidRPr="001015CB">
        <w:rPr>
          <w:rFonts w:ascii="Times New Roman" w:eastAsia="Times New Roman" w:hAnsi="Times New Roman" w:cs="Times New Roman"/>
          <w:kern w:val="0"/>
          <w14:ligatures w14:val="none"/>
        </w:rPr>
        <w:t xml:space="preserve"> but</w:t>
      </w:r>
      <w:r w:rsidR="0043081E" w:rsidRPr="005F7C98">
        <w:rPr>
          <w:rFonts w:ascii="Times New Roman" w:eastAsia="Times New Roman" w:hAnsi="Times New Roman" w:cs="Times New Roman"/>
          <w:kern w:val="0"/>
          <w14:ligatures w14:val="none"/>
        </w:rPr>
        <w:t xml:space="preserve"> it </w:t>
      </w:r>
      <w:r w:rsidRPr="001015CB">
        <w:rPr>
          <w:rFonts w:ascii="Times New Roman" w:eastAsia="Times New Roman" w:hAnsi="Times New Roman" w:cs="Times New Roman"/>
          <w:kern w:val="0"/>
          <w14:ligatures w14:val="none"/>
        </w:rPr>
        <w:t xml:space="preserve">produces long-term risks that outweigh the </w:t>
      </w:r>
      <w:r w:rsidR="0043081E" w:rsidRPr="005F7C98">
        <w:rPr>
          <w:rFonts w:ascii="Times New Roman" w:eastAsia="Times New Roman" w:hAnsi="Times New Roman" w:cs="Times New Roman"/>
          <w:kern w:val="0"/>
          <w14:ligatures w14:val="none"/>
        </w:rPr>
        <w:t>short-term</w:t>
      </w:r>
      <w:r w:rsidRPr="001015CB">
        <w:rPr>
          <w:rFonts w:ascii="Times New Roman" w:eastAsia="Times New Roman" w:hAnsi="Times New Roman" w:cs="Times New Roman"/>
          <w:kern w:val="0"/>
          <w14:ligatures w14:val="none"/>
        </w:rPr>
        <w:t xml:space="preserve"> benefits.</w:t>
      </w:r>
    </w:p>
    <w:p w14:paraId="54337EC5" w14:textId="208CE4F7" w:rsidR="00A4033B" w:rsidRPr="005F7C98" w:rsidRDefault="00A4033B" w:rsidP="006E5830">
      <w:pPr>
        <w:spacing w:after="0" w:line="480" w:lineRule="auto"/>
        <w:ind w:firstLine="720"/>
        <w:rPr>
          <w:rFonts w:ascii="Times New Roman" w:eastAsia="Times New Roman" w:hAnsi="Times New Roman" w:cs="Times New Roman"/>
          <w:kern w:val="0"/>
          <w14:ligatures w14:val="none"/>
        </w:rPr>
      </w:pPr>
      <w:r w:rsidRPr="005F7C98">
        <w:rPr>
          <w:rFonts w:ascii="Times New Roman" w:hAnsi="Times New Roman" w:cs="Times New Roman"/>
        </w:rPr>
        <w:t xml:space="preserve">Domestic extremism, as a non-state actor threat, remains one of the most </w:t>
      </w:r>
      <w:r w:rsidRPr="005F7C98">
        <w:rPr>
          <w:rFonts w:ascii="Times New Roman" w:hAnsi="Times New Roman" w:cs="Times New Roman"/>
        </w:rPr>
        <w:t>significant</w:t>
      </w:r>
      <w:r w:rsidRPr="005F7C98">
        <w:rPr>
          <w:rFonts w:ascii="Times New Roman" w:hAnsi="Times New Roman" w:cs="Times New Roman"/>
        </w:rPr>
        <w:t xml:space="preserve"> challenges to U.S. national security. The DOJ’s reprioritization away from combating extremist groups represents not only a dangerous shift but also a vulnerability that could </w:t>
      </w:r>
      <w:r w:rsidRPr="005F7C98">
        <w:rPr>
          <w:rFonts w:ascii="Times New Roman" w:hAnsi="Times New Roman" w:cs="Times New Roman"/>
        </w:rPr>
        <w:t>further promote</w:t>
      </w:r>
      <w:r w:rsidRPr="005F7C98">
        <w:rPr>
          <w:rFonts w:ascii="Times New Roman" w:hAnsi="Times New Roman" w:cs="Times New Roman"/>
        </w:rPr>
        <w:t xml:space="preserve"> radical actors. While resource reallocation may offer short-term </w:t>
      </w:r>
      <w:r w:rsidRPr="005F7C98">
        <w:rPr>
          <w:rFonts w:ascii="Times New Roman" w:hAnsi="Times New Roman" w:cs="Times New Roman"/>
        </w:rPr>
        <w:t>budget relief</w:t>
      </w:r>
      <w:r w:rsidRPr="005F7C98">
        <w:rPr>
          <w:rFonts w:ascii="Times New Roman" w:hAnsi="Times New Roman" w:cs="Times New Roman"/>
        </w:rPr>
        <w:t>, the long-term costs</w:t>
      </w:r>
      <w:r w:rsidRPr="005F7C98">
        <w:rPr>
          <w:rFonts w:ascii="Times New Roman" w:hAnsi="Times New Roman" w:cs="Times New Roman"/>
        </w:rPr>
        <w:t xml:space="preserve"> which </w:t>
      </w:r>
      <w:r w:rsidRPr="005F7C98">
        <w:rPr>
          <w:rFonts w:ascii="Times New Roman" w:hAnsi="Times New Roman" w:cs="Times New Roman"/>
        </w:rPr>
        <w:t>rang</w:t>
      </w:r>
      <w:r w:rsidRPr="005F7C98">
        <w:rPr>
          <w:rFonts w:ascii="Times New Roman" w:hAnsi="Times New Roman" w:cs="Times New Roman"/>
        </w:rPr>
        <w:t>e</w:t>
      </w:r>
      <w:r w:rsidRPr="005F7C98">
        <w:rPr>
          <w:rFonts w:ascii="Times New Roman" w:hAnsi="Times New Roman" w:cs="Times New Roman"/>
        </w:rPr>
        <w:t xml:space="preserve"> from increased extremist violence to weakened public trust in government institutions</w:t>
      </w:r>
      <w:r w:rsidRPr="005F7C98">
        <w:rPr>
          <w:rFonts w:ascii="Times New Roman" w:hAnsi="Times New Roman" w:cs="Times New Roman"/>
        </w:rPr>
        <w:t xml:space="preserve">, </w:t>
      </w:r>
      <w:r w:rsidRPr="005F7C98">
        <w:rPr>
          <w:rFonts w:ascii="Times New Roman" w:hAnsi="Times New Roman" w:cs="Times New Roman"/>
        </w:rPr>
        <w:t>pose far greater risks.</w:t>
      </w:r>
      <w:r w:rsidRPr="005F7C98">
        <w:rPr>
          <w:rFonts w:ascii="Times New Roman" w:hAnsi="Times New Roman" w:cs="Times New Roman"/>
        </w:rPr>
        <w:t xml:space="preserve"> </w:t>
      </w:r>
      <w:r w:rsidRPr="005F7C98">
        <w:rPr>
          <w:rFonts w:ascii="Times New Roman" w:hAnsi="Times New Roman" w:cs="Times New Roman"/>
        </w:rPr>
        <w:t>These changes highlight a broader problem</w:t>
      </w:r>
      <w:r w:rsidRPr="005F7C98">
        <w:rPr>
          <w:rFonts w:ascii="Times New Roman" w:hAnsi="Times New Roman" w:cs="Times New Roman"/>
        </w:rPr>
        <w:t>,</w:t>
      </w:r>
      <w:r w:rsidRPr="005F7C98">
        <w:rPr>
          <w:rFonts w:ascii="Times New Roman" w:hAnsi="Times New Roman" w:cs="Times New Roman"/>
        </w:rPr>
        <w:t xml:space="preserve"> when domestic security priorities are downgraded</w:t>
      </w:r>
      <w:r w:rsidRPr="005F7C98">
        <w:rPr>
          <w:rFonts w:ascii="Times New Roman" w:hAnsi="Times New Roman" w:cs="Times New Roman"/>
        </w:rPr>
        <w:t>.</w:t>
      </w:r>
      <w:r w:rsidRPr="005F7C98">
        <w:rPr>
          <w:rFonts w:ascii="Times New Roman" w:hAnsi="Times New Roman" w:cs="Times New Roman"/>
        </w:rPr>
        <w:t xml:space="preserve"> </w:t>
      </w:r>
      <w:r w:rsidRPr="005F7C98">
        <w:rPr>
          <w:rFonts w:ascii="Times New Roman" w:hAnsi="Times New Roman" w:cs="Times New Roman"/>
        </w:rPr>
        <w:t>N</w:t>
      </w:r>
      <w:r w:rsidRPr="005F7C98">
        <w:rPr>
          <w:rFonts w:ascii="Times New Roman" w:hAnsi="Times New Roman" w:cs="Times New Roman"/>
        </w:rPr>
        <w:t xml:space="preserve">ational security loses its ability to anticipate, prevent, and disrupt threats at home. If unchecked, this could erode democratic institutions and leave the U.S. </w:t>
      </w:r>
      <w:r w:rsidRPr="005F7C98">
        <w:rPr>
          <w:rFonts w:ascii="Times New Roman" w:hAnsi="Times New Roman" w:cs="Times New Roman"/>
        </w:rPr>
        <w:lastRenderedPageBreak/>
        <w:t xml:space="preserve">exposed to both domestic and foreign adversaries who exploit these gaps. Ultimately, protecting the nation requires sustained investment in </w:t>
      </w:r>
      <w:r w:rsidRPr="005F7C98">
        <w:rPr>
          <w:rFonts w:ascii="Times New Roman" w:hAnsi="Times New Roman" w:cs="Times New Roman"/>
        </w:rPr>
        <w:t>counter-extremist</w:t>
      </w:r>
      <w:r w:rsidRPr="005F7C98">
        <w:rPr>
          <w:rFonts w:ascii="Times New Roman" w:hAnsi="Times New Roman" w:cs="Times New Roman"/>
        </w:rPr>
        <w:t xml:space="preserve"> strategies, because weakening this area does not save resources in the long run</w:t>
      </w:r>
      <w:r w:rsidRPr="005F7C98">
        <w:rPr>
          <w:rFonts w:ascii="Times New Roman" w:hAnsi="Times New Roman" w:cs="Times New Roman"/>
        </w:rPr>
        <w:t xml:space="preserve"> </w:t>
      </w:r>
      <w:r w:rsidRPr="005F7C98">
        <w:rPr>
          <w:rFonts w:ascii="Times New Roman" w:hAnsi="Times New Roman" w:cs="Times New Roman"/>
        </w:rPr>
        <w:t>it only shifts the burden to future crises that will be more costly to contain.</w:t>
      </w:r>
    </w:p>
    <w:p w14:paraId="490441D1" w14:textId="77777777" w:rsidR="00B314D3" w:rsidRPr="005F7C98" w:rsidRDefault="00B314D3" w:rsidP="006E5830">
      <w:pPr>
        <w:spacing w:before="240" w:line="480" w:lineRule="auto"/>
        <w:jc w:val="center"/>
        <w:rPr>
          <w:rFonts w:ascii="Times New Roman" w:hAnsi="Times New Roman" w:cs="Times New Roman"/>
        </w:rPr>
      </w:pPr>
    </w:p>
    <w:p w14:paraId="7570B1CC" w14:textId="5840F271" w:rsidR="00B314D3" w:rsidRPr="005F7C98" w:rsidRDefault="00B314D3" w:rsidP="006E5830">
      <w:pPr>
        <w:spacing w:before="240" w:line="480" w:lineRule="auto"/>
        <w:rPr>
          <w:rFonts w:ascii="Times New Roman" w:hAnsi="Times New Roman" w:cs="Times New Roman"/>
        </w:rPr>
      </w:pPr>
    </w:p>
    <w:p w14:paraId="4EA1C40C" w14:textId="77777777" w:rsidR="00B314D3" w:rsidRPr="005F7C98" w:rsidRDefault="00B314D3" w:rsidP="006E5830">
      <w:pPr>
        <w:spacing w:before="240" w:line="480" w:lineRule="auto"/>
        <w:rPr>
          <w:rFonts w:ascii="Times New Roman" w:hAnsi="Times New Roman" w:cs="Times New Roman"/>
        </w:rPr>
      </w:pPr>
      <w:r w:rsidRPr="005F7C98">
        <w:rPr>
          <w:rFonts w:ascii="Times New Roman" w:hAnsi="Times New Roman" w:cs="Times New Roman"/>
        </w:rPr>
        <w:br w:type="page"/>
      </w:r>
    </w:p>
    <w:p w14:paraId="2EEAE8E3" w14:textId="77777777" w:rsidR="00B314D3" w:rsidRPr="005F7C98" w:rsidRDefault="00B314D3" w:rsidP="006E5830">
      <w:pPr>
        <w:spacing w:before="240" w:line="480" w:lineRule="auto"/>
        <w:jc w:val="center"/>
        <w:rPr>
          <w:rFonts w:ascii="Times New Roman" w:hAnsi="Times New Roman" w:cs="Times New Roman"/>
          <w:b/>
          <w:bCs/>
        </w:rPr>
      </w:pPr>
      <w:r w:rsidRPr="005F7C98">
        <w:rPr>
          <w:rFonts w:ascii="Times New Roman" w:hAnsi="Times New Roman" w:cs="Times New Roman"/>
        </w:rPr>
        <w:lastRenderedPageBreak/>
        <w:t>References</w:t>
      </w:r>
    </w:p>
    <w:p w14:paraId="04F50EDB" w14:textId="77777777" w:rsidR="00B314D3" w:rsidRPr="005F7C98" w:rsidRDefault="00B314D3" w:rsidP="006E5830">
      <w:pPr>
        <w:spacing w:before="240" w:line="480" w:lineRule="auto"/>
        <w:ind w:left="720" w:hanging="720"/>
        <w:rPr>
          <w:rFonts w:ascii="Times New Roman" w:hAnsi="Times New Roman" w:cs="Times New Roman"/>
        </w:rPr>
      </w:pPr>
      <w:r w:rsidRPr="005F7C98">
        <w:rPr>
          <w:rFonts w:ascii="Times New Roman" w:hAnsi="Times New Roman" w:cs="Times New Roman"/>
        </w:rPr>
        <w:t xml:space="preserve">Byman, D. (2023, May). Responding to domestic terrorism: A crisis of legitimacy. </w:t>
      </w:r>
      <w:r w:rsidRPr="005F7C98">
        <w:rPr>
          <w:rFonts w:ascii="Times New Roman" w:hAnsi="Times New Roman" w:cs="Times New Roman"/>
          <w:i/>
          <w:iCs/>
        </w:rPr>
        <w:t>Harvard Law Review, 136</w:t>
      </w:r>
      <w:r w:rsidRPr="005F7C98">
        <w:rPr>
          <w:rFonts w:ascii="Times New Roman" w:hAnsi="Times New Roman" w:cs="Times New Roman"/>
        </w:rPr>
        <w:t xml:space="preserve">(7), 1914–1945. </w:t>
      </w:r>
      <w:hyperlink r:id="rId5" w:history="1">
        <w:r w:rsidRPr="005F7C98">
          <w:rPr>
            <w:rStyle w:val="Hyperlink"/>
            <w:rFonts w:ascii="Times New Roman" w:hAnsi="Times New Roman" w:cs="Times New Roman"/>
          </w:rPr>
          <w:t>https://harvardlawreview.org/print/vol-136/responding-to-domestic-terrorism-a-crisis-of-legitimacy/</w:t>
        </w:r>
      </w:hyperlink>
    </w:p>
    <w:p w14:paraId="4847987D" w14:textId="41CB7B70" w:rsidR="00B314D3" w:rsidRPr="005F7C98" w:rsidRDefault="00B314D3" w:rsidP="006E5830">
      <w:pPr>
        <w:spacing w:before="240" w:line="480" w:lineRule="auto"/>
        <w:ind w:left="720" w:hanging="720"/>
        <w:rPr>
          <w:rFonts w:ascii="Times New Roman" w:hAnsi="Times New Roman" w:cs="Times New Roman"/>
        </w:rPr>
      </w:pPr>
      <w:r w:rsidRPr="005F7C98">
        <w:rPr>
          <w:rFonts w:ascii="Times New Roman" w:hAnsi="Times New Roman" w:cs="Times New Roman"/>
        </w:rPr>
        <w:t>Government Accountability Office</w:t>
      </w:r>
      <w:r w:rsidR="005153CE" w:rsidRPr="005F7C98">
        <w:rPr>
          <w:rFonts w:ascii="Times New Roman" w:hAnsi="Times New Roman" w:cs="Times New Roman"/>
        </w:rPr>
        <w:t xml:space="preserve"> </w:t>
      </w:r>
      <w:r w:rsidR="007D6269" w:rsidRPr="005F7C98">
        <w:rPr>
          <w:rFonts w:ascii="Times New Roman" w:hAnsi="Times New Roman" w:cs="Times New Roman"/>
        </w:rPr>
        <w:t>(GAO)</w:t>
      </w:r>
      <w:r w:rsidRPr="005F7C98">
        <w:rPr>
          <w:rFonts w:ascii="Times New Roman" w:hAnsi="Times New Roman" w:cs="Times New Roman"/>
        </w:rPr>
        <w:t xml:space="preserve">. (2025, April). </w:t>
      </w:r>
      <w:r w:rsidRPr="005F7C98">
        <w:rPr>
          <w:rFonts w:ascii="Times New Roman" w:hAnsi="Times New Roman" w:cs="Times New Roman"/>
          <w:i/>
          <w:iCs/>
        </w:rPr>
        <w:t>Domestic terrorism</w:t>
      </w:r>
      <w:r w:rsidRPr="005F7C98">
        <w:rPr>
          <w:rFonts w:ascii="Times New Roman" w:hAnsi="Times New Roman" w:cs="Times New Roman"/>
        </w:rPr>
        <w:t xml:space="preserve"> (GAO-25-107030). U.S. Government Accountability Office. </w:t>
      </w:r>
      <w:hyperlink r:id="rId6" w:history="1">
        <w:r w:rsidRPr="005F7C98">
          <w:rPr>
            <w:rStyle w:val="Hyperlink"/>
            <w:rFonts w:ascii="Times New Roman" w:hAnsi="Times New Roman" w:cs="Times New Roman"/>
          </w:rPr>
          <w:t>https://www.gao.gov/assets/gao-25-107030.pdf</w:t>
        </w:r>
      </w:hyperlink>
    </w:p>
    <w:p w14:paraId="7DB1BE56" w14:textId="77777777" w:rsidR="00B314D3" w:rsidRPr="005F7C98" w:rsidRDefault="00B314D3" w:rsidP="006E5830">
      <w:pPr>
        <w:spacing w:before="240" w:line="480" w:lineRule="auto"/>
        <w:ind w:left="720" w:hanging="720"/>
        <w:rPr>
          <w:rFonts w:ascii="Times New Roman" w:hAnsi="Times New Roman" w:cs="Times New Roman"/>
        </w:rPr>
      </w:pPr>
      <w:r w:rsidRPr="005F7C98">
        <w:rPr>
          <w:rFonts w:ascii="Times New Roman" w:hAnsi="Times New Roman" w:cs="Times New Roman"/>
        </w:rPr>
        <w:t xml:space="preserve">Grana, G., &amp; Windell, J. O. (2021). </w:t>
      </w:r>
      <w:r w:rsidRPr="005F7C98">
        <w:rPr>
          <w:rFonts w:ascii="Times New Roman" w:hAnsi="Times New Roman" w:cs="Times New Roman"/>
          <w:i/>
          <w:iCs/>
        </w:rPr>
        <w:t>Crime and Intelligence Analysis: An integrated real-time approach</w:t>
      </w:r>
      <w:r w:rsidRPr="005F7C98">
        <w:rPr>
          <w:rFonts w:ascii="Times New Roman" w:hAnsi="Times New Roman" w:cs="Times New Roman"/>
        </w:rPr>
        <w:t xml:space="preserve">. Routledge. </w:t>
      </w:r>
    </w:p>
    <w:p w14:paraId="26DFDBA9" w14:textId="77777777" w:rsidR="00B314D3" w:rsidRPr="005F7C98" w:rsidRDefault="00B314D3" w:rsidP="006E5830">
      <w:pPr>
        <w:spacing w:before="240" w:line="480" w:lineRule="auto"/>
        <w:rPr>
          <w:rFonts w:ascii="Times New Roman" w:hAnsi="Times New Roman" w:cs="Times New Roman"/>
        </w:rPr>
      </w:pPr>
      <w:r w:rsidRPr="005F7C98">
        <w:rPr>
          <w:rFonts w:ascii="Times New Roman" w:hAnsi="Times New Roman" w:cs="Times New Roman"/>
        </w:rPr>
        <w:t xml:space="preserve">Hough, P. (2023). </w:t>
      </w:r>
      <w:r w:rsidRPr="005F7C98">
        <w:rPr>
          <w:rFonts w:ascii="Times New Roman" w:hAnsi="Times New Roman" w:cs="Times New Roman"/>
          <w:i/>
          <w:iCs/>
        </w:rPr>
        <w:t>Understanding global security</w:t>
      </w:r>
      <w:r w:rsidRPr="005F7C98">
        <w:rPr>
          <w:rFonts w:ascii="Times New Roman" w:hAnsi="Times New Roman" w:cs="Times New Roman"/>
        </w:rPr>
        <w:t xml:space="preserve"> (5th ed.). Routledge.</w:t>
      </w:r>
    </w:p>
    <w:p w14:paraId="74FAA3F4" w14:textId="2399D8E1" w:rsidR="00B314D3" w:rsidRPr="005F7C98" w:rsidRDefault="00B314D3" w:rsidP="006E5830">
      <w:pPr>
        <w:spacing w:before="240" w:line="480" w:lineRule="auto"/>
        <w:ind w:left="720" w:hanging="720"/>
        <w:rPr>
          <w:rFonts w:ascii="Times New Roman" w:hAnsi="Times New Roman" w:cs="Times New Roman"/>
        </w:rPr>
      </w:pPr>
      <w:r w:rsidRPr="005F7C98">
        <w:rPr>
          <w:rFonts w:ascii="Times New Roman" w:hAnsi="Times New Roman" w:cs="Times New Roman"/>
        </w:rPr>
        <w:t>U.S. Department of Justice</w:t>
      </w:r>
      <w:r w:rsidR="005153CE" w:rsidRPr="005F7C98">
        <w:rPr>
          <w:rFonts w:ascii="Times New Roman" w:hAnsi="Times New Roman" w:cs="Times New Roman"/>
        </w:rPr>
        <w:t xml:space="preserve"> (DOJ)</w:t>
      </w:r>
      <w:r w:rsidRPr="005F7C98">
        <w:rPr>
          <w:rFonts w:ascii="Times New Roman" w:hAnsi="Times New Roman" w:cs="Times New Roman"/>
        </w:rPr>
        <w:t xml:space="preserve">, Office of the Inspector General. (2023, June). </w:t>
      </w:r>
      <w:r w:rsidRPr="005F7C98">
        <w:rPr>
          <w:rFonts w:ascii="Times New Roman" w:hAnsi="Times New Roman" w:cs="Times New Roman"/>
          <w:i/>
          <w:iCs/>
        </w:rPr>
        <w:t>Audit of the Department of Justice’s strategy to address the domestic violent extremist threat</w:t>
      </w:r>
      <w:r w:rsidRPr="005F7C98">
        <w:rPr>
          <w:rFonts w:ascii="Times New Roman" w:hAnsi="Times New Roman" w:cs="Times New Roman"/>
        </w:rPr>
        <w:t xml:space="preserve"> (Report No. 23-078). U.S. Department of Justice. </w:t>
      </w:r>
      <w:hyperlink r:id="rId7" w:history="1">
        <w:r w:rsidRPr="005F7C98">
          <w:rPr>
            <w:rStyle w:val="Hyperlink"/>
            <w:rFonts w:ascii="Times New Roman" w:hAnsi="Times New Roman" w:cs="Times New Roman"/>
          </w:rPr>
          <w:t>https://oig.justice.gov/sites/default/files/reports/23-078.pdf</w:t>
        </w:r>
      </w:hyperlink>
    </w:p>
    <w:p w14:paraId="06D298EA" w14:textId="77777777" w:rsidR="009F76E1" w:rsidRPr="00B314D3" w:rsidRDefault="009F76E1">
      <w:pPr>
        <w:rPr>
          <w:rFonts w:ascii="Times New Roman" w:hAnsi="Times New Roman" w:cs="Times New Roman"/>
        </w:rPr>
      </w:pPr>
    </w:p>
    <w:sectPr w:rsidR="009F76E1" w:rsidRPr="00B31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ACA"/>
    <w:multiLevelType w:val="multilevel"/>
    <w:tmpl w:val="0E1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1FBD"/>
    <w:multiLevelType w:val="multilevel"/>
    <w:tmpl w:val="A11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708C"/>
    <w:multiLevelType w:val="multilevel"/>
    <w:tmpl w:val="EEE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91B68"/>
    <w:multiLevelType w:val="multilevel"/>
    <w:tmpl w:val="1336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E4478"/>
    <w:multiLevelType w:val="multilevel"/>
    <w:tmpl w:val="C10A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E78A9"/>
    <w:multiLevelType w:val="multilevel"/>
    <w:tmpl w:val="857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3534">
    <w:abstractNumId w:val="0"/>
  </w:num>
  <w:num w:numId="2" w16cid:durableId="355156059">
    <w:abstractNumId w:val="3"/>
  </w:num>
  <w:num w:numId="3" w16cid:durableId="323633731">
    <w:abstractNumId w:val="1"/>
  </w:num>
  <w:num w:numId="4" w16cid:durableId="1911572328">
    <w:abstractNumId w:val="4"/>
  </w:num>
  <w:num w:numId="5" w16cid:durableId="1677802808">
    <w:abstractNumId w:val="2"/>
  </w:num>
  <w:num w:numId="6" w16cid:durableId="192839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BE"/>
    <w:rsid w:val="000432AA"/>
    <w:rsid w:val="000D05BE"/>
    <w:rsid w:val="001015CB"/>
    <w:rsid w:val="00123981"/>
    <w:rsid w:val="001B69D7"/>
    <w:rsid w:val="001C407E"/>
    <w:rsid w:val="00247B29"/>
    <w:rsid w:val="002735C2"/>
    <w:rsid w:val="002F74B7"/>
    <w:rsid w:val="003271A1"/>
    <w:rsid w:val="00334E05"/>
    <w:rsid w:val="00420A0E"/>
    <w:rsid w:val="0043081E"/>
    <w:rsid w:val="00432332"/>
    <w:rsid w:val="004B6134"/>
    <w:rsid w:val="00511333"/>
    <w:rsid w:val="005121AE"/>
    <w:rsid w:val="005153CE"/>
    <w:rsid w:val="00531CB4"/>
    <w:rsid w:val="00532683"/>
    <w:rsid w:val="00532825"/>
    <w:rsid w:val="005A3B85"/>
    <w:rsid w:val="005A6D10"/>
    <w:rsid w:val="005F7C98"/>
    <w:rsid w:val="00676EDE"/>
    <w:rsid w:val="006E5830"/>
    <w:rsid w:val="007440E4"/>
    <w:rsid w:val="007C2F62"/>
    <w:rsid w:val="007D6269"/>
    <w:rsid w:val="009F76E1"/>
    <w:rsid w:val="00A4033B"/>
    <w:rsid w:val="00A41CEA"/>
    <w:rsid w:val="00B314D3"/>
    <w:rsid w:val="00C00BD5"/>
    <w:rsid w:val="00CA3F4D"/>
    <w:rsid w:val="00EF346F"/>
    <w:rsid w:val="00FC050A"/>
    <w:rsid w:val="00FE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BC25"/>
  <w15:chartTrackingRefBased/>
  <w15:docId w15:val="{D0159EC5-117E-45AB-BEBD-ACCAE5CF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EDE"/>
  </w:style>
  <w:style w:type="paragraph" w:styleId="Heading1">
    <w:name w:val="heading 1"/>
    <w:basedOn w:val="Normal"/>
    <w:next w:val="Normal"/>
    <w:link w:val="Heading1Char"/>
    <w:uiPriority w:val="9"/>
    <w:qFormat/>
    <w:rsid w:val="000D0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BE"/>
    <w:rPr>
      <w:rFonts w:eastAsiaTheme="majorEastAsia" w:cstheme="majorBidi"/>
      <w:color w:val="272727" w:themeColor="text1" w:themeTint="D8"/>
    </w:rPr>
  </w:style>
  <w:style w:type="paragraph" w:styleId="Title">
    <w:name w:val="Title"/>
    <w:basedOn w:val="Normal"/>
    <w:next w:val="Normal"/>
    <w:link w:val="TitleChar"/>
    <w:uiPriority w:val="10"/>
    <w:qFormat/>
    <w:rsid w:val="000D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BE"/>
    <w:pPr>
      <w:spacing w:before="160"/>
      <w:jc w:val="center"/>
    </w:pPr>
    <w:rPr>
      <w:i/>
      <w:iCs/>
      <w:color w:val="404040" w:themeColor="text1" w:themeTint="BF"/>
    </w:rPr>
  </w:style>
  <w:style w:type="character" w:customStyle="1" w:styleId="QuoteChar">
    <w:name w:val="Quote Char"/>
    <w:basedOn w:val="DefaultParagraphFont"/>
    <w:link w:val="Quote"/>
    <w:uiPriority w:val="29"/>
    <w:rsid w:val="000D05BE"/>
    <w:rPr>
      <w:i/>
      <w:iCs/>
      <w:color w:val="404040" w:themeColor="text1" w:themeTint="BF"/>
    </w:rPr>
  </w:style>
  <w:style w:type="paragraph" w:styleId="ListParagraph">
    <w:name w:val="List Paragraph"/>
    <w:basedOn w:val="Normal"/>
    <w:uiPriority w:val="34"/>
    <w:qFormat/>
    <w:rsid w:val="000D05BE"/>
    <w:pPr>
      <w:ind w:left="720"/>
      <w:contextualSpacing/>
    </w:pPr>
  </w:style>
  <w:style w:type="character" w:styleId="IntenseEmphasis">
    <w:name w:val="Intense Emphasis"/>
    <w:basedOn w:val="DefaultParagraphFont"/>
    <w:uiPriority w:val="21"/>
    <w:qFormat/>
    <w:rsid w:val="000D05BE"/>
    <w:rPr>
      <w:i/>
      <w:iCs/>
      <w:color w:val="0F4761" w:themeColor="accent1" w:themeShade="BF"/>
    </w:rPr>
  </w:style>
  <w:style w:type="paragraph" w:styleId="IntenseQuote">
    <w:name w:val="Intense Quote"/>
    <w:basedOn w:val="Normal"/>
    <w:next w:val="Normal"/>
    <w:link w:val="IntenseQuoteChar"/>
    <w:uiPriority w:val="30"/>
    <w:qFormat/>
    <w:rsid w:val="000D0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5BE"/>
    <w:rPr>
      <w:i/>
      <w:iCs/>
      <w:color w:val="0F4761" w:themeColor="accent1" w:themeShade="BF"/>
    </w:rPr>
  </w:style>
  <w:style w:type="character" w:styleId="IntenseReference">
    <w:name w:val="Intense Reference"/>
    <w:basedOn w:val="DefaultParagraphFont"/>
    <w:uiPriority w:val="32"/>
    <w:qFormat/>
    <w:rsid w:val="000D05BE"/>
    <w:rPr>
      <w:b/>
      <w:bCs/>
      <w:smallCaps/>
      <w:color w:val="0F4761" w:themeColor="accent1" w:themeShade="BF"/>
      <w:spacing w:val="5"/>
    </w:rPr>
  </w:style>
  <w:style w:type="character" w:styleId="Hyperlink">
    <w:name w:val="Hyperlink"/>
    <w:basedOn w:val="DefaultParagraphFont"/>
    <w:uiPriority w:val="99"/>
    <w:unhideWhenUsed/>
    <w:rsid w:val="007440E4"/>
    <w:rPr>
      <w:color w:val="467886" w:themeColor="hyperlink"/>
      <w:u w:val="single"/>
    </w:rPr>
  </w:style>
  <w:style w:type="character" w:styleId="UnresolvedMention">
    <w:name w:val="Unresolved Mention"/>
    <w:basedOn w:val="DefaultParagraphFont"/>
    <w:uiPriority w:val="99"/>
    <w:semiHidden/>
    <w:unhideWhenUsed/>
    <w:rsid w:val="009F76E1"/>
    <w:rPr>
      <w:color w:val="605E5C"/>
      <w:shd w:val="clear" w:color="auto" w:fill="E1DFDD"/>
    </w:rPr>
  </w:style>
  <w:style w:type="character" w:styleId="FollowedHyperlink">
    <w:name w:val="FollowedHyperlink"/>
    <w:basedOn w:val="DefaultParagraphFont"/>
    <w:uiPriority w:val="99"/>
    <w:semiHidden/>
    <w:unhideWhenUsed/>
    <w:rsid w:val="009F76E1"/>
    <w:rPr>
      <w:color w:val="96607D" w:themeColor="followedHyperlink"/>
      <w:u w:val="single"/>
    </w:rPr>
  </w:style>
  <w:style w:type="paragraph" w:styleId="NormalWeb">
    <w:name w:val="Normal (Web)"/>
    <w:basedOn w:val="Normal"/>
    <w:uiPriority w:val="99"/>
    <w:semiHidden/>
    <w:unhideWhenUsed/>
    <w:rsid w:val="00A403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5663">
      <w:bodyDiv w:val="1"/>
      <w:marLeft w:val="0"/>
      <w:marRight w:val="0"/>
      <w:marTop w:val="0"/>
      <w:marBottom w:val="0"/>
      <w:divBdr>
        <w:top w:val="none" w:sz="0" w:space="0" w:color="auto"/>
        <w:left w:val="none" w:sz="0" w:space="0" w:color="auto"/>
        <w:bottom w:val="none" w:sz="0" w:space="0" w:color="auto"/>
        <w:right w:val="none" w:sz="0" w:space="0" w:color="auto"/>
      </w:divBdr>
    </w:div>
    <w:div w:id="346100808">
      <w:bodyDiv w:val="1"/>
      <w:marLeft w:val="0"/>
      <w:marRight w:val="0"/>
      <w:marTop w:val="0"/>
      <w:marBottom w:val="0"/>
      <w:divBdr>
        <w:top w:val="none" w:sz="0" w:space="0" w:color="auto"/>
        <w:left w:val="none" w:sz="0" w:space="0" w:color="auto"/>
        <w:bottom w:val="none" w:sz="0" w:space="0" w:color="auto"/>
        <w:right w:val="none" w:sz="0" w:space="0" w:color="auto"/>
      </w:divBdr>
    </w:div>
    <w:div w:id="593363287">
      <w:bodyDiv w:val="1"/>
      <w:marLeft w:val="0"/>
      <w:marRight w:val="0"/>
      <w:marTop w:val="0"/>
      <w:marBottom w:val="0"/>
      <w:divBdr>
        <w:top w:val="none" w:sz="0" w:space="0" w:color="auto"/>
        <w:left w:val="none" w:sz="0" w:space="0" w:color="auto"/>
        <w:bottom w:val="none" w:sz="0" w:space="0" w:color="auto"/>
        <w:right w:val="none" w:sz="0" w:space="0" w:color="auto"/>
      </w:divBdr>
    </w:div>
    <w:div w:id="720982006">
      <w:bodyDiv w:val="1"/>
      <w:marLeft w:val="0"/>
      <w:marRight w:val="0"/>
      <w:marTop w:val="0"/>
      <w:marBottom w:val="0"/>
      <w:divBdr>
        <w:top w:val="none" w:sz="0" w:space="0" w:color="auto"/>
        <w:left w:val="none" w:sz="0" w:space="0" w:color="auto"/>
        <w:bottom w:val="none" w:sz="0" w:space="0" w:color="auto"/>
        <w:right w:val="none" w:sz="0" w:space="0" w:color="auto"/>
      </w:divBdr>
    </w:div>
    <w:div w:id="999845655">
      <w:bodyDiv w:val="1"/>
      <w:marLeft w:val="0"/>
      <w:marRight w:val="0"/>
      <w:marTop w:val="0"/>
      <w:marBottom w:val="0"/>
      <w:divBdr>
        <w:top w:val="none" w:sz="0" w:space="0" w:color="auto"/>
        <w:left w:val="none" w:sz="0" w:space="0" w:color="auto"/>
        <w:bottom w:val="none" w:sz="0" w:space="0" w:color="auto"/>
        <w:right w:val="none" w:sz="0" w:space="0" w:color="auto"/>
      </w:divBdr>
    </w:div>
    <w:div w:id="1004941867">
      <w:bodyDiv w:val="1"/>
      <w:marLeft w:val="0"/>
      <w:marRight w:val="0"/>
      <w:marTop w:val="0"/>
      <w:marBottom w:val="0"/>
      <w:divBdr>
        <w:top w:val="none" w:sz="0" w:space="0" w:color="auto"/>
        <w:left w:val="none" w:sz="0" w:space="0" w:color="auto"/>
        <w:bottom w:val="none" w:sz="0" w:space="0" w:color="auto"/>
        <w:right w:val="none" w:sz="0" w:space="0" w:color="auto"/>
      </w:divBdr>
    </w:div>
    <w:div w:id="1050417497">
      <w:bodyDiv w:val="1"/>
      <w:marLeft w:val="0"/>
      <w:marRight w:val="0"/>
      <w:marTop w:val="0"/>
      <w:marBottom w:val="0"/>
      <w:divBdr>
        <w:top w:val="none" w:sz="0" w:space="0" w:color="auto"/>
        <w:left w:val="none" w:sz="0" w:space="0" w:color="auto"/>
        <w:bottom w:val="none" w:sz="0" w:space="0" w:color="auto"/>
        <w:right w:val="none" w:sz="0" w:space="0" w:color="auto"/>
      </w:divBdr>
    </w:div>
    <w:div w:id="1090585089">
      <w:bodyDiv w:val="1"/>
      <w:marLeft w:val="0"/>
      <w:marRight w:val="0"/>
      <w:marTop w:val="0"/>
      <w:marBottom w:val="0"/>
      <w:divBdr>
        <w:top w:val="none" w:sz="0" w:space="0" w:color="auto"/>
        <w:left w:val="none" w:sz="0" w:space="0" w:color="auto"/>
        <w:bottom w:val="none" w:sz="0" w:space="0" w:color="auto"/>
        <w:right w:val="none" w:sz="0" w:space="0" w:color="auto"/>
      </w:divBdr>
    </w:div>
    <w:div w:id="1097747075">
      <w:bodyDiv w:val="1"/>
      <w:marLeft w:val="0"/>
      <w:marRight w:val="0"/>
      <w:marTop w:val="0"/>
      <w:marBottom w:val="0"/>
      <w:divBdr>
        <w:top w:val="none" w:sz="0" w:space="0" w:color="auto"/>
        <w:left w:val="none" w:sz="0" w:space="0" w:color="auto"/>
        <w:bottom w:val="none" w:sz="0" w:space="0" w:color="auto"/>
        <w:right w:val="none" w:sz="0" w:space="0" w:color="auto"/>
      </w:divBdr>
    </w:div>
    <w:div w:id="1168717518">
      <w:bodyDiv w:val="1"/>
      <w:marLeft w:val="0"/>
      <w:marRight w:val="0"/>
      <w:marTop w:val="0"/>
      <w:marBottom w:val="0"/>
      <w:divBdr>
        <w:top w:val="none" w:sz="0" w:space="0" w:color="auto"/>
        <w:left w:val="none" w:sz="0" w:space="0" w:color="auto"/>
        <w:bottom w:val="none" w:sz="0" w:space="0" w:color="auto"/>
        <w:right w:val="none" w:sz="0" w:space="0" w:color="auto"/>
      </w:divBdr>
    </w:div>
    <w:div w:id="1214386135">
      <w:bodyDiv w:val="1"/>
      <w:marLeft w:val="0"/>
      <w:marRight w:val="0"/>
      <w:marTop w:val="0"/>
      <w:marBottom w:val="0"/>
      <w:divBdr>
        <w:top w:val="none" w:sz="0" w:space="0" w:color="auto"/>
        <w:left w:val="none" w:sz="0" w:space="0" w:color="auto"/>
        <w:bottom w:val="none" w:sz="0" w:space="0" w:color="auto"/>
        <w:right w:val="none" w:sz="0" w:space="0" w:color="auto"/>
      </w:divBdr>
    </w:div>
    <w:div w:id="1297762272">
      <w:bodyDiv w:val="1"/>
      <w:marLeft w:val="0"/>
      <w:marRight w:val="0"/>
      <w:marTop w:val="0"/>
      <w:marBottom w:val="0"/>
      <w:divBdr>
        <w:top w:val="none" w:sz="0" w:space="0" w:color="auto"/>
        <w:left w:val="none" w:sz="0" w:space="0" w:color="auto"/>
        <w:bottom w:val="none" w:sz="0" w:space="0" w:color="auto"/>
        <w:right w:val="none" w:sz="0" w:space="0" w:color="auto"/>
      </w:divBdr>
    </w:div>
    <w:div w:id="1350640291">
      <w:bodyDiv w:val="1"/>
      <w:marLeft w:val="0"/>
      <w:marRight w:val="0"/>
      <w:marTop w:val="0"/>
      <w:marBottom w:val="0"/>
      <w:divBdr>
        <w:top w:val="none" w:sz="0" w:space="0" w:color="auto"/>
        <w:left w:val="none" w:sz="0" w:space="0" w:color="auto"/>
        <w:bottom w:val="none" w:sz="0" w:space="0" w:color="auto"/>
        <w:right w:val="none" w:sz="0" w:space="0" w:color="auto"/>
      </w:divBdr>
    </w:div>
    <w:div w:id="1386182245">
      <w:bodyDiv w:val="1"/>
      <w:marLeft w:val="0"/>
      <w:marRight w:val="0"/>
      <w:marTop w:val="0"/>
      <w:marBottom w:val="0"/>
      <w:divBdr>
        <w:top w:val="none" w:sz="0" w:space="0" w:color="auto"/>
        <w:left w:val="none" w:sz="0" w:space="0" w:color="auto"/>
        <w:bottom w:val="none" w:sz="0" w:space="0" w:color="auto"/>
        <w:right w:val="none" w:sz="0" w:space="0" w:color="auto"/>
      </w:divBdr>
    </w:div>
    <w:div w:id="1425148039">
      <w:bodyDiv w:val="1"/>
      <w:marLeft w:val="0"/>
      <w:marRight w:val="0"/>
      <w:marTop w:val="0"/>
      <w:marBottom w:val="0"/>
      <w:divBdr>
        <w:top w:val="none" w:sz="0" w:space="0" w:color="auto"/>
        <w:left w:val="none" w:sz="0" w:space="0" w:color="auto"/>
        <w:bottom w:val="none" w:sz="0" w:space="0" w:color="auto"/>
        <w:right w:val="none" w:sz="0" w:space="0" w:color="auto"/>
      </w:divBdr>
    </w:div>
    <w:div w:id="1430349008">
      <w:bodyDiv w:val="1"/>
      <w:marLeft w:val="0"/>
      <w:marRight w:val="0"/>
      <w:marTop w:val="0"/>
      <w:marBottom w:val="0"/>
      <w:divBdr>
        <w:top w:val="none" w:sz="0" w:space="0" w:color="auto"/>
        <w:left w:val="none" w:sz="0" w:space="0" w:color="auto"/>
        <w:bottom w:val="none" w:sz="0" w:space="0" w:color="auto"/>
        <w:right w:val="none" w:sz="0" w:space="0" w:color="auto"/>
      </w:divBdr>
    </w:div>
    <w:div w:id="1541821541">
      <w:bodyDiv w:val="1"/>
      <w:marLeft w:val="0"/>
      <w:marRight w:val="0"/>
      <w:marTop w:val="0"/>
      <w:marBottom w:val="0"/>
      <w:divBdr>
        <w:top w:val="none" w:sz="0" w:space="0" w:color="auto"/>
        <w:left w:val="none" w:sz="0" w:space="0" w:color="auto"/>
        <w:bottom w:val="none" w:sz="0" w:space="0" w:color="auto"/>
        <w:right w:val="none" w:sz="0" w:space="0" w:color="auto"/>
      </w:divBdr>
    </w:div>
    <w:div w:id="1682318157">
      <w:bodyDiv w:val="1"/>
      <w:marLeft w:val="0"/>
      <w:marRight w:val="0"/>
      <w:marTop w:val="0"/>
      <w:marBottom w:val="0"/>
      <w:divBdr>
        <w:top w:val="none" w:sz="0" w:space="0" w:color="auto"/>
        <w:left w:val="none" w:sz="0" w:space="0" w:color="auto"/>
        <w:bottom w:val="none" w:sz="0" w:space="0" w:color="auto"/>
        <w:right w:val="none" w:sz="0" w:space="0" w:color="auto"/>
      </w:divBdr>
    </w:div>
    <w:div w:id="1686903701">
      <w:bodyDiv w:val="1"/>
      <w:marLeft w:val="0"/>
      <w:marRight w:val="0"/>
      <w:marTop w:val="0"/>
      <w:marBottom w:val="0"/>
      <w:divBdr>
        <w:top w:val="none" w:sz="0" w:space="0" w:color="auto"/>
        <w:left w:val="none" w:sz="0" w:space="0" w:color="auto"/>
        <w:bottom w:val="none" w:sz="0" w:space="0" w:color="auto"/>
        <w:right w:val="none" w:sz="0" w:space="0" w:color="auto"/>
      </w:divBdr>
    </w:div>
    <w:div w:id="1791390958">
      <w:bodyDiv w:val="1"/>
      <w:marLeft w:val="0"/>
      <w:marRight w:val="0"/>
      <w:marTop w:val="0"/>
      <w:marBottom w:val="0"/>
      <w:divBdr>
        <w:top w:val="none" w:sz="0" w:space="0" w:color="auto"/>
        <w:left w:val="none" w:sz="0" w:space="0" w:color="auto"/>
        <w:bottom w:val="none" w:sz="0" w:space="0" w:color="auto"/>
        <w:right w:val="none" w:sz="0" w:space="0" w:color="auto"/>
      </w:divBdr>
    </w:div>
    <w:div w:id="1919434648">
      <w:bodyDiv w:val="1"/>
      <w:marLeft w:val="0"/>
      <w:marRight w:val="0"/>
      <w:marTop w:val="0"/>
      <w:marBottom w:val="0"/>
      <w:divBdr>
        <w:top w:val="none" w:sz="0" w:space="0" w:color="auto"/>
        <w:left w:val="none" w:sz="0" w:space="0" w:color="auto"/>
        <w:bottom w:val="none" w:sz="0" w:space="0" w:color="auto"/>
        <w:right w:val="none" w:sz="0" w:space="0" w:color="auto"/>
      </w:divBdr>
    </w:div>
    <w:div w:id="1995908823">
      <w:bodyDiv w:val="1"/>
      <w:marLeft w:val="0"/>
      <w:marRight w:val="0"/>
      <w:marTop w:val="0"/>
      <w:marBottom w:val="0"/>
      <w:divBdr>
        <w:top w:val="none" w:sz="0" w:space="0" w:color="auto"/>
        <w:left w:val="none" w:sz="0" w:space="0" w:color="auto"/>
        <w:bottom w:val="none" w:sz="0" w:space="0" w:color="auto"/>
        <w:right w:val="none" w:sz="0" w:space="0" w:color="auto"/>
      </w:divBdr>
    </w:div>
    <w:div w:id="204459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ig.justice.gov/sites/default/files/reports/23-07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o.gov/assets/gao-25-107030.pdf" TargetMode="External"/><Relationship Id="rId5" Type="http://schemas.openxmlformats.org/officeDocument/2006/relationships/hyperlink" Target="https://harvardlawreview.org/print/vol-136/responding-to-domestic-terrorism-a-crisis-of-legitima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30</cp:revision>
  <dcterms:created xsi:type="dcterms:W3CDTF">2025-09-29T15:34:00Z</dcterms:created>
  <dcterms:modified xsi:type="dcterms:W3CDTF">2025-09-29T23:45:00Z</dcterms:modified>
</cp:coreProperties>
</file>