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E128" w14:textId="0630B145" w:rsidR="00532825" w:rsidRPr="00757F7E" w:rsidRDefault="00B73286" w:rsidP="00B73286">
      <w:pPr>
        <w:rPr>
          <w:rFonts w:ascii="Times New Roman" w:hAnsi="Times New Roman" w:cs="Times New Roman"/>
          <w:b/>
          <w:bCs/>
        </w:rPr>
      </w:pPr>
      <w:r w:rsidRPr="00757F7E">
        <w:rPr>
          <w:rFonts w:ascii="Times New Roman" w:hAnsi="Times New Roman" w:cs="Times New Roman"/>
          <w:b/>
          <w:bCs/>
        </w:rPr>
        <w:t>Discuss the deployment and possible future deployment of the National Guard to certain US cities to potentially act in some capacity of law enforcement.</w:t>
      </w:r>
    </w:p>
    <w:p w14:paraId="1E3758AA" w14:textId="7434D83F" w:rsidR="00B73286" w:rsidRPr="00757F7E" w:rsidRDefault="001D2083" w:rsidP="00B73286">
      <w:pPr>
        <w:rPr>
          <w:rFonts w:ascii="Times New Roman" w:hAnsi="Times New Roman" w:cs="Times New Roman"/>
        </w:rPr>
      </w:pPr>
      <w:r w:rsidRPr="00757F7E">
        <w:rPr>
          <w:rFonts w:ascii="Times New Roman" w:hAnsi="Times New Roman" w:cs="Times New Roman"/>
        </w:rPr>
        <w:t xml:space="preserve">The deployment of the National Guard into U.S. cities to act in a law enforcement capacity raises serious questions for me regarding constitutional and civil liberties. While the Posse Comitatus Act (PCA) generally prohibits federal military involvement in civilian policing. The president was able to use loopholes such as Title 32 status to effectively use troops in ways to sidestep these restrictions (Nunn, 2021). </w:t>
      </w:r>
      <w:r w:rsidR="00757F7E" w:rsidRPr="00757F7E">
        <w:rPr>
          <w:rFonts w:ascii="Times New Roman" w:hAnsi="Times New Roman" w:cs="Times New Roman"/>
        </w:rPr>
        <w:t xml:space="preserve">Guard members are not typically trained as civilian police. Their involvement can lead to excessive force, diminishing trust in institutions and the fading of democratic norms. Personally, I believe the National Guard should only be deployed in truly extraordinary circumstances. Such as when civilian law enforcement is overwhelmed but only when there is clear legal authority, strict oversight, and defined objectives in place. Making the deployment of the National Guard in use of law enforcement roles as a routine thing not only stretches the intent of the PCA but also undermines civilian policing and civil liberties. Reforms are in desperate need to close the gaps in the PCA and to clarify the limits of Title 32 deployments (Nunn, 2021). Without safeguards in place, deploying the National Guard for civilian law enforcement risks normalizing military involvement in domestic affairs. </w:t>
      </w:r>
    </w:p>
    <w:p w14:paraId="790D00C6" w14:textId="77777777" w:rsidR="00B73286" w:rsidRPr="00757F7E" w:rsidRDefault="00B73286" w:rsidP="00B73286">
      <w:pPr>
        <w:rPr>
          <w:rFonts w:ascii="Times New Roman" w:hAnsi="Times New Roman" w:cs="Times New Roman"/>
          <w:b/>
          <w:bCs/>
        </w:rPr>
      </w:pPr>
    </w:p>
    <w:p w14:paraId="6352BAD5" w14:textId="77777777" w:rsidR="00B73286" w:rsidRPr="00757F7E" w:rsidRDefault="00B73286" w:rsidP="00B73286">
      <w:pPr>
        <w:rPr>
          <w:rFonts w:ascii="Times New Roman" w:hAnsi="Times New Roman" w:cs="Times New Roman"/>
        </w:rPr>
      </w:pPr>
      <w:r w:rsidRPr="00757F7E">
        <w:rPr>
          <w:rFonts w:ascii="Times New Roman" w:hAnsi="Times New Roman" w:cs="Times New Roman"/>
        </w:rPr>
        <w:t>Reference</w:t>
      </w:r>
    </w:p>
    <w:p w14:paraId="0DCCBFCC" w14:textId="53100A7C" w:rsidR="00B73286" w:rsidRPr="00757F7E" w:rsidRDefault="00B73286" w:rsidP="00B73286">
      <w:pPr>
        <w:rPr>
          <w:rFonts w:ascii="Times New Roman" w:hAnsi="Times New Roman" w:cs="Times New Roman"/>
        </w:rPr>
      </w:pPr>
      <w:r w:rsidRPr="00757F7E">
        <w:rPr>
          <w:rFonts w:ascii="Times New Roman" w:hAnsi="Times New Roman" w:cs="Times New Roman"/>
        </w:rPr>
        <w:br/>
        <w:t xml:space="preserve">Nunn, J. (2021, October 14). </w:t>
      </w:r>
      <w:r w:rsidRPr="00757F7E">
        <w:rPr>
          <w:rFonts w:ascii="Times New Roman" w:hAnsi="Times New Roman" w:cs="Times New Roman"/>
          <w:i/>
          <w:iCs/>
        </w:rPr>
        <w:t>The Posse Comitatus Act Explained</w:t>
      </w:r>
      <w:r w:rsidRPr="00757F7E">
        <w:rPr>
          <w:rFonts w:ascii="Times New Roman" w:hAnsi="Times New Roman" w:cs="Times New Roman"/>
        </w:rPr>
        <w:t xml:space="preserve">. Brennan Center for Justice. </w:t>
      </w:r>
      <w:hyperlink r:id="rId4" w:history="1">
        <w:r w:rsidR="00613A90" w:rsidRPr="00757F7E">
          <w:rPr>
            <w:rStyle w:val="Hyperlink"/>
            <w:rFonts w:ascii="Times New Roman" w:hAnsi="Times New Roman" w:cs="Times New Roman"/>
          </w:rPr>
          <w:t>https://www.brennancenter.org/our-work/research-reports/posse-comitatus-act-explained</w:t>
        </w:r>
      </w:hyperlink>
    </w:p>
    <w:p w14:paraId="107609B9" w14:textId="77777777" w:rsidR="00613A90" w:rsidRPr="00B73286" w:rsidRDefault="00613A90" w:rsidP="00B73286"/>
    <w:sectPr w:rsidR="00613A90" w:rsidRPr="00B73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923"/>
    <w:rsid w:val="00111923"/>
    <w:rsid w:val="001D2083"/>
    <w:rsid w:val="00532825"/>
    <w:rsid w:val="00613A90"/>
    <w:rsid w:val="00757F7E"/>
    <w:rsid w:val="00AF5999"/>
    <w:rsid w:val="00B73286"/>
    <w:rsid w:val="00CA3F4D"/>
    <w:rsid w:val="00E8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D4A62"/>
  <w15:chartTrackingRefBased/>
  <w15:docId w15:val="{324EBF9E-4BD5-498F-BDFE-20B8BF65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923"/>
    <w:rPr>
      <w:rFonts w:eastAsiaTheme="majorEastAsia" w:cstheme="majorBidi"/>
      <w:color w:val="272727" w:themeColor="text1" w:themeTint="D8"/>
    </w:rPr>
  </w:style>
  <w:style w:type="paragraph" w:styleId="Title">
    <w:name w:val="Title"/>
    <w:basedOn w:val="Normal"/>
    <w:next w:val="Normal"/>
    <w:link w:val="TitleChar"/>
    <w:uiPriority w:val="10"/>
    <w:qFormat/>
    <w:rsid w:val="00111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923"/>
    <w:pPr>
      <w:spacing w:before="160"/>
      <w:jc w:val="center"/>
    </w:pPr>
    <w:rPr>
      <w:i/>
      <w:iCs/>
      <w:color w:val="404040" w:themeColor="text1" w:themeTint="BF"/>
    </w:rPr>
  </w:style>
  <w:style w:type="character" w:customStyle="1" w:styleId="QuoteChar">
    <w:name w:val="Quote Char"/>
    <w:basedOn w:val="DefaultParagraphFont"/>
    <w:link w:val="Quote"/>
    <w:uiPriority w:val="29"/>
    <w:rsid w:val="00111923"/>
    <w:rPr>
      <w:i/>
      <w:iCs/>
      <w:color w:val="404040" w:themeColor="text1" w:themeTint="BF"/>
    </w:rPr>
  </w:style>
  <w:style w:type="paragraph" w:styleId="ListParagraph">
    <w:name w:val="List Paragraph"/>
    <w:basedOn w:val="Normal"/>
    <w:uiPriority w:val="34"/>
    <w:qFormat/>
    <w:rsid w:val="00111923"/>
    <w:pPr>
      <w:ind w:left="720"/>
      <w:contextualSpacing/>
    </w:pPr>
  </w:style>
  <w:style w:type="character" w:styleId="IntenseEmphasis">
    <w:name w:val="Intense Emphasis"/>
    <w:basedOn w:val="DefaultParagraphFont"/>
    <w:uiPriority w:val="21"/>
    <w:qFormat/>
    <w:rsid w:val="00111923"/>
    <w:rPr>
      <w:i/>
      <w:iCs/>
      <w:color w:val="0F4761" w:themeColor="accent1" w:themeShade="BF"/>
    </w:rPr>
  </w:style>
  <w:style w:type="paragraph" w:styleId="IntenseQuote">
    <w:name w:val="Intense Quote"/>
    <w:basedOn w:val="Normal"/>
    <w:next w:val="Normal"/>
    <w:link w:val="IntenseQuoteChar"/>
    <w:uiPriority w:val="30"/>
    <w:qFormat/>
    <w:rsid w:val="00111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923"/>
    <w:rPr>
      <w:i/>
      <w:iCs/>
      <w:color w:val="0F4761" w:themeColor="accent1" w:themeShade="BF"/>
    </w:rPr>
  </w:style>
  <w:style w:type="character" w:styleId="IntenseReference">
    <w:name w:val="Intense Reference"/>
    <w:basedOn w:val="DefaultParagraphFont"/>
    <w:uiPriority w:val="32"/>
    <w:qFormat/>
    <w:rsid w:val="00111923"/>
    <w:rPr>
      <w:b/>
      <w:bCs/>
      <w:smallCaps/>
      <w:color w:val="0F4761" w:themeColor="accent1" w:themeShade="BF"/>
      <w:spacing w:val="5"/>
    </w:rPr>
  </w:style>
  <w:style w:type="character" w:styleId="Hyperlink">
    <w:name w:val="Hyperlink"/>
    <w:basedOn w:val="DefaultParagraphFont"/>
    <w:uiPriority w:val="99"/>
    <w:unhideWhenUsed/>
    <w:rsid w:val="00B73286"/>
    <w:rPr>
      <w:color w:val="467886" w:themeColor="hyperlink"/>
      <w:u w:val="single"/>
    </w:rPr>
  </w:style>
  <w:style w:type="character" w:styleId="UnresolvedMention">
    <w:name w:val="Unresolved Mention"/>
    <w:basedOn w:val="DefaultParagraphFont"/>
    <w:uiPriority w:val="99"/>
    <w:semiHidden/>
    <w:unhideWhenUsed/>
    <w:rsid w:val="00B73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rennancenter.org/our-work/research-reports/posse-comitatus-act-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cp:revision>
  <dcterms:created xsi:type="dcterms:W3CDTF">2025-09-11T02:05:00Z</dcterms:created>
  <dcterms:modified xsi:type="dcterms:W3CDTF">2025-09-11T02:05:00Z</dcterms:modified>
</cp:coreProperties>
</file>