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29C0" w14:textId="28120AEF" w:rsidR="00244AD8" w:rsidRPr="00FC62CD" w:rsidRDefault="00244AD8" w:rsidP="00244AD8">
      <w:pPr>
        <w:rPr>
          <w:rFonts w:ascii="Times New Roman" w:eastAsia="Times New Roman" w:hAnsi="Times New Roman" w:cs="Times New Roman"/>
          <w:b/>
          <w:bCs/>
          <w:kern w:val="0"/>
          <w14:ligatures w14:val="none"/>
        </w:rPr>
      </w:pPr>
      <w:r w:rsidRPr="00FC62CD">
        <w:rPr>
          <w:rFonts w:ascii="Times New Roman" w:eastAsia="Times New Roman" w:hAnsi="Times New Roman" w:cs="Times New Roman"/>
          <w:b/>
          <w:bCs/>
          <w:kern w:val="0"/>
          <w14:ligatures w14:val="none"/>
        </w:rPr>
        <w:t>Do hackers deserve to be lured by honeypots that provoke these Internet crimes?</w:t>
      </w:r>
    </w:p>
    <w:p w14:paraId="346F3DD4" w14:textId="03AC14B0" w:rsidR="00244AD8" w:rsidRPr="00244AD8" w:rsidRDefault="00244AD8" w:rsidP="00244AD8">
      <w:pPr>
        <w:rPr>
          <w:rFonts w:ascii="Times New Roman" w:eastAsia="Times New Roman" w:hAnsi="Times New Roman" w:cs="Times New Roman"/>
          <w:kern w:val="0"/>
          <w14:ligatures w14:val="none"/>
        </w:rPr>
      </w:pPr>
      <w:r w:rsidRPr="00244AD8">
        <w:rPr>
          <w:rFonts w:ascii="Times New Roman" w:eastAsia="Times New Roman" w:hAnsi="Times New Roman" w:cs="Times New Roman"/>
          <w:kern w:val="0"/>
          <w14:ligatures w14:val="none"/>
        </w:rPr>
        <w:t xml:space="preserve">The ethics of honeypots are debated because they rely on intentional deception to support defensive operations. Within security architecture </w:t>
      </w:r>
      <w:r w:rsidR="00B4563B" w:rsidRPr="00FC62CD">
        <w:rPr>
          <w:rFonts w:ascii="Times New Roman" w:eastAsia="Times New Roman" w:hAnsi="Times New Roman" w:cs="Times New Roman"/>
          <w:kern w:val="0"/>
          <w14:ligatures w14:val="none"/>
        </w:rPr>
        <w:t xml:space="preserve">however, </w:t>
      </w:r>
      <w:r w:rsidRPr="00244AD8">
        <w:rPr>
          <w:rFonts w:ascii="Times New Roman" w:eastAsia="Times New Roman" w:hAnsi="Times New Roman" w:cs="Times New Roman"/>
          <w:kern w:val="0"/>
          <w14:ligatures w14:val="none"/>
        </w:rPr>
        <w:t>deception is accepted when it strengthens detection, monitoring and incident analysis. Security frameworks highlight the need for layered defenses and better visibility across network activity and honeypots support this by pulling suspicious behavior away from real systems into controlled environments where it can be examined safely (Stallings &amp; Brown 2021).</w:t>
      </w:r>
    </w:p>
    <w:p w14:paraId="6E17CEC2" w14:textId="4F1B316E" w:rsidR="00244AD8" w:rsidRPr="00FC62CD" w:rsidRDefault="00244AD8" w:rsidP="00244AD8">
      <w:pPr>
        <w:rPr>
          <w:rFonts w:ascii="Times New Roman" w:eastAsia="Times New Roman" w:hAnsi="Times New Roman" w:cs="Times New Roman"/>
          <w:kern w:val="0"/>
          <w14:ligatures w14:val="none"/>
        </w:rPr>
      </w:pPr>
      <w:r w:rsidRPr="00244AD8">
        <w:rPr>
          <w:rFonts w:ascii="Times New Roman" w:eastAsia="Times New Roman" w:hAnsi="Times New Roman" w:cs="Times New Roman"/>
          <w:kern w:val="0"/>
          <w14:ligatures w14:val="none"/>
        </w:rPr>
        <w:t xml:space="preserve">From a networking standpoint malicious actors follow predictable patterns during reconnaissance. They scan networks, </w:t>
      </w:r>
      <w:proofErr w:type="gramStart"/>
      <w:r w:rsidRPr="00244AD8">
        <w:rPr>
          <w:rFonts w:ascii="Times New Roman" w:eastAsia="Times New Roman" w:hAnsi="Times New Roman" w:cs="Times New Roman"/>
          <w:kern w:val="0"/>
          <w14:ligatures w14:val="none"/>
        </w:rPr>
        <w:t>probe for</w:t>
      </w:r>
      <w:proofErr w:type="gramEnd"/>
      <w:r w:rsidRPr="00244AD8">
        <w:rPr>
          <w:rFonts w:ascii="Times New Roman" w:eastAsia="Times New Roman" w:hAnsi="Times New Roman" w:cs="Times New Roman"/>
          <w:kern w:val="0"/>
          <w14:ligatures w14:val="none"/>
        </w:rPr>
        <w:t xml:space="preserve"> response behaviors and search for weak or misconfigured services before moving deeper. Networking research treats these steps as routine phases in the early stages of an attack. Honeypots take advantage of these tendencies by capturing the traffic and tools used during probing which gives defenders a way to analyze techniques without putting operational assets at risk (Kurose &amp; Ross 2017). This approach aligns with federal guidance that encourages monitoring and deception technologies to improve awareness and reduce how long intruders remain undetected (NIST 2020).</w:t>
      </w:r>
      <w:r w:rsidR="00B4563B" w:rsidRPr="00FC62CD">
        <w:rPr>
          <w:rFonts w:ascii="Times New Roman" w:eastAsia="Times New Roman" w:hAnsi="Times New Roman" w:cs="Times New Roman"/>
          <w:kern w:val="0"/>
          <w14:ligatures w14:val="none"/>
        </w:rPr>
        <w:t xml:space="preserve"> C</w:t>
      </w:r>
      <w:r w:rsidRPr="00FC62CD">
        <w:rPr>
          <w:rFonts w:ascii="Times New Roman" w:eastAsia="Times New Roman" w:hAnsi="Times New Roman" w:cs="Times New Roman"/>
          <w:kern w:val="0"/>
          <w14:ligatures w14:val="none"/>
        </w:rPr>
        <w:t>ritics</w:t>
      </w:r>
      <w:r w:rsidR="00B4563B" w:rsidRPr="00FC62CD">
        <w:rPr>
          <w:rFonts w:ascii="Times New Roman" w:eastAsia="Times New Roman" w:hAnsi="Times New Roman" w:cs="Times New Roman"/>
          <w:kern w:val="0"/>
          <w14:ligatures w14:val="none"/>
        </w:rPr>
        <w:t xml:space="preserve"> against honeypots</w:t>
      </w:r>
      <w:r w:rsidRPr="00FC62CD">
        <w:rPr>
          <w:rFonts w:ascii="Times New Roman" w:eastAsia="Times New Roman" w:hAnsi="Times New Roman" w:cs="Times New Roman"/>
          <w:kern w:val="0"/>
          <w14:ligatures w14:val="none"/>
        </w:rPr>
        <w:t xml:space="preserve"> </w:t>
      </w:r>
      <w:r w:rsidR="00B4563B" w:rsidRPr="00FC62CD">
        <w:rPr>
          <w:rFonts w:ascii="Times New Roman" w:eastAsia="Times New Roman" w:hAnsi="Times New Roman" w:cs="Times New Roman"/>
          <w:kern w:val="0"/>
          <w14:ligatures w14:val="none"/>
        </w:rPr>
        <w:t xml:space="preserve">reason </w:t>
      </w:r>
      <w:r w:rsidRPr="00FC62CD">
        <w:rPr>
          <w:rFonts w:ascii="Times New Roman" w:eastAsia="Times New Roman" w:hAnsi="Times New Roman" w:cs="Times New Roman"/>
          <w:kern w:val="0"/>
          <w14:ligatures w14:val="none"/>
        </w:rPr>
        <w:t xml:space="preserve">that honeypots attract </w:t>
      </w:r>
      <w:r w:rsidR="00B4563B" w:rsidRPr="00FC62CD">
        <w:rPr>
          <w:rFonts w:ascii="Times New Roman" w:eastAsia="Times New Roman" w:hAnsi="Times New Roman" w:cs="Times New Roman"/>
          <w:kern w:val="0"/>
          <w14:ligatures w14:val="none"/>
        </w:rPr>
        <w:t xml:space="preserve">attackers and </w:t>
      </w:r>
      <w:r w:rsidRPr="00FC62CD">
        <w:rPr>
          <w:rFonts w:ascii="Times New Roman" w:eastAsia="Times New Roman" w:hAnsi="Times New Roman" w:cs="Times New Roman"/>
          <w:kern w:val="0"/>
          <w14:ligatures w14:val="none"/>
        </w:rPr>
        <w:t xml:space="preserve">the presence does </w:t>
      </w:r>
      <w:r w:rsidR="00BD6A2F" w:rsidRPr="00FC62CD">
        <w:rPr>
          <w:rFonts w:ascii="Times New Roman" w:eastAsia="Times New Roman" w:hAnsi="Times New Roman" w:cs="Times New Roman"/>
          <w:kern w:val="0"/>
          <w14:ligatures w14:val="none"/>
        </w:rPr>
        <w:t>little to deter</w:t>
      </w:r>
      <w:r w:rsidRPr="00FC62CD">
        <w:rPr>
          <w:rFonts w:ascii="Times New Roman" w:eastAsia="Times New Roman" w:hAnsi="Times New Roman" w:cs="Times New Roman"/>
          <w:kern w:val="0"/>
          <w14:ligatures w14:val="none"/>
        </w:rPr>
        <w:t xml:space="preserve"> malicious behavior. </w:t>
      </w:r>
      <w:r w:rsidR="00B4563B" w:rsidRPr="00FC62CD">
        <w:rPr>
          <w:rFonts w:ascii="Times New Roman" w:eastAsia="Times New Roman" w:hAnsi="Times New Roman" w:cs="Times New Roman"/>
          <w:kern w:val="0"/>
          <w14:ligatures w14:val="none"/>
        </w:rPr>
        <w:t>However, in most cases honeypots have revealed key details or stopped attacks from damaging critical systems</w:t>
      </w:r>
      <w:r w:rsidRPr="00FC62CD">
        <w:rPr>
          <w:rFonts w:ascii="Times New Roman" w:eastAsia="Times New Roman" w:hAnsi="Times New Roman" w:cs="Times New Roman"/>
          <w:kern w:val="0"/>
          <w14:ligatures w14:val="none"/>
        </w:rPr>
        <w:t>. High</w:t>
      </w:r>
      <w:r w:rsidR="00B4563B" w:rsidRPr="00FC62CD">
        <w:rPr>
          <w:rFonts w:ascii="Times New Roman" w:eastAsia="Times New Roman" w:hAnsi="Times New Roman" w:cs="Times New Roman"/>
          <w:kern w:val="0"/>
          <w14:ligatures w14:val="none"/>
        </w:rPr>
        <w:t xml:space="preserve"> </w:t>
      </w:r>
      <w:r w:rsidRPr="00FC62CD">
        <w:rPr>
          <w:rFonts w:ascii="Times New Roman" w:eastAsia="Times New Roman" w:hAnsi="Times New Roman" w:cs="Times New Roman"/>
          <w:kern w:val="0"/>
          <w14:ligatures w14:val="none"/>
        </w:rPr>
        <w:t>interaction honeypots often reveal zero-day exploits, automated malware behavior and lateral movement methods that help organizations strengthen defenses and improve incident response.</w:t>
      </w:r>
    </w:p>
    <w:p w14:paraId="26635EDD" w14:textId="5F0CC659" w:rsidR="00244AD8" w:rsidRPr="00244AD8" w:rsidRDefault="00244AD8" w:rsidP="00244AD8">
      <w:pPr>
        <w:rPr>
          <w:rFonts w:ascii="Times New Roman" w:eastAsia="Times New Roman" w:hAnsi="Times New Roman" w:cs="Times New Roman"/>
          <w:kern w:val="0"/>
          <w14:ligatures w14:val="none"/>
        </w:rPr>
      </w:pPr>
      <w:r w:rsidRPr="00244AD8">
        <w:rPr>
          <w:rFonts w:ascii="Times New Roman" w:eastAsia="Times New Roman" w:hAnsi="Times New Roman" w:cs="Times New Roman"/>
          <w:kern w:val="0"/>
          <w14:ligatures w14:val="none"/>
        </w:rPr>
        <w:t>Ultimately, I believe honeypots are ethically justified when used responsibly, with clear security goals, proper isolation</w:t>
      </w:r>
      <w:r w:rsidR="00B4563B" w:rsidRPr="00FC62CD">
        <w:rPr>
          <w:rFonts w:ascii="Times New Roman" w:eastAsia="Times New Roman" w:hAnsi="Times New Roman" w:cs="Times New Roman"/>
          <w:kern w:val="0"/>
          <w14:ligatures w14:val="none"/>
        </w:rPr>
        <w:t xml:space="preserve"> </w:t>
      </w:r>
      <w:r w:rsidRPr="00244AD8">
        <w:rPr>
          <w:rFonts w:ascii="Times New Roman" w:eastAsia="Times New Roman" w:hAnsi="Times New Roman" w:cs="Times New Roman"/>
          <w:kern w:val="0"/>
          <w14:ligatures w14:val="none"/>
        </w:rPr>
        <w:t>and adherence to legal standards. They enhance defense-in-depth, reduce attacker dwell time</w:t>
      </w:r>
      <w:r w:rsidR="000C0DA7">
        <w:rPr>
          <w:rFonts w:ascii="Times New Roman" w:eastAsia="Times New Roman" w:hAnsi="Times New Roman" w:cs="Times New Roman"/>
          <w:kern w:val="0"/>
          <w14:ligatures w14:val="none"/>
        </w:rPr>
        <w:t xml:space="preserve"> </w:t>
      </w:r>
      <w:r w:rsidRPr="00244AD8">
        <w:rPr>
          <w:rFonts w:ascii="Times New Roman" w:eastAsia="Times New Roman" w:hAnsi="Times New Roman" w:cs="Times New Roman"/>
          <w:kern w:val="0"/>
          <w14:ligatures w14:val="none"/>
        </w:rPr>
        <w:t>and improve the overall resilience of a network without harming legitimate users.</w:t>
      </w:r>
      <w:r w:rsidR="00B4563B" w:rsidRPr="00FC62CD">
        <w:rPr>
          <w:rFonts w:ascii="Times New Roman" w:eastAsia="Times New Roman" w:hAnsi="Times New Roman" w:cs="Times New Roman"/>
          <w:kern w:val="0"/>
          <w14:ligatures w14:val="none"/>
        </w:rPr>
        <w:t xml:space="preserve"> However, it does fall in a certain moral grey area because we are effectively inviting people to perform illegal activity. I think a good example of this would be leaving a bowl of candy out with a piece of paper </w:t>
      </w:r>
      <w:proofErr w:type="gramStart"/>
      <w:r w:rsidR="00B4563B" w:rsidRPr="00FC62CD">
        <w:rPr>
          <w:rFonts w:ascii="Times New Roman" w:eastAsia="Times New Roman" w:hAnsi="Times New Roman" w:cs="Times New Roman"/>
          <w:kern w:val="0"/>
          <w14:ligatures w14:val="none"/>
        </w:rPr>
        <w:t>saying</w:t>
      </w:r>
      <w:proofErr w:type="gramEnd"/>
      <w:r w:rsidR="00B4563B" w:rsidRPr="00FC62CD">
        <w:rPr>
          <w:rFonts w:ascii="Times New Roman" w:eastAsia="Times New Roman" w:hAnsi="Times New Roman" w:cs="Times New Roman"/>
          <w:kern w:val="0"/>
          <w14:ligatures w14:val="none"/>
        </w:rPr>
        <w:t xml:space="preserve"> “Only take one”. With full realization people are going to take more than one. </w:t>
      </w:r>
    </w:p>
    <w:p w14:paraId="71E52AB4" w14:textId="7742380B" w:rsidR="004E2147" w:rsidRPr="00FC62CD" w:rsidRDefault="00D75AEF" w:rsidP="008D2E65">
      <w:pPr>
        <w:rPr>
          <w:rFonts w:ascii="Times New Roman" w:eastAsia="Times New Roman" w:hAnsi="Times New Roman" w:cs="Times New Roman"/>
          <w:kern w:val="0"/>
          <w14:ligatures w14:val="none"/>
        </w:rPr>
      </w:pPr>
      <w:r w:rsidRPr="00FC62CD">
        <w:rPr>
          <w:rFonts w:ascii="Times New Roman" w:eastAsia="Times New Roman" w:hAnsi="Times New Roman" w:cs="Times New Roman"/>
          <w:b/>
          <w:bCs/>
          <w:kern w:val="0"/>
          <w14:ligatures w14:val="none"/>
        </w:rPr>
        <w:t>References</w:t>
      </w:r>
      <w:r w:rsidRPr="00FC62CD">
        <w:rPr>
          <w:rFonts w:ascii="Times New Roman" w:eastAsia="Times New Roman" w:hAnsi="Times New Roman" w:cs="Times New Roman"/>
          <w:b/>
          <w:bCs/>
          <w:kern w:val="0"/>
          <w14:ligatures w14:val="none"/>
        </w:rPr>
        <w:br/>
      </w:r>
      <w:r w:rsidR="008F595F" w:rsidRPr="00FC62CD">
        <w:rPr>
          <w:rFonts w:ascii="Times New Roman" w:eastAsia="Times New Roman" w:hAnsi="Times New Roman" w:cs="Times New Roman"/>
          <w:kern w:val="0"/>
          <w14:ligatures w14:val="none"/>
        </w:rPr>
        <w:t xml:space="preserve">Kurose, J. F., &amp; Ross, K. W. (2017). </w:t>
      </w:r>
      <w:r w:rsidR="008F595F" w:rsidRPr="00FC62CD">
        <w:rPr>
          <w:rFonts w:ascii="Times New Roman" w:eastAsia="Times New Roman" w:hAnsi="Times New Roman" w:cs="Times New Roman"/>
          <w:i/>
          <w:iCs/>
          <w:kern w:val="0"/>
          <w14:ligatures w14:val="none"/>
        </w:rPr>
        <w:t>Computer networking: A top-down approach</w:t>
      </w:r>
      <w:r w:rsidR="008F595F" w:rsidRPr="00FC62CD">
        <w:rPr>
          <w:rFonts w:ascii="Times New Roman" w:eastAsia="Times New Roman" w:hAnsi="Times New Roman" w:cs="Times New Roman"/>
          <w:kern w:val="0"/>
          <w14:ligatures w14:val="none"/>
        </w:rPr>
        <w:t xml:space="preserve"> (7th ed.). Pearson.</w:t>
      </w:r>
    </w:p>
    <w:p w14:paraId="01B9CB8C" w14:textId="28EFDDFE" w:rsidR="00244AD8" w:rsidRPr="00FC62CD" w:rsidRDefault="008F595F" w:rsidP="008D2E65">
      <w:pPr>
        <w:rPr>
          <w:rFonts w:ascii="Times New Roman" w:eastAsia="Times New Roman" w:hAnsi="Times New Roman" w:cs="Times New Roman"/>
          <w:kern w:val="0"/>
          <w14:ligatures w14:val="none"/>
        </w:rPr>
      </w:pPr>
      <w:r w:rsidRPr="00FC62CD">
        <w:rPr>
          <w:rFonts w:ascii="Times New Roman" w:eastAsia="Times New Roman" w:hAnsi="Times New Roman" w:cs="Times New Roman"/>
          <w:kern w:val="0"/>
          <w14:ligatures w14:val="none"/>
        </w:rPr>
        <w:t xml:space="preserve">National Institute of Standards and Technology. (2020). </w:t>
      </w:r>
      <w:r w:rsidRPr="00FC62CD">
        <w:rPr>
          <w:rFonts w:ascii="Times New Roman" w:eastAsia="Times New Roman" w:hAnsi="Times New Roman" w:cs="Times New Roman"/>
          <w:i/>
          <w:iCs/>
          <w:kern w:val="0"/>
          <w14:ligatures w14:val="none"/>
        </w:rPr>
        <w:t xml:space="preserve">Detecting and responding to </w:t>
      </w:r>
      <w:proofErr w:type="spellStart"/>
      <w:r w:rsidRPr="00FC62CD">
        <w:rPr>
          <w:rFonts w:ascii="Times New Roman" w:eastAsia="Times New Roman" w:hAnsi="Times New Roman" w:cs="Times New Roman"/>
          <w:i/>
          <w:iCs/>
          <w:kern w:val="0"/>
          <w14:ligatures w14:val="none"/>
        </w:rPr>
        <w:t>cyber attacks</w:t>
      </w:r>
      <w:proofErr w:type="spellEnd"/>
      <w:r w:rsidRPr="00FC62CD">
        <w:rPr>
          <w:rFonts w:ascii="Times New Roman" w:eastAsia="Times New Roman" w:hAnsi="Times New Roman" w:cs="Times New Roman"/>
          <w:kern w:val="0"/>
          <w14:ligatures w14:val="none"/>
        </w:rPr>
        <w:t xml:space="preserve"> (NIST Special Publication 800-94). U.S. Department of Commerce. </w:t>
      </w:r>
      <w:hyperlink r:id="rId7" w:history="1">
        <w:r w:rsidR="00244AD8" w:rsidRPr="00FC62CD">
          <w:rPr>
            <w:rStyle w:val="Hyperlink"/>
            <w:rFonts w:ascii="Times New Roman" w:eastAsia="Times New Roman" w:hAnsi="Times New Roman" w:cs="Times New Roman"/>
            <w:kern w:val="0"/>
            <w14:ligatures w14:val="none"/>
          </w:rPr>
          <w:t>https://doi.org/10.6028/NIST.SP.800-94</w:t>
        </w:r>
      </w:hyperlink>
    </w:p>
    <w:p w14:paraId="62B259A4" w14:textId="7AF9B5FA" w:rsidR="00D75AEF" w:rsidRPr="00FC62CD" w:rsidRDefault="008F595F" w:rsidP="008D2E65">
      <w:pPr>
        <w:rPr>
          <w:rFonts w:ascii="Times New Roman" w:eastAsia="Times New Roman" w:hAnsi="Times New Roman" w:cs="Times New Roman"/>
          <w:kern w:val="0"/>
          <w14:ligatures w14:val="none"/>
        </w:rPr>
      </w:pPr>
      <w:r w:rsidRPr="00FC62CD">
        <w:rPr>
          <w:rFonts w:ascii="Times New Roman" w:eastAsia="Times New Roman" w:hAnsi="Times New Roman" w:cs="Times New Roman"/>
          <w:kern w:val="0"/>
          <w14:ligatures w14:val="none"/>
        </w:rPr>
        <w:t>Stallings, W.</w:t>
      </w:r>
      <w:r w:rsidR="00957A7A">
        <w:rPr>
          <w:rFonts w:ascii="Times New Roman" w:eastAsia="Times New Roman" w:hAnsi="Times New Roman" w:cs="Times New Roman"/>
          <w:kern w:val="0"/>
          <w14:ligatures w14:val="none"/>
        </w:rPr>
        <w:t xml:space="preserve"> </w:t>
      </w:r>
      <w:r w:rsidRPr="00FC62CD">
        <w:rPr>
          <w:rFonts w:ascii="Times New Roman" w:eastAsia="Times New Roman" w:hAnsi="Times New Roman" w:cs="Times New Roman"/>
          <w:kern w:val="0"/>
          <w14:ligatures w14:val="none"/>
        </w:rPr>
        <w:t>(2</w:t>
      </w:r>
      <w:r w:rsidR="007B6D06">
        <w:rPr>
          <w:rFonts w:ascii="Times New Roman" w:eastAsia="Times New Roman" w:hAnsi="Times New Roman" w:cs="Times New Roman"/>
          <w:kern w:val="0"/>
          <w14:ligatures w14:val="none"/>
        </w:rPr>
        <w:t>017</w:t>
      </w:r>
      <w:r w:rsidRPr="00FC62CD">
        <w:rPr>
          <w:rFonts w:ascii="Times New Roman" w:eastAsia="Times New Roman" w:hAnsi="Times New Roman" w:cs="Times New Roman"/>
          <w:kern w:val="0"/>
          <w14:ligatures w14:val="none"/>
        </w:rPr>
        <w:t xml:space="preserve">). </w:t>
      </w:r>
      <w:r w:rsidRPr="00FC62CD">
        <w:rPr>
          <w:rFonts w:ascii="Times New Roman" w:eastAsia="Times New Roman" w:hAnsi="Times New Roman" w:cs="Times New Roman"/>
          <w:i/>
          <w:iCs/>
          <w:kern w:val="0"/>
          <w14:ligatures w14:val="none"/>
        </w:rPr>
        <w:t>Computer security: Principles and practice</w:t>
      </w:r>
      <w:r w:rsidRPr="00FC62CD">
        <w:rPr>
          <w:rFonts w:ascii="Times New Roman" w:eastAsia="Times New Roman" w:hAnsi="Times New Roman" w:cs="Times New Roman"/>
          <w:kern w:val="0"/>
          <w14:ligatures w14:val="none"/>
        </w:rPr>
        <w:t xml:space="preserve"> (</w:t>
      </w:r>
      <w:r w:rsidR="007B6D06">
        <w:rPr>
          <w:rFonts w:ascii="Times New Roman" w:eastAsia="Times New Roman" w:hAnsi="Times New Roman" w:cs="Times New Roman"/>
          <w:kern w:val="0"/>
          <w14:ligatures w14:val="none"/>
        </w:rPr>
        <w:t>4</w:t>
      </w:r>
      <w:r w:rsidRPr="00FC62CD">
        <w:rPr>
          <w:rFonts w:ascii="Times New Roman" w:eastAsia="Times New Roman" w:hAnsi="Times New Roman" w:cs="Times New Roman"/>
          <w:kern w:val="0"/>
          <w14:ligatures w14:val="none"/>
        </w:rPr>
        <w:t>th ed.). Pearson.</w:t>
      </w:r>
    </w:p>
    <w:sectPr w:rsidR="00D75AEF" w:rsidRPr="00FC62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C6C2" w14:textId="77777777" w:rsidR="00B033F9" w:rsidRDefault="00B033F9" w:rsidP="00244AD8">
      <w:pPr>
        <w:spacing w:after="0" w:line="240" w:lineRule="auto"/>
      </w:pPr>
      <w:r>
        <w:separator/>
      </w:r>
    </w:p>
  </w:endnote>
  <w:endnote w:type="continuationSeparator" w:id="0">
    <w:p w14:paraId="6EDF8270" w14:textId="77777777" w:rsidR="00B033F9" w:rsidRDefault="00B033F9" w:rsidP="00244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1AA6" w14:textId="77777777" w:rsidR="00B033F9" w:rsidRDefault="00B033F9" w:rsidP="00244AD8">
      <w:pPr>
        <w:spacing w:after="0" w:line="240" w:lineRule="auto"/>
      </w:pPr>
      <w:r>
        <w:separator/>
      </w:r>
    </w:p>
  </w:footnote>
  <w:footnote w:type="continuationSeparator" w:id="0">
    <w:p w14:paraId="417A13A0" w14:textId="77777777" w:rsidR="00B033F9" w:rsidRDefault="00B033F9" w:rsidP="00244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5557"/>
    <w:multiLevelType w:val="multilevel"/>
    <w:tmpl w:val="6208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64578"/>
    <w:multiLevelType w:val="multilevel"/>
    <w:tmpl w:val="AA3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744083">
    <w:abstractNumId w:val="1"/>
  </w:num>
  <w:num w:numId="2" w16cid:durableId="131749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47"/>
    <w:rsid w:val="0008132D"/>
    <w:rsid w:val="000A25ED"/>
    <w:rsid w:val="000C0DA7"/>
    <w:rsid w:val="000E14E7"/>
    <w:rsid w:val="001541D4"/>
    <w:rsid w:val="001F1B74"/>
    <w:rsid w:val="0024232E"/>
    <w:rsid w:val="00244AD8"/>
    <w:rsid w:val="00254DBF"/>
    <w:rsid w:val="0039377B"/>
    <w:rsid w:val="003F3124"/>
    <w:rsid w:val="004E2147"/>
    <w:rsid w:val="00532825"/>
    <w:rsid w:val="00563D31"/>
    <w:rsid w:val="00642888"/>
    <w:rsid w:val="00662F6D"/>
    <w:rsid w:val="007063EF"/>
    <w:rsid w:val="007B6D06"/>
    <w:rsid w:val="007C786B"/>
    <w:rsid w:val="00872082"/>
    <w:rsid w:val="00876EB5"/>
    <w:rsid w:val="008C576D"/>
    <w:rsid w:val="008D2E65"/>
    <w:rsid w:val="008F595F"/>
    <w:rsid w:val="00943C3B"/>
    <w:rsid w:val="00957A7A"/>
    <w:rsid w:val="00A930FA"/>
    <w:rsid w:val="00AB3B51"/>
    <w:rsid w:val="00AF6B47"/>
    <w:rsid w:val="00B033F9"/>
    <w:rsid w:val="00B4563B"/>
    <w:rsid w:val="00BD6A2F"/>
    <w:rsid w:val="00CA3F4D"/>
    <w:rsid w:val="00CB1583"/>
    <w:rsid w:val="00CB3FC2"/>
    <w:rsid w:val="00D75AEF"/>
    <w:rsid w:val="00DC0F1C"/>
    <w:rsid w:val="00E1017A"/>
    <w:rsid w:val="00E677E8"/>
    <w:rsid w:val="00F3249D"/>
    <w:rsid w:val="00FC62CD"/>
    <w:rsid w:val="00FE2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419E0"/>
  <w15:chartTrackingRefBased/>
  <w15:docId w15:val="{EF227E05-6097-4BE7-9E34-79B0DCA4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47"/>
    <w:rPr>
      <w:rFonts w:eastAsiaTheme="majorEastAsia" w:cstheme="majorBidi"/>
      <w:color w:val="272727" w:themeColor="text1" w:themeTint="D8"/>
    </w:rPr>
  </w:style>
  <w:style w:type="paragraph" w:styleId="Title">
    <w:name w:val="Title"/>
    <w:basedOn w:val="Normal"/>
    <w:next w:val="Normal"/>
    <w:link w:val="TitleChar"/>
    <w:uiPriority w:val="10"/>
    <w:qFormat/>
    <w:rsid w:val="00AF6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B47"/>
    <w:pPr>
      <w:spacing w:before="160"/>
      <w:jc w:val="center"/>
    </w:pPr>
    <w:rPr>
      <w:i/>
      <w:iCs/>
      <w:color w:val="404040" w:themeColor="text1" w:themeTint="BF"/>
    </w:rPr>
  </w:style>
  <w:style w:type="character" w:customStyle="1" w:styleId="QuoteChar">
    <w:name w:val="Quote Char"/>
    <w:basedOn w:val="DefaultParagraphFont"/>
    <w:link w:val="Quote"/>
    <w:uiPriority w:val="29"/>
    <w:rsid w:val="00AF6B47"/>
    <w:rPr>
      <w:i/>
      <w:iCs/>
      <w:color w:val="404040" w:themeColor="text1" w:themeTint="BF"/>
    </w:rPr>
  </w:style>
  <w:style w:type="paragraph" w:styleId="ListParagraph">
    <w:name w:val="List Paragraph"/>
    <w:basedOn w:val="Normal"/>
    <w:uiPriority w:val="34"/>
    <w:qFormat/>
    <w:rsid w:val="00AF6B47"/>
    <w:pPr>
      <w:ind w:left="720"/>
      <w:contextualSpacing/>
    </w:pPr>
  </w:style>
  <w:style w:type="character" w:styleId="IntenseEmphasis">
    <w:name w:val="Intense Emphasis"/>
    <w:basedOn w:val="DefaultParagraphFont"/>
    <w:uiPriority w:val="21"/>
    <w:qFormat/>
    <w:rsid w:val="00AF6B47"/>
    <w:rPr>
      <w:i/>
      <w:iCs/>
      <w:color w:val="0F4761" w:themeColor="accent1" w:themeShade="BF"/>
    </w:rPr>
  </w:style>
  <w:style w:type="paragraph" w:styleId="IntenseQuote">
    <w:name w:val="Intense Quote"/>
    <w:basedOn w:val="Normal"/>
    <w:next w:val="Normal"/>
    <w:link w:val="IntenseQuoteChar"/>
    <w:uiPriority w:val="30"/>
    <w:qFormat/>
    <w:rsid w:val="00AF6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47"/>
    <w:rPr>
      <w:i/>
      <w:iCs/>
      <w:color w:val="0F4761" w:themeColor="accent1" w:themeShade="BF"/>
    </w:rPr>
  </w:style>
  <w:style w:type="character" w:styleId="IntenseReference">
    <w:name w:val="Intense Reference"/>
    <w:basedOn w:val="DefaultParagraphFont"/>
    <w:uiPriority w:val="32"/>
    <w:qFormat/>
    <w:rsid w:val="00AF6B47"/>
    <w:rPr>
      <w:b/>
      <w:bCs/>
      <w:smallCaps/>
      <w:color w:val="0F4761" w:themeColor="accent1" w:themeShade="BF"/>
      <w:spacing w:val="5"/>
    </w:rPr>
  </w:style>
  <w:style w:type="character" w:styleId="Hyperlink">
    <w:name w:val="Hyperlink"/>
    <w:basedOn w:val="DefaultParagraphFont"/>
    <w:uiPriority w:val="99"/>
    <w:unhideWhenUsed/>
    <w:rsid w:val="008D2E65"/>
    <w:rPr>
      <w:color w:val="467886" w:themeColor="hyperlink"/>
      <w:u w:val="single"/>
    </w:rPr>
  </w:style>
  <w:style w:type="character" w:styleId="UnresolvedMention">
    <w:name w:val="Unresolved Mention"/>
    <w:basedOn w:val="DefaultParagraphFont"/>
    <w:uiPriority w:val="99"/>
    <w:semiHidden/>
    <w:unhideWhenUsed/>
    <w:rsid w:val="008D2E65"/>
    <w:rPr>
      <w:color w:val="605E5C"/>
      <w:shd w:val="clear" w:color="auto" w:fill="E1DFDD"/>
    </w:rPr>
  </w:style>
  <w:style w:type="character" w:styleId="FollowedHyperlink">
    <w:name w:val="FollowedHyperlink"/>
    <w:basedOn w:val="DefaultParagraphFont"/>
    <w:uiPriority w:val="99"/>
    <w:semiHidden/>
    <w:unhideWhenUsed/>
    <w:rsid w:val="00AB3B51"/>
    <w:rPr>
      <w:color w:val="96607D" w:themeColor="followedHyperlink"/>
      <w:u w:val="single"/>
    </w:rPr>
  </w:style>
  <w:style w:type="paragraph" w:styleId="Header">
    <w:name w:val="header"/>
    <w:basedOn w:val="Normal"/>
    <w:link w:val="HeaderChar"/>
    <w:uiPriority w:val="99"/>
    <w:unhideWhenUsed/>
    <w:rsid w:val="00244A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4AD8"/>
  </w:style>
  <w:style w:type="paragraph" w:styleId="Footer">
    <w:name w:val="footer"/>
    <w:basedOn w:val="Normal"/>
    <w:link w:val="FooterChar"/>
    <w:uiPriority w:val="99"/>
    <w:unhideWhenUsed/>
    <w:rsid w:val="00244A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4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3630">
      <w:bodyDiv w:val="1"/>
      <w:marLeft w:val="0"/>
      <w:marRight w:val="0"/>
      <w:marTop w:val="0"/>
      <w:marBottom w:val="0"/>
      <w:divBdr>
        <w:top w:val="none" w:sz="0" w:space="0" w:color="auto"/>
        <w:left w:val="none" w:sz="0" w:space="0" w:color="auto"/>
        <w:bottom w:val="none" w:sz="0" w:space="0" w:color="auto"/>
        <w:right w:val="none" w:sz="0" w:space="0" w:color="auto"/>
      </w:divBdr>
    </w:div>
    <w:div w:id="155926574">
      <w:bodyDiv w:val="1"/>
      <w:marLeft w:val="0"/>
      <w:marRight w:val="0"/>
      <w:marTop w:val="0"/>
      <w:marBottom w:val="0"/>
      <w:divBdr>
        <w:top w:val="none" w:sz="0" w:space="0" w:color="auto"/>
        <w:left w:val="none" w:sz="0" w:space="0" w:color="auto"/>
        <w:bottom w:val="none" w:sz="0" w:space="0" w:color="auto"/>
        <w:right w:val="none" w:sz="0" w:space="0" w:color="auto"/>
      </w:divBdr>
    </w:div>
    <w:div w:id="176040480">
      <w:bodyDiv w:val="1"/>
      <w:marLeft w:val="0"/>
      <w:marRight w:val="0"/>
      <w:marTop w:val="0"/>
      <w:marBottom w:val="0"/>
      <w:divBdr>
        <w:top w:val="none" w:sz="0" w:space="0" w:color="auto"/>
        <w:left w:val="none" w:sz="0" w:space="0" w:color="auto"/>
        <w:bottom w:val="none" w:sz="0" w:space="0" w:color="auto"/>
        <w:right w:val="none" w:sz="0" w:space="0" w:color="auto"/>
      </w:divBdr>
    </w:div>
    <w:div w:id="278875527">
      <w:bodyDiv w:val="1"/>
      <w:marLeft w:val="0"/>
      <w:marRight w:val="0"/>
      <w:marTop w:val="0"/>
      <w:marBottom w:val="0"/>
      <w:divBdr>
        <w:top w:val="none" w:sz="0" w:space="0" w:color="auto"/>
        <w:left w:val="none" w:sz="0" w:space="0" w:color="auto"/>
        <w:bottom w:val="none" w:sz="0" w:space="0" w:color="auto"/>
        <w:right w:val="none" w:sz="0" w:space="0" w:color="auto"/>
      </w:divBdr>
    </w:div>
    <w:div w:id="649407440">
      <w:bodyDiv w:val="1"/>
      <w:marLeft w:val="0"/>
      <w:marRight w:val="0"/>
      <w:marTop w:val="0"/>
      <w:marBottom w:val="0"/>
      <w:divBdr>
        <w:top w:val="none" w:sz="0" w:space="0" w:color="auto"/>
        <w:left w:val="none" w:sz="0" w:space="0" w:color="auto"/>
        <w:bottom w:val="none" w:sz="0" w:space="0" w:color="auto"/>
        <w:right w:val="none" w:sz="0" w:space="0" w:color="auto"/>
      </w:divBdr>
    </w:div>
    <w:div w:id="797651613">
      <w:bodyDiv w:val="1"/>
      <w:marLeft w:val="0"/>
      <w:marRight w:val="0"/>
      <w:marTop w:val="0"/>
      <w:marBottom w:val="0"/>
      <w:divBdr>
        <w:top w:val="none" w:sz="0" w:space="0" w:color="auto"/>
        <w:left w:val="none" w:sz="0" w:space="0" w:color="auto"/>
        <w:bottom w:val="none" w:sz="0" w:space="0" w:color="auto"/>
        <w:right w:val="none" w:sz="0" w:space="0" w:color="auto"/>
      </w:divBdr>
    </w:div>
    <w:div w:id="920942486">
      <w:bodyDiv w:val="1"/>
      <w:marLeft w:val="0"/>
      <w:marRight w:val="0"/>
      <w:marTop w:val="0"/>
      <w:marBottom w:val="0"/>
      <w:divBdr>
        <w:top w:val="none" w:sz="0" w:space="0" w:color="auto"/>
        <w:left w:val="none" w:sz="0" w:space="0" w:color="auto"/>
        <w:bottom w:val="none" w:sz="0" w:space="0" w:color="auto"/>
        <w:right w:val="none" w:sz="0" w:space="0" w:color="auto"/>
      </w:divBdr>
    </w:div>
    <w:div w:id="1026949706">
      <w:bodyDiv w:val="1"/>
      <w:marLeft w:val="0"/>
      <w:marRight w:val="0"/>
      <w:marTop w:val="0"/>
      <w:marBottom w:val="0"/>
      <w:divBdr>
        <w:top w:val="none" w:sz="0" w:space="0" w:color="auto"/>
        <w:left w:val="none" w:sz="0" w:space="0" w:color="auto"/>
        <w:bottom w:val="none" w:sz="0" w:space="0" w:color="auto"/>
        <w:right w:val="none" w:sz="0" w:space="0" w:color="auto"/>
      </w:divBdr>
    </w:div>
    <w:div w:id="1071466227">
      <w:bodyDiv w:val="1"/>
      <w:marLeft w:val="0"/>
      <w:marRight w:val="0"/>
      <w:marTop w:val="0"/>
      <w:marBottom w:val="0"/>
      <w:divBdr>
        <w:top w:val="none" w:sz="0" w:space="0" w:color="auto"/>
        <w:left w:val="none" w:sz="0" w:space="0" w:color="auto"/>
        <w:bottom w:val="none" w:sz="0" w:space="0" w:color="auto"/>
        <w:right w:val="none" w:sz="0" w:space="0" w:color="auto"/>
      </w:divBdr>
    </w:div>
    <w:div w:id="1820805309">
      <w:bodyDiv w:val="1"/>
      <w:marLeft w:val="0"/>
      <w:marRight w:val="0"/>
      <w:marTop w:val="0"/>
      <w:marBottom w:val="0"/>
      <w:divBdr>
        <w:top w:val="none" w:sz="0" w:space="0" w:color="auto"/>
        <w:left w:val="none" w:sz="0" w:space="0" w:color="auto"/>
        <w:bottom w:val="none" w:sz="0" w:space="0" w:color="auto"/>
        <w:right w:val="none" w:sz="0" w:space="0" w:color="auto"/>
      </w:divBdr>
    </w:div>
    <w:div w:id="1880052201">
      <w:bodyDiv w:val="1"/>
      <w:marLeft w:val="0"/>
      <w:marRight w:val="0"/>
      <w:marTop w:val="0"/>
      <w:marBottom w:val="0"/>
      <w:divBdr>
        <w:top w:val="none" w:sz="0" w:space="0" w:color="auto"/>
        <w:left w:val="none" w:sz="0" w:space="0" w:color="auto"/>
        <w:bottom w:val="none" w:sz="0" w:space="0" w:color="auto"/>
        <w:right w:val="none" w:sz="0" w:space="0" w:color="auto"/>
      </w:divBdr>
    </w:div>
    <w:div w:id="1912034887">
      <w:bodyDiv w:val="1"/>
      <w:marLeft w:val="0"/>
      <w:marRight w:val="0"/>
      <w:marTop w:val="0"/>
      <w:marBottom w:val="0"/>
      <w:divBdr>
        <w:top w:val="none" w:sz="0" w:space="0" w:color="auto"/>
        <w:left w:val="none" w:sz="0" w:space="0" w:color="auto"/>
        <w:bottom w:val="none" w:sz="0" w:space="0" w:color="auto"/>
        <w:right w:val="none" w:sz="0" w:space="0" w:color="auto"/>
      </w:divBdr>
    </w:div>
    <w:div w:id="1978296628">
      <w:bodyDiv w:val="1"/>
      <w:marLeft w:val="0"/>
      <w:marRight w:val="0"/>
      <w:marTop w:val="0"/>
      <w:marBottom w:val="0"/>
      <w:divBdr>
        <w:top w:val="none" w:sz="0" w:space="0" w:color="auto"/>
        <w:left w:val="none" w:sz="0" w:space="0" w:color="auto"/>
        <w:bottom w:val="none" w:sz="0" w:space="0" w:color="auto"/>
        <w:right w:val="none" w:sz="0" w:space="0" w:color="auto"/>
      </w:divBdr>
    </w:div>
    <w:div w:id="2119787488">
      <w:bodyDiv w:val="1"/>
      <w:marLeft w:val="0"/>
      <w:marRight w:val="0"/>
      <w:marTop w:val="0"/>
      <w:marBottom w:val="0"/>
      <w:divBdr>
        <w:top w:val="none" w:sz="0" w:space="0" w:color="auto"/>
        <w:left w:val="none" w:sz="0" w:space="0" w:color="auto"/>
        <w:bottom w:val="none" w:sz="0" w:space="0" w:color="auto"/>
        <w:right w:val="none" w:sz="0" w:space="0" w:color="auto"/>
      </w:divBdr>
    </w:div>
    <w:div w:id="213971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6028/NIST.SP.800-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7</cp:revision>
  <dcterms:created xsi:type="dcterms:W3CDTF">2025-11-19T22:17:00Z</dcterms:created>
  <dcterms:modified xsi:type="dcterms:W3CDTF">2025-11-24T16:45:00Z</dcterms:modified>
</cp:coreProperties>
</file>