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AE5C0" w14:textId="77777777" w:rsidR="0084000C" w:rsidRDefault="0084000C" w:rsidP="0084000C">
      <w:pPr>
        <w:spacing w:after="0" w:line="480" w:lineRule="auto"/>
        <w:jc w:val="center"/>
        <w:rPr>
          <w:rFonts w:ascii="Times New Roman" w:hAnsi="Times New Roman" w:cs="Times New Roman"/>
          <w:b/>
          <w:bCs/>
        </w:rPr>
      </w:pPr>
    </w:p>
    <w:p w14:paraId="6093C33F" w14:textId="77777777" w:rsidR="0084000C" w:rsidRDefault="0084000C" w:rsidP="0084000C">
      <w:pPr>
        <w:spacing w:after="0" w:line="480" w:lineRule="auto"/>
        <w:jc w:val="center"/>
        <w:rPr>
          <w:rFonts w:ascii="Times New Roman" w:hAnsi="Times New Roman" w:cs="Times New Roman"/>
          <w:b/>
          <w:bCs/>
        </w:rPr>
      </w:pPr>
    </w:p>
    <w:p w14:paraId="4F8C5E81" w14:textId="03CCBDA3" w:rsidR="00D12C8E" w:rsidRPr="00B27669" w:rsidRDefault="00D12C8E" w:rsidP="0084000C">
      <w:pPr>
        <w:spacing w:after="0" w:line="480" w:lineRule="auto"/>
        <w:jc w:val="center"/>
        <w:rPr>
          <w:rFonts w:ascii="Times New Roman" w:hAnsi="Times New Roman" w:cs="Times New Roman"/>
          <w:b/>
          <w:bCs/>
        </w:rPr>
      </w:pPr>
      <w:r w:rsidRPr="00B27669">
        <w:rPr>
          <w:rFonts w:ascii="Times New Roman" w:hAnsi="Times New Roman" w:cs="Times New Roman"/>
          <w:b/>
          <w:bCs/>
        </w:rPr>
        <w:t>Security Vulnerability Assessment of a Water Treatment Facility</w:t>
      </w:r>
    </w:p>
    <w:p w14:paraId="3757F1A8" w14:textId="77777777" w:rsidR="0084000C" w:rsidRPr="00B27669" w:rsidRDefault="0084000C" w:rsidP="0084000C">
      <w:pPr>
        <w:spacing w:after="0" w:line="480" w:lineRule="auto"/>
        <w:jc w:val="center"/>
        <w:rPr>
          <w:rFonts w:ascii="Times New Roman" w:hAnsi="Times New Roman" w:cs="Times New Roman"/>
          <w:b/>
          <w:bCs/>
        </w:rPr>
      </w:pPr>
    </w:p>
    <w:p w14:paraId="3EACE9E8" w14:textId="5ED02395" w:rsidR="00D12C8E" w:rsidRPr="00B27669" w:rsidRDefault="00D12C8E" w:rsidP="0084000C">
      <w:pPr>
        <w:spacing w:after="0" w:line="480" w:lineRule="auto"/>
        <w:jc w:val="center"/>
        <w:rPr>
          <w:rFonts w:ascii="Times New Roman" w:hAnsi="Times New Roman" w:cs="Times New Roman"/>
        </w:rPr>
      </w:pPr>
      <w:r w:rsidRPr="00B27669">
        <w:rPr>
          <w:rFonts w:ascii="Times New Roman" w:hAnsi="Times New Roman" w:cs="Times New Roman"/>
        </w:rPr>
        <w:t>Tyler Vander Mooren</w:t>
      </w:r>
    </w:p>
    <w:p w14:paraId="6D0E5488" w14:textId="5FB36E94" w:rsidR="00D12C8E" w:rsidRPr="00B27669" w:rsidRDefault="00D12C8E" w:rsidP="0084000C">
      <w:pPr>
        <w:spacing w:after="0" w:line="480" w:lineRule="auto"/>
        <w:jc w:val="center"/>
        <w:rPr>
          <w:rFonts w:ascii="Times New Roman" w:hAnsi="Times New Roman" w:cs="Times New Roman"/>
        </w:rPr>
      </w:pPr>
      <w:r w:rsidRPr="00B27669">
        <w:rPr>
          <w:rFonts w:ascii="Times New Roman" w:hAnsi="Times New Roman" w:cs="Times New Roman"/>
        </w:rPr>
        <w:t>INT 370</w:t>
      </w:r>
      <w:r w:rsidR="00795298">
        <w:rPr>
          <w:rFonts w:ascii="Times New Roman" w:hAnsi="Times New Roman" w:cs="Times New Roman"/>
        </w:rPr>
        <w:t>: Threats, Vulnerabilities and Risks</w:t>
      </w:r>
    </w:p>
    <w:p w14:paraId="2A2D0340" w14:textId="024D675F" w:rsidR="0084000C" w:rsidRPr="00B27669" w:rsidRDefault="0084000C" w:rsidP="0084000C">
      <w:pPr>
        <w:spacing w:after="0" w:line="480" w:lineRule="auto"/>
        <w:jc w:val="center"/>
        <w:rPr>
          <w:rFonts w:ascii="Times New Roman" w:hAnsi="Times New Roman" w:cs="Times New Roman"/>
        </w:rPr>
      </w:pPr>
      <w:r w:rsidRPr="00B27669">
        <w:rPr>
          <w:rFonts w:ascii="Times New Roman" w:hAnsi="Times New Roman" w:cs="Times New Roman"/>
        </w:rPr>
        <w:t>Dr. Bryan Knu</w:t>
      </w:r>
      <w:r w:rsidR="00B27669">
        <w:rPr>
          <w:rFonts w:ascii="Times New Roman" w:hAnsi="Times New Roman" w:cs="Times New Roman"/>
        </w:rPr>
        <w:t>eppel</w:t>
      </w:r>
    </w:p>
    <w:p w14:paraId="5D5E864A" w14:textId="4DC69609" w:rsidR="00D12C8E" w:rsidRPr="00B27669" w:rsidRDefault="00D12C8E" w:rsidP="0084000C">
      <w:pPr>
        <w:spacing w:after="0" w:line="480" w:lineRule="auto"/>
        <w:jc w:val="center"/>
        <w:rPr>
          <w:rFonts w:ascii="Times New Roman" w:hAnsi="Times New Roman" w:cs="Times New Roman"/>
        </w:rPr>
      </w:pPr>
      <w:r w:rsidRPr="00B27669">
        <w:rPr>
          <w:rFonts w:ascii="Times New Roman" w:hAnsi="Times New Roman" w:cs="Times New Roman"/>
        </w:rPr>
        <w:t>October 1</w:t>
      </w:r>
      <w:r w:rsidR="00893F1D">
        <w:rPr>
          <w:rFonts w:ascii="Times New Roman" w:hAnsi="Times New Roman" w:cs="Times New Roman"/>
        </w:rPr>
        <w:t>5</w:t>
      </w:r>
      <w:r w:rsidR="0084000C" w:rsidRPr="00B27669">
        <w:rPr>
          <w:rFonts w:ascii="Times New Roman" w:hAnsi="Times New Roman" w:cs="Times New Roman"/>
        </w:rPr>
        <w:t>, 2025</w:t>
      </w:r>
    </w:p>
    <w:p w14:paraId="0BEE8999" w14:textId="77777777" w:rsidR="00D12C8E" w:rsidRPr="00B27669" w:rsidRDefault="00D12C8E" w:rsidP="006B72C9">
      <w:pPr>
        <w:spacing w:after="0" w:line="480" w:lineRule="auto"/>
        <w:rPr>
          <w:rFonts w:ascii="Times New Roman" w:hAnsi="Times New Roman" w:cs="Times New Roman"/>
          <w:b/>
          <w:bCs/>
        </w:rPr>
      </w:pPr>
    </w:p>
    <w:p w14:paraId="72B6AF36" w14:textId="77777777" w:rsidR="00D12C8E" w:rsidRPr="00B27669" w:rsidRDefault="00D12C8E">
      <w:pPr>
        <w:rPr>
          <w:rFonts w:ascii="Times New Roman" w:hAnsi="Times New Roman" w:cs="Times New Roman"/>
          <w:b/>
          <w:bCs/>
        </w:rPr>
      </w:pPr>
      <w:r w:rsidRPr="00B27669">
        <w:rPr>
          <w:rFonts w:ascii="Times New Roman" w:hAnsi="Times New Roman" w:cs="Times New Roman"/>
          <w:b/>
          <w:bCs/>
        </w:rPr>
        <w:br w:type="page"/>
      </w:r>
    </w:p>
    <w:p w14:paraId="672E5F02" w14:textId="59216F46" w:rsidR="00F961EF" w:rsidRPr="00B27669" w:rsidRDefault="00FE0E14" w:rsidP="00D12C8E">
      <w:pPr>
        <w:spacing w:after="0" w:line="480" w:lineRule="auto"/>
        <w:jc w:val="center"/>
        <w:rPr>
          <w:rFonts w:ascii="Times New Roman" w:hAnsi="Times New Roman" w:cs="Times New Roman"/>
          <w:b/>
          <w:bCs/>
        </w:rPr>
      </w:pPr>
      <w:r w:rsidRPr="00B27669">
        <w:rPr>
          <w:rFonts w:ascii="Times New Roman" w:hAnsi="Times New Roman" w:cs="Times New Roman"/>
          <w:b/>
          <w:bCs/>
        </w:rPr>
        <w:lastRenderedPageBreak/>
        <w:t>Security Vulnerability Assessment of a Water Treatment Facility</w:t>
      </w:r>
    </w:p>
    <w:p w14:paraId="588E92E3" w14:textId="77777777" w:rsidR="00F961EF" w:rsidRPr="00B27669" w:rsidRDefault="00F961EF" w:rsidP="006B72C9">
      <w:pPr>
        <w:spacing w:after="0" w:line="480" w:lineRule="auto"/>
        <w:ind w:firstLine="720"/>
        <w:rPr>
          <w:rFonts w:ascii="Times New Roman" w:hAnsi="Times New Roman" w:cs="Times New Roman"/>
          <w:b/>
          <w:bCs/>
        </w:rPr>
      </w:pPr>
      <w:r w:rsidRPr="00B27669">
        <w:rPr>
          <w:rFonts w:ascii="Times New Roman" w:hAnsi="Times New Roman" w:cs="Times New Roman"/>
        </w:rPr>
        <w:t xml:space="preserve">Water treatment facilities are essential parts of the national infrastructure that must always be running to provide safe drinking water and to support public services. These plants rely on mechanical, chemical and digital systems to ensure security against a broad range of risks. Conducting a Security Vulnerability Assessment is essential in helping identify weaknesses, evaluate threats and to guide protective actions. This is important for the water sector because failures often result in cascading effects across other lifeline systems (Bennett, 2018). One of those water systems is drinking water which also scores high in consequence assessments due to its impact it as on populations (Maiolo &amp; </w:t>
      </w:r>
      <w:proofErr w:type="spellStart"/>
      <w:r w:rsidRPr="00B27669">
        <w:rPr>
          <w:rFonts w:ascii="Times New Roman" w:hAnsi="Times New Roman" w:cs="Times New Roman"/>
        </w:rPr>
        <w:t>Pantusa</w:t>
      </w:r>
      <w:proofErr w:type="spellEnd"/>
      <w:r w:rsidRPr="00B27669">
        <w:rPr>
          <w:rFonts w:ascii="Times New Roman" w:hAnsi="Times New Roman" w:cs="Times New Roman"/>
        </w:rPr>
        <w:t>, 2018). An SVA will highlight key vulnerabilities in physical operations, cyber controls and organizational processes and will help shape mitigation strategies to match the facility’s risk environment.</w:t>
      </w:r>
    </w:p>
    <w:p w14:paraId="541D68CC" w14:textId="1F2EF9A5" w:rsidR="00F961EF" w:rsidRPr="00B27669" w:rsidRDefault="00F961EF" w:rsidP="006B72C9">
      <w:pPr>
        <w:spacing w:after="0" w:line="480" w:lineRule="auto"/>
        <w:rPr>
          <w:rFonts w:ascii="Times New Roman" w:hAnsi="Times New Roman" w:cs="Times New Roman"/>
          <w:b/>
          <w:bCs/>
        </w:rPr>
      </w:pPr>
      <w:r w:rsidRPr="00B27669">
        <w:rPr>
          <w:rFonts w:ascii="Times New Roman" w:hAnsi="Times New Roman" w:cs="Times New Roman"/>
          <w:b/>
          <w:bCs/>
        </w:rPr>
        <w:t>Facility Overview</w:t>
      </w:r>
    </w:p>
    <w:p w14:paraId="451E437E" w14:textId="77777777" w:rsidR="00F961EF" w:rsidRPr="00B27669" w:rsidRDefault="00F961EF" w:rsidP="006B72C9">
      <w:pPr>
        <w:spacing w:after="0" w:line="480" w:lineRule="auto"/>
        <w:ind w:firstLine="720"/>
        <w:rPr>
          <w:rFonts w:ascii="Times New Roman" w:hAnsi="Times New Roman" w:cs="Times New Roman"/>
          <w:b/>
          <w:bCs/>
        </w:rPr>
      </w:pPr>
      <w:r w:rsidRPr="00B27669">
        <w:rPr>
          <w:rFonts w:ascii="Times New Roman" w:hAnsi="Times New Roman" w:cs="Times New Roman"/>
        </w:rPr>
        <w:t>Generally, a water treatment plant uses several connected stages to produce safe water. This includes intake structures withdrawing water from natural sources and then moving it to treatment facilities. Coagulants bind particles before sedimentation and filtrations remove solids from the water. Disinfection is done usually through chlorine or UV systems to protect again microbial threats. This treated water then enters storage and out to distribution. Most facilities rely on Supervisory Control and Data Acquisitions (SCADA) systems and Industrial Control Systems (ICS) for process monitoring. These systems regulate flows, chemical feed rates and pumping operations. Failure in one component can lead to disruption in several treatment stages at once because the plant operates as a single interconnected system (Bennett, 2018). The cyber physical interactions inside these systems can turn small malfunctions into major service outages or unsafe conditions (</w:t>
      </w:r>
      <w:proofErr w:type="spellStart"/>
      <w:r w:rsidRPr="00B27669">
        <w:rPr>
          <w:rFonts w:ascii="Times New Roman" w:hAnsi="Times New Roman" w:cs="Times New Roman"/>
        </w:rPr>
        <w:t>Iaiani</w:t>
      </w:r>
      <w:proofErr w:type="spellEnd"/>
      <w:r w:rsidRPr="00B27669">
        <w:rPr>
          <w:rFonts w:ascii="Times New Roman" w:hAnsi="Times New Roman" w:cs="Times New Roman"/>
        </w:rPr>
        <w:t xml:space="preserve"> et all., 2024). The long operating hours and aging equipment limit </w:t>
      </w:r>
      <w:r w:rsidRPr="00B27669">
        <w:rPr>
          <w:rFonts w:ascii="Times New Roman" w:hAnsi="Times New Roman" w:cs="Times New Roman"/>
        </w:rPr>
        <w:lastRenderedPageBreak/>
        <w:t>opportunities to upgrade these systems and leave persistent vulnerabilities that require ongoing attention.</w:t>
      </w:r>
    </w:p>
    <w:p w14:paraId="37635B3F" w14:textId="0B0917AD" w:rsidR="00F961EF" w:rsidRPr="00B27669" w:rsidRDefault="00F961EF" w:rsidP="006B72C9">
      <w:pPr>
        <w:spacing w:after="0" w:line="480" w:lineRule="auto"/>
        <w:rPr>
          <w:rFonts w:ascii="Times New Roman" w:hAnsi="Times New Roman" w:cs="Times New Roman"/>
          <w:b/>
          <w:bCs/>
        </w:rPr>
      </w:pPr>
      <w:r w:rsidRPr="00B27669">
        <w:rPr>
          <w:rFonts w:ascii="Times New Roman" w:hAnsi="Times New Roman" w:cs="Times New Roman"/>
          <w:b/>
          <w:bCs/>
        </w:rPr>
        <w:t>Threat Assessment</w:t>
      </w:r>
    </w:p>
    <w:p w14:paraId="47520D66" w14:textId="77777777" w:rsidR="00F961EF" w:rsidRPr="00B27669" w:rsidRDefault="00F961EF" w:rsidP="006B72C9">
      <w:pPr>
        <w:spacing w:after="0" w:line="480" w:lineRule="auto"/>
        <w:ind w:firstLine="720"/>
        <w:rPr>
          <w:rFonts w:ascii="Times New Roman" w:hAnsi="Times New Roman" w:cs="Times New Roman"/>
          <w:b/>
          <w:bCs/>
        </w:rPr>
      </w:pPr>
      <w:r w:rsidRPr="00B27669">
        <w:rPr>
          <w:rFonts w:ascii="Times New Roman" w:hAnsi="Times New Roman" w:cs="Times New Roman"/>
        </w:rPr>
        <w:t>Water treatment plants face a wide range of threats ranging from natural, accidental and intentional threats. Storms, flooding, drought and earthquakes are constant threats from nature that damage equipment, contaminate sources and interrupt power. These natural events may disable automated controls and cause failure across dependent systems. Accidental threats are more often than note human error. Missteps in chemical dosing or equipment operation can compromise water quality. High workload, limited staffing and inconsistent training also increase the chances of accidental mistakes. Intentional threats present the highest risks to treatment plants. These threats can be intrusion, sabotage, chemical tampering, cyber manipulation or insider misuse which can cause rapid disruption. Water systems are attractive targets because of how essential and accessible they are (Bennett, 2018). Another threat is attacking distribution networks which cover large areas with many exposed components. Since it has many exposed components, it increases its chance of physical interference (</w:t>
      </w:r>
      <w:proofErr w:type="spellStart"/>
      <w:r w:rsidRPr="00B27669">
        <w:rPr>
          <w:rFonts w:ascii="Times New Roman" w:hAnsi="Times New Roman" w:cs="Times New Roman"/>
        </w:rPr>
        <w:t>Ostfeld</w:t>
      </w:r>
      <w:proofErr w:type="spellEnd"/>
      <w:r w:rsidRPr="00B27669">
        <w:rPr>
          <w:rFonts w:ascii="Times New Roman" w:hAnsi="Times New Roman" w:cs="Times New Roman"/>
        </w:rPr>
        <w:t xml:space="preserve">, 2006). </w:t>
      </w:r>
    </w:p>
    <w:p w14:paraId="1C0E0A77" w14:textId="6F11BE4D" w:rsidR="00F961EF" w:rsidRPr="00B27669" w:rsidRDefault="00F961EF" w:rsidP="006B72C9">
      <w:pPr>
        <w:spacing w:after="0" w:line="480" w:lineRule="auto"/>
        <w:rPr>
          <w:rFonts w:ascii="Times New Roman" w:hAnsi="Times New Roman" w:cs="Times New Roman"/>
          <w:b/>
          <w:bCs/>
        </w:rPr>
      </w:pPr>
      <w:r w:rsidRPr="00B27669">
        <w:rPr>
          <w:rFonts w:ascii="Times New Roman" w:hAnsi="Times New Roman" w:cs="Times New Roman"/>
          <w:b/>
          <w:bCs/>
        </w:rPr>
        <w:t>Vulnerability Assessment</w:t>
      </w:r>
    </w:p>
    <w:p w14:paraId="232FADD9" w14:textId="2E3F194E" w:rsidR="00F961EF" w:rsidRPr="00B27669" w:rsidRDefault="00F961EF" w:rsidP="006B72C9">
      <w:pPr>
        <w:spacing w:after="0" w:line="480" w:lineRule="auto"/>
        <w:ind w:firstLine="720"/>
        <w:rPr>
          <w:rFonts w:ascii="Times New Roman" w:hAnsi="Times New Roman" w:cs="Times New Roman"/>
          <w:b/>
          <w:bCs/>
        </w:rPr>
      </w:pPr>
      <w:r w:rsidRPr="00B27669">
        <w:rPr>
          <w:rFonts w:ascii="Times New Roman" w:hAnsi="Times New Roman" w:cs="Times New Roman"/>
        </w:rPr>
        <w:t xml:space="preserve">Physical, Cyber and operational are all vulnerabilities that water treatment facilities face. Physical weaknesses include outdated fencing, open access points, limited surveillance and unsecured chemical storage. Many facilities lack reliable access control and instruction detection which raises their chance of unauthorized entry or tampering (Markovic &amp; Graovac, 2017). The wide layout of distribution systems increases the chance of physical exposure. Cyber vulnerabilities include outdated firmware, weak authentication, unsegmented networks, insecure remote access and limited monitoring. Because SCADA and ICS systems control key treatment </w:t>
      </w:r>
      <w:r w:rsidRPr="00B27669">
        <w:rPr>
          <w:rFonts w:ascii="Times New Roman" w:hAnsi="Times New Roman" w:cs="Times New Roman"/>
        </w:rPr>
        <w:lastRenderedPageBreak/>
        <w:t>functions any intrusion can create unsafe conditions. Increased connectivity between business and operational networks raises the overall cyber risk. Operational vulnerabilities appear in weak contractor screening, poor inventory controls, limited training and redundancy in key roles. Facilities that rely on small teams or outdated procedures face higher risk during unexpected events and these weaknesses often amplify the impact of physical and cyber incidents (Bennett, 2018).</w:t>
      </w:r>
    </w:p>
    <w:p w14:paraId="4DBFF950" w14:textId="30E35C8B" w:rsidR="00F961EF" w:rsidRPr="00B27669" w:rsidRDefault="00F961EF" w:rsidP="006B72C9">
      <w:pPr>
        <w:spacing w:after="0" w:line="480" w:lineRule="auto"/>
        <w:rPr>
          <w:rFonts w:ascii="Times New Roman" w:hAnsi="Times New Roman" w:cs="Times New Roman"/>
          <w:b/>
          <w:bCs/>
        </w:rPr>
      </w:pPr>
      <w:r w:rsidRPr="00B27669">
        <w:rPr>
          <w:rFonts w:ascii="Times New Roman" w:hAnsi="Times New Roman" w:cs="Times New Roman"/>
          <w:b/>
          <w:bCs/>
        </w:rPr>
        <w:t>Criticality Assessment</w:t>
      </w:r>
    </w:p>
    <w:p w14:paraId="10BCB61A" w14:textId="77777777" w:rsidR="00F961EF" w:rsidRPr="00B27669" w:rsidRDefault="00F961EF" w:rsidP="006B72C9">
      <w:pPr>
        <w:spacing w:after="0" w:line="480" w:lineRule="auto"/>
        <w:ind w:firstLine="720"/>
        <w:rPr>
          <w:rFonts w:ascii="Times New Roman" w:hAnsi="Times New Roman" w:cs="Times New Roman"/>
          <w:b/>
          <w:bCs/>
        </w:rPr>
      </w:pPr>
      <w:r w:rsidRPr="00B27669">
        <w:rPr>
          <w:rFonts w:ascii="Times New Roman" w:hAnsi="Times New Roman" w:cs="Times New Roman"/>
        </w:rPr>
        <w:t xml:space="preserve">The rank given to water treatment facilities is highly critical because they support public health and populations. In addition, they also supply hospitals, firefighting systems, schools and industry sectors. Many regions do not have backup water sources, so any disruption produces immediate effects across multiple sectors. These facilities also depend on reliable power, chemical supplies and distribution. Which means a failure in one of the supports systems can quickly affect treatment operations. This interdependence increases its overall consequence and makes recovery more difficult. Since it is in the highly critical category it increases its attractiveness as a target. Systems that provide essential services to populations and have limited backups are more appealing to threat actors who want to cause widespread disruption (Bennett, 2018). Vulnerability index studies confirm that drinking water assets consistently receive high consequence scores because backup resources are scarce and impacts spread quickly across communities (Maiolo &amp; </w:t>
      </w:r>
      <w:proofErr w:type="spellStart"/>
      <w:r w:rsidRPr="00B27669">
        <w:rPr>
          <w:rFonts w:ascii="Times New Roman" w:hAnsi="Times New Roman" w:cs="Times New Roman"/>
        </w:rPr>
        <w:t>Pantusa</w:t>
      </w:r>
      <w:proofErr w:type="spellEnd"/>
      <w:r w:rsidRPr="00B27669">
        <w:rPr>
          <w:rFonts w:ascii="Times New Roman" w:hAnsi="Times New Roman" w:cs="Times New Roman"/>
        </w:rPr>
        <w:t>, 2018). A single disruption can also affect wastewater operations, fire suppression capacity and healthcare services, these all further amplify the overall risk. Because of this combination of widespread dependence, lack of backup systems and essential public health functions. Water treatments facilities must be treated as a priority asset in any SVA.</w:t>
      </w:r>
    </w:p>
    <w:p w14:paraId="5651F86D" w14:textId="71E20DC0" w:rsidR="00F961EF" w:rsidRPr="00B27669" w:rsidRDefault="00F961EF" w:rsidP="006B72C9">
      <w:pPr>
        <w:spacing w:after="0" w:line="480" w:lineRule="auto"/>
        <w:rPr>
          <w:rFonts w:ascii="Times New Roman" w:hAnsi="Times New Roman" w:cs="Times New Roman"/>
          <w:b/>
          <w:bCs/>
        </w:rPr>
      </w:pPr>
      <w:r w:rsidRPr="00B27669">
        <w:rPr>
          <w:rFonts w:ascii="Times New Roman" w:hAnsi="Times New Roman" w:cs="Times New Roman"/>
          <w:b/>
          <w:bCs/>
        </w:rPr>
        <w:lastRenderedPageBreak/>
        <w:t>Risk Characterization</w:t>
      </w:r>
    </w:p>
    <w:p w14:paraId="36424004" w14:textId="588702AF" w:rsidR="00F961EF" w:rsidRPr="00B27669" w:rsidRDefault="00F961EF" w:rsidP="006B72C9">
      <w:pPr>
        <w:spacing w:after="0" w:line="480" w:lineRule="auto"/>
        <w:ind w:firstLine="720"/>
        <w:rPr>
          <w:rFonts w:ascii="Times New Roman" w:hAnsi="Times New Roman" w:cs="Times New Roman"/>
          <w:b/>
          <w:bCs/>
        </w:rPr>
      </w:pPr>
      <w:r w:rsidRPr="00B27669">
        <w:rPr>
          <w:rFonts w:ascii="Times New Roman" w:hAnsi="Times New Roman" w:cs="Times New Roman"/>
        </w:rPr>
        <w:t>Risk is formed when threat, vulnerability and consequence interact. System conditions and threat environments change over time so risk must also be reviewed often rather than stay fixed. Cyber manipulation of chlorine dosing is one of the highest risk scenarios because of how SCADA and ICS devices have control over chemical feed rates. Unauthorized changes can create severe contamination hazards (</w:t>
      </w:r>
      <w:proofErr w:type="spellStart"/>
      <w:r w:rsidRPr="00B27669">
        <w:rPr>
          <w:rFonts w:ascii="Times New Roman" w:hAnsi="Times New Roman" w:cs="Times New Roman"/>
        </w:rPr>
        <w:t>Iaiani</w:t>
      </w:r>
      <w:proofErr w:type="spellEnd"/>
      <w:r w:rsidRPr="00B27669">
        <w:rPr>
          <w:rFonts w:ascii="Times New Roman" w:hAnsi="Times New Roman" w:cs="Times New Roman"/>
        </w:rPr>
        <w:t xml:space="preserve"> et all., 2024). Physical breaches of chemical storage can also create major risk because tampering or theft carries severe consequences even when physical defense is moderate. Major storms can shut down power and disable treatment operations for long periods. Insider threats are significant because someone with authorized access can disable pumps or alarms causing immediate failures. Operator error tends to produce moderate risk since mistakes occur often but are usually contained before they cause large scale harm (Bennett, 2018).</w:t>
      </w:r>
    </w:p>
    <w:p w14:paraId="710431BB" w14:textId="4BD60D87" w:rsidR="00F961EF" w:rsidRPr="00B27669" w:rsidRDefault="00F961EF" w:rsidP="006B72C9">
      <w:pPr>
        <w:spacing w:after="0" w:line="480" w:lineRule="auto"/>
        <w:rPr>
          <w:rFonts w:ascii="Times New Roman" w:hAnsi="Times New Roman" w:cs="Times New Roman"/>
          <w:b/>
          <w:bCs/>
        </w:rPr>
      </w:pPr>
      <w:r w:rsidRPr="00B27669">
        <w:rPr>
          <w:rFonts w:ascii="Times New Roman" w:hAnsi="Times New Roman" w:cs="Times New Roman"/>
          <w:b/>
          <w:bCs/>
        </w:rPr>
        <w:t xml:space="preserve">Mitigation Recommendations </w:t>
      </w:r>
    </w:p>
    <w:p w14:paraId="52326D04" w14:textId="328D47B1" w:rsidR="00F961EF" w:rsidRPr="00B27669" w:rsidRDefault="00F961EF" w:rsidP="006B72C9">
      <w:pPr>
        <w:spacing w:after="0" w:line="480" w:lineRule="auto"/>
        <w:ind w:firstLine="720"/>
        <w:rPr>
          <w:rFonts w:ascii="Times New Roman" w:hAnsi="Times New Roman" w:cs="Times New Roman"/>
          <w:b/>
          <w:bCs/>
        </w:rPr>
      </w:pPr>
      <w:r w:rsidRPr="00B27669">
        <w:rPr>
          <w:rFonts w:ascii="Times New Roman" w:hAnsi="Times New Roman" w:cs="Times New Roman"/>
        </w:rPr>
        <w:t>Reducing risk requires stronger physical, cyber and operational defenses. Some suggestions for physical upgrades include improved fencing, controlled access points, expanded surveillance and intrusion detection around chemical storage (Markovic &amp; Graovac, 2017). Exposed parts of the distribution networks also need targeted protection. Cybersecurity improvements should focus on network segmentation, strong authentication, regular firmware updates, limits on remote access and continuous monitoring of process control systems (</w:t>
      </w:r>
      <w:proofErr w:type="spellStart"/>
      <w:r w:rsidRPr="00B27669">
        <w:rPr>
          <w:rFonts w:ascii="Times New Roman" w:hAnsi="Times New Roman" w:cs="Times New Roman"/>
        </w:rPr>
        <w:t>Iaiani</w:t>
      </w:r>
      <w:proofErr w:type="spellEnd"/>
      <w:r w:rsidRPr="00B27669">
        <w:rPr>
          <w:rFonts w:ascii="Times New Roman" w:hAnsi="Times New Roman" w:cs="Times New Roman"/>
        </w:rPr>
        <w:t xml:space="preserve"> et all., 2024). Backup systems and rehearsed incident response procedures help keep operations stable during cyber events. Operational improvements will strengthen the overall resilience. Cross training, stronger contractor screening, updated procedures, accurate chemical inventory tracking and regular emergency exercises to help staff respond effectively during disruptions. </w:t>
      </w:r>
      <w:r w:rsidRPr="00B27669">
        <w:rPr>
          <w:rFonts w:ascii="Times New Roman" w:hAnsi="Times New Roman" w:cs="Times New Roman"/>
        </w:rPr>
        <w:lastRenderedPageBreak/>
        <w:t xml:space="preserve">These steps will help reduce the chance of human error and stabilize the system when it’s under pressure (Bennett, 2018). A combined approach that strengthens physical, cyber and operational layers creates a defense that protects the entire treatment process. This approach improves reliability and supports continuous delivery of safe drinking water even during unexpected events. By applying SVA findings and focusing on the most critical risk, water treatment facilities can enhance their resilience. Which will protect public health and maintain one of the most important lifeline services in any community. </w:t>
      </w:r>
    </w:p>
    <w:p w14:paraId="081E26AB" w14:textId="77777777" w:rsidR="00153369" w:rsidRPr="00B27669" w:rsidRDefault="00153369">
      <w:pPr>
        <w:rPr>
          <w:rFonts w:ascii="Times New Roman" w:hAnsi="Times New Roman" w:cs="Times New Roman"/>
        </w:rPr>
      </w:pPr>
      <w:r w:rsidRPr="00B27669">
        <w:rPr>
          <w:rFonts w:ascii="Times New Roman" w:hAnsi="Times New Roman" w:cs="Times New Roman"/>
        </w:rPr>
        <w:br w:type="page"/>
      </w:r>
    </w:p>
    <w:p w14:paraId="07BE27AB" w14:textId="77777777" w:rsidR="00153369" w:rsidRPr="00B27669" w:rsidRDefault="00153369" w:rsidP="00153369">
      <w:pPr>
        <w:jc w:val="center"/>
        <w:rPr>
          <w:rFonts w:ascii="Times New Roman" w:hAnsi="Times New Roman" w:cs="Times New Roman"/>
          <w:b/>
          <w:bCs/>
        </w:rPr>
      </w:pPr>
      <w:r w:rsidRPr="00B27669">
        <w:rPr>
          <w:rFonts w:ascii="Times New Roman" w:hAnsi="Times New Roman" w:cs="Times New Roman"/>
          <w:b/>
          <w:bCs/>
        </w:rPr>
        <w:lastRenderedPageBreak/>
        <w:t>References</w:t>
      </w:r>
    </w:p>
    <w:p w14:paraId="250491C8" w14:textId="77777777" w:rsidR="00153369" w:rsidRPr="00B27669" w:rsidRDefault="00153369" w:rsidP="00153369">
      <w:pPr>
        <w:spacing w:after="0" w:line="480" w:lineRule="auto"/>
        <w:ind w:left="720" w:hanging="720"/>
        <w:rPr>
          <w:rFonts w:ascii="Times New Roman" w:hAnsi="Times New Roman" w:cs="Times New Roman"/>
        </w:rPr>
      </w:pPr>
      <w:r w:rsidRPr="00B27669">
        <w:rPr>
          <w:rFonts w:ascii="Times New Roman" w:hAnsi="Times New Roman" w:cs="Times New Roman"/>
        </w:rPr>
        <w:t xml:space="preserve">Bennett, B. (2018). </w:t>
      </w:r>
      <w:r w:rsidRPr="00B27669">
        <w:rPr>
          <w:rFonts w:ascii="Times New Roman" w:hAnsi="Times New Roman" w:cs="Times New Roman"/>
          <w:i/>
          <w:iCs/>
        </w:rPr>
        <w:t xml:space="preserve">Understanding, assessing, and responding to terrorism: Protecting critical infrastructure and personnel </w:t>
      </w:r>
      <w:r w:rsidRPr="00B27669">
        <w:rPr>
          <w:rFonts w:ascii="Times New Roman" w:hAnsi="Times New Roman" w:cs="Times New Roman"/>
        </w:rPr>
        <w:t>(2</w:t>
      </w:r>
      <w:r w:rsidRPr="00B27669">
        <w:rPr>
          <w:rFonts w:ascii="Times New Roman" w:hAnsi="Times New Roman" w:cs="Times New Roman"/>
          <w:vertAlign w:val="superscript"/>
        </w:rPr>
        <w:t>nd</w:t>
      </w:r>
      <w:r w:rsidRPr="00B27669">
        <w:rPr>
          <w:rFonts w:ascii="Times New Roman" w:hAnsi="Times New Roman" w:cs="Times New Roman"/>
        </w:rPr>
        <w:t xml:space="preserve"> ed.).</w:t>
      </w:r>
      <w:r w:rsidRPr="00B27669">
        <w:rPr>
          <w:rFonts w:ascii="Times New Roman" w:hAnsi="Times New Roman" w:cs="Times New Roman"/>
          <w:i/>
          <w:iCs/>
        </w:rPr>
        <w:t xml:space="preserve"> </w:t>
      </w:r>
      <w:r w:rsidRPr="00B27669">
        <w:rPr>
          <w:rFonts w:ascii="Times New Roman" w:hAnsi="Times New Roman" w:cs="Times New Roman"/>
        </w:rPr>
        <w:t>John Wiley and Sons.</w:t>
      </w:r>
    </w:p>
    <w:p w14:paraId="3B596426" w14:textId="77777777" w:rsidR="00153369" w:rsidRPr="00B27669" w:rsidRDefault="00153369" w:rsidP="00153369">
      <w:pPr>
        <w:spacing w:after="0" w:line="480" w:lineRule="auto"/>
        <w:ind w:left="720" w:hanging="720"/>
        <w:rPr>
          <w:rFonts w:ascii="Times New Roman" w:hAnsi="Times New Roman" w:cs="Times New Roman"/>
        </w:rPr>
      </w:pPr>
      <w:r w:rsidRPr="00B27669">
        <w:rPr>
          <w:rFonts w:ascii="Times New Roman" w:hAnsi="Times New Roman" w:cs="Times New Roman"/>
        </w:rPr>
        <w:t xml:space="preserve">Iaiani, M., </w:t>
      </w:r>
      <w:proofErr w:type="spellStart"/>
      <w:r w:rsidRPr="00B27669">
        <w:rPr>
          <w:rFonts w:ascii="Times New Roman" w:hAnsi="Times New Roman" w:cs="Times New Roman"/>
        </w:rPr>
        <w:t>Tugnoli</w:t>
      </w:r>
      <w:proofErr w:type="spellEnd"/>
      <w:r w:rsidRPr="00B27669">
        <w:rPr>
          <w:rFonts w:ascii="Times New Roman" w:hAnsi="Times New Roman" w:cs="Times New Roman"/>
        </w:rPr>
        <w:t xml:space="preserve">, A., &amp; </w:t>
      </w:r>
      <w:proofErr w:type="spellStart"/>
      <w:r w:rsidRPr="00B27669">
        <w:rPr>
          <w:rFonts w:ascii="Times New Roman" w:hAnsi="Times New Roman" w:cs="Times New Roman"/>
        </w:rPr>
        <w:t>Cozzani</w:t>
      </w:r>
      <w:proofErr w:type="spellEnd"/>
      <w:r w:rsidRPr="00B27669">
        <w:rPr>
          <w:rFonts w:ascii="Times New Roman" w:hAnsi="Times New Roman" w:cs="Times New Roman"/>
        </w:rPr>
        <w:t xml:space="preserve">, V. (2024). </w:t>
      </w:r>
      <w:r w:rsidRPr="00B27669">
        <w:rPr>
          <w:rFonts w:ascii="Times New Roman" w:hAnsi="Times New Roman" w:cs="Times New Roman"/>
          <w:i/>
          <w:iCs/>
        </w:rPr>
        <w:t>Critical cybersecurity scenarios in drinking water treatment plants</w:t>
      </w:r>
      <w:r w:rsidRPr="00B27669">
        <w:rPr>
          <w:rFonts w:ascii="Times New Roman" w:hAnsi="Times New Roman" w:cs="Times New Roman"/>
        </w:rPr>
        <w:t xml:space="preserve">. Chemical Engineering Transactions. </w:t>
      </w:r>
      <w:hyperlink r:id="rId7" w:history="1">
        <w:r w:rsidRPr="00B27669">
          <w:rPr>
            <w:rStyle w:val="Hyperlink"/>
            <w:rFonts w:ascii="Times New Roman" w:hAnsi="Times New Roman" w:cs="Times New Roman"/>
          </w:rPr>
          <w:t>https://www.cetjournal.it/cet/24/111/031.pdf</w:t>
        </w:r>
      </w:hyperlink>
    </w:p>
    <w:p w14:paraId="6F63CC03" w14:textId="77777777" w:rsidR="00153369" w:rsidRPr="00B27669" w:rsidRDefault="00153369" w:rsidP="00153369">
      <w:pPr>
        <w:spacing w:after="0" w:line="480" w:lineRule="auto"/>
        <w:ind w:left="720" w:hanging="720"/>
        <w:rPr>
          <w:rFonts w:ascii="Times New Roman" w:hAnsi="Times New Roman" w:cs="Times New Roman"/>
        </w:rPr>
      </w:pPr>
      <w:r w:rsidRPr="00B27669">
        <w:rPr>
          <w:rFonts w:ascii="Times New Roman" w:hAnsi="Times New Roman" w:cs="Times New Roman"/>
        </w:rPr>
        <w:t xml:space="preserve">Maiolo, M., &amp; </w:t>
      </w:r>
      <w:proofErr w:type="spellStart"/>
      <w:r w:rsidRPr="00B27669">
        <w:rPr>
          <w:rFonts w:ascii="Times New Roman" w:hAnsi="Times New Roman" w:cs="Times New Roman"/>
        </w:rPr>
        <w:t>Pantusa</w:t>
      </w:r>
      <w:proofErr w:type="spellEnd"/>
      <w:r w:rsidRPr="00B27669">
        <w:rPr>
          <w:rFonts w:ascii="Times New Roman" w:hAnsi="Times New Roman" w:cs="Times New Roman"/>
        </w:rPr>
        <w:t xml:space="preserve">, D. (2018). </w:t>
      </w:r>
      <w:r w:rsidRPr="00B27669">
        <w:rPr>
          <w:rFonts w:ascii="Times New Roman" w:hAnsi="Times New Roman" w:cs="Times New Roman"/>
          <w:i/>
          <w:iCs/>
        </w:rPr>
        <w:t>Infrastructure vulnerability index of drinking water systems to terrorist attack</w:t>
      </w:r>
      <w:r w:rsidRPr="00B27669">
        <w:rPr>
          <w:rFonts w:ascii="Times New Roman" w:hAnsi="Times New Roman" w:cs="Times New Roman"/>
        </w:rPr>
        <w:t xml:space="preserve">. Cogent Engineering, 5(1). </w:t>
      </w:r>
      <w:hyperlink r:id="rId8" w:history="1">
        <w:r w:rsidRPr="00B27669">
          <w:rPr>
            <w:rStyle w:val="Hyperlink"/>
            <w:rFonts w:ascii="Times New Roman" w:hAnsi="Times New Roman" w:cs="Times New Roman"/>
          </w:rPr>
          <w:t>https://www.tandfonline.com/doi/full/10.1080/23311916.2018.1456710</w:t>
        </w:r>
      </w:hyperlink>
    </w:p>
    <w:p w14:paraId="6296707F" w14:textId="77777777" w:rsidR="00153369" w:rsidRPr="00B27669" w:rsidRDefault="00153369" w:rsidP="00153369">
      <w:pPr>
        <w:spacing w:after="0" w:line="480" w:lineRule="auto"/>
        <w:ind w:left="720" w:hanging="720"/>
        <w:rPr>
          <w:rFonts w:ascii="Times New Roman" w:hAnsi="Times New Roman" w:cs="Times New Roman"/>
        </w:rPr>
      </w:pPr>
      <w:r w:rsidRPr="00B27669">
        <w:rPr>
          <w:rFonts w:ascii="Times New Roman" w:hAnsi="Times New Roman" w:cs="Times New Roman"/>
        </w:rPr>
        <w:t xml:space="preserve">Marković, D., &amp; Graovac, R. (2017). </w:t>
      </w:r>
      <w:r w:rsidRPr="00B27669">
        <w:rPr>
          <w:rFonts w:ascii="Times New Roman" w:hAnsi="Times New Roman" w:cs="Times New Roman"/>
          <w:i/>
          <w:iCs/>
        </w:rPr>
        <w:t>Physical security of water/wastewater infrastructure: Planning and equipment selection</w:t>
      </w:r>
      <w:r w:rsidRPr="00B27669">
        <w:rPr>
          <w:rFonts w:ascii="Times New Roman" w:hAnsi="Times New Roman" w:cs="Times New Roman"/>
        </w:rPr>
        <w:t xml:space="preserve">. </w:t>
      </w:r>
      <w:hyperlink r:id="rId9" w:history="1">
        <w:r w:rsidRPr="00B27669">
          <w:rPr>
            <w:rStyle w:val="Hyperlink"/>
            <w:rFonts w:ascii="Times New Roman" w:hAnsi="Times New Roman" w:cs="Times New Roman"/>
          </w:rPr>
          <w:t>https://www.researchgate.net/publication/319370837_Physical_security_of_waterwastewater_infrastructure_Planning_and_equipment_selection</w:t>
        </w:r>
      </w:hyperlink>
    </w:p>
    <w:p w14:paraId="40669712" w14:textId="77777777" w:rsidR="00153369" w:rsidRPr="00B27669" w:rsidRDefault="00153369" w:rsidP="00153369">
      <w:pPr>
        <w:spacing w:after="0" w:line="480" w:lineRule="auto"/>
        <w:ind w:left="720" w:hanging="720"/>
        <w:rPr>
          <w:rFonts w:ascii="Times New Roman" w:hAnsi="Times New Roman" w:cs="Times New Roman"/>
        </w:rPr>
      </w:pPr>
      <w:proofErr w:type="spellStart"/>
      <w:r w:rsidRPr="00B27669">
        <w:rPr>
          <w:rFonts w:ascii="Times New Roman" w:hAnsi="Times New Roman" w:cs="Times New Roman"/>
        </w:rPr>
        <w:t>Ostfeld</w:t>
      </w:r>
      <w:proofErr w:type="spellEnd"/>
      <w:r w:rsidRPr="00B27669">
        <w:rPr>
          <w:rFonts w:ascii="Times New Roman" w:hAnsi="Times New Roman" w:cs="Times New Roman"/>
        </w:rPr>
        <w:t xml:space="preserve">, A. (2006). </w:t>
      </w:r>
      <w:r w:rsidRPr="00B27669">
        <w:rPr>
          <w:rFonts w:ascii="Times New Roman" w:hAnsi="Times New Roman" w:cs="Times New Roman"/>
          <w:i/>
          <w:iCs/>
        </w:rPr>
        <w:t>Enhancing water distribution system security through improved physical security</w:t>
      </w:r>
      <w:r w:rsidRPr="00B27669">
        <w:rPr>
          <w:rFonts w:ascii="Times New Roman" w:hAnsi="Times New Roman" w:cs="Times New Roman"/>
        </w:rPr>
        <w:t xml:space="preserve">. Journal of Water Resources Planning and Management, 132(4), 209–218. </w:t>
      </w:r>
      <w:hyperlink r:id="rId10" w:history="1">
        <w:r w:rsidRPr="00B27669">
          <w:rPr>
            <w:rStyle w:val="Hyperlink"/>
            <w:rFonts w:ascii="Times New Roman" w:hAnsi="Times New Roman" w:cs="Times New Roman"/>
          </w:rPr>
          <w:t>https://ascelibrary.org/doi/10.1061/%28ASCE%290733-9496%282006%29132%3A4%28209%29</w:t>
        </w:r>
      </w:hyperlink>
    </w:p>
    <w:p w14:paraId="3EDA517A" w14:textId="77777777" w:rsidR="006F47D0" w:rsidRPr="00B27669" w:rsidRDefault="006F47D0">
      <w:pPr>
        <w:rPr>
          <w:rFonts w:ascii="Times New Roman" w:hAnsi="Times New Roman" w:cs="Times New Roman"/>
        </w:rPr>
      </w:pPr>
    </w:p>
    <w:sectPr w:rsidR="006F47D0" w:rsidRPr="00B27669">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6460F" w14:textId="77777777" w:rsidR="005E5CC0" w:rsidRDefault="005E5CC0" w:rsidP="0084000C">
      <w:pPr>
        <w:spacing w:after="0" w:line="240" w:lineRule="auto"/>
      </w:pPr>
      <w:r>
        <w:separator/>
      </w:r>
    </w:p>
  </w:endnote>
  <w:endnote w:type="continuationSeparator" w:id="0">
    <w:p w14:paraId="52FD424C" w14:textId="77777777" w:rsidR="005E5CC0" w:rsidRDefault="005E5CC0" w:rsidP="00840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54F72" w14:textId="77777777" w:rsidR="005E5CC0" w:rsidRDefault="005E5CC0" w:rsidP="0084000C">
      <w:pPr>
        <w:spacing w:after="0" w:line="240" w:lineRule="auto"/>
      </w:pPr>
      <w:r>
        <w:separator/>
      </w:r>
    </w:p>
  </w:footnote>
  <w:footnote w:type="continuationSeparator" w:id="0">
    <w:p w14:paraId="604F8326" w14:textId="77777777" w:rsidR="005E5CC0" w:rsidRDefault="005E5CC0" w:rsidP="008400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385954"/>
      <w:docPartObj>
        <w:docPartGallery w:val="Page Numbers (Top of Page)"/>
        <w:docPartUnique/>
      </w:docPartObj>
    </w:sdtPr>
    <w:sdtEndPr>
      <w:rPr>
        <w:noProof/>
      </w:rPr>
    </w:sdtEndPr>
    <w:sdtContent>
      <w:p w14:paraId="5214C19A" w14:textId="6F5384E0" w:rsidR="0084000C" w:rsidRDefault="0084000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BDB4092" w14:textId="77777777" w:rsidR="0084000C" w:rsidRDefault="008400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E67"/>
    <w:multiLevelType w:val="multilevel"/>
    <w:tmpl w:val="BE3A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14C39"/>
    <w:multiLevelType w:val="multilevel"/>
    <w:tmpl w:val="EAFC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42096"/>
    <w:multiLevelType w:val="multilevel"/>
    <w:tmpl w:val="783C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D1038"/>
    <w:multiLevelType w:val="multilevel"/>
    <w:tmpl w:val="CE8A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844EB"/>
    <w:multiLevelType w:val="multilevel"/>
    <w:tmpl w:val="7ACE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807BE"/>
    <w:multiLevelType w:val="multilevel"/>
    <w:tmpl w:val="464C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B67642"/>
    <w:multiLevelType w:val="multilevel"/>
    <w:tmpl w:val="4158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6367D6"/>
    <w:multiLevelType w:val="multilevel"/>
    <w:tmpl w:val="9BE0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B227EE"/>
    <w:multiLevelType w:val="multilevel"/>
    <w:tmpl w:val="19E2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F17F42"/>
    <w:multiLevelType w:val="multilevel"/>
    <w:tmpl w:val="A25E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861D14"/>
    <w:multiLevelType w:val="multilevel"/>
    <w:tmpl w:val="709C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392006">
    <w:abstractNumId w:val="2"/>
  </w:num>
  <w:num w:numId="2" w16cid:durableId="76101259">
    <w:abstractNumId w:val="0"/>
  </w:num>
  <w:num w:numId="3" w16cid:durableId="601304909">
    <w:abstractNumId w:val="5"/>
  </w:num>
  <w:num w:numId="4" w16cid:durableId="1685980933">
    <w:abstractNumId w:val="9"/>
  </w:num>
  <w:num w:numId="5" w16cid:durableId="132910399">
    <w:abstractNumId w:val="1"/>
  </w:num>
  <w:num w:numId="6" w16cid:durableId="1105150356">
    <w:abstractNumId w:val="6"/>
  </w:num>
  <w:num w:numId="7" w16cid:durableId="1887136923">
    <w:abstractNumId w:val="10"/>
  </w:num>
  <w:num w:numId="8" w16cid:durableId="863177367">
    <w:abstractNumId w:val="7"/>
  </w:num>
  <w:num w:numId="9" w16cid:durableId="163588630">
    <w:abstractNumId w:val="4"/>
  </w:num>
  <w:num w:numId="10" w16cid:durableId="1025985037">
    <w:abstractNumId w:val="8"/>
  </w:num>
  <w:num w:numId="11" w16cid:durableId="1361910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61"/>
    <w:rsid w:val="00082F76"/>
    <w:rsid w:val="000D641B"/>
    <w:rsid w:val="00153369"/>
    <w:rsid w:val="002B7047"/>
    <w:rsid w:val="002E0D19"/>
    <w:rsid w:val="003940E0"/>
    <w:rsid w:val="003B4D53"/>
    <w:rsid w:val="00425867"/>
    <w:rsid w:val="004B5F05"/>
    <w:rsid w:val="00532825"/>
    <w:rsid w:val="00580F37"/>
    <w:rsid w:val="00585BFC"/>
    <w:rsid w:val="005E5CC0"/>
    <w:rsid w:val="00617D37"/>
    <w:rsid w:val="00646234"/>
    <w:rsid w:val="006B72C9"/>
    <w:rsid w:val="006F47D0"/>
    <w:rsid w:val="0073541A"/>
    <w:rsid w:val="00746B3F"/>
    <w:rsid w:val="00794AF8"/>
    <w:rsid w:val="00795298"/>
    <w:rsid w:val="0084000C"/>
    <w:rsid w:val="00844BC4"/>
    <w:rsid w:val="00893308"/>
    <w:rsid w:val="00893F1D"/>
    <w:rsid w:val="008C1EAB"/>
    <w:rsid w:val="00B27669"/>
    <w:rsid w:val="00BA57FD"/>
    <w:rsid w:val="00CA3F4D"/>
    <w:rsid w:val="00CD3A9E"/>
    <w:rsid w:val="00D12C8E"/>
    <w:rsid w:val="00D17161"/>
    <w:rsid w:val="00DC6A6F"/>
    <w:rsid w:val="00E2077C"/>
    <w:rsid w:val="00F95141"/>
    <w:rsid w:val="00F961EF"/>
    <w:rsid w:val="00FE0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7C65A"/>
  <w15:chartTrackingRefBased/>
  <w15:docId w15:val="{1C73CD25-911D-44C8-9B90-324A4142C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1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1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1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1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1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1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1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1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1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1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161"/>
    <w:rPr>
      <w:rFonts w:eastAsiaTheme="majorEastAsia" w:cstheme="majorBidi"/>
      <w:color w:val="272727" w:themeColor="text1" w:themeTint="D8"/>
    </w:rPr>
  </w:style>
  <w:style w:type="paragraph" w:styleId="Title">
    <w:name w:val="Title"/>
    <w:basedOn w:val="Normal"/>
    <w:next w:val="Normal"/>
    <w:link w:val="TitleChar"/>
    <w:uiPriority w:val="10"/>
    <w:qFormat/>
    <w:rsid w:val="00D17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161"/>
    <w:pPr>
      <w:spacing w:before="160"/>
      <w:jc w:val="center"/>
    </w:pPr>
    <w:rPr>
      <w:i/>
      <w:iCs/>
      <w:color w:val="404040" w:themeColor="text1" w:themeTint="BF"/>
    </w:rPr>
  </w:style>
  <w:style w:type="character" w:customStyle="1" w:styleId="QuoteChar">
    <w:name w:val="Quote Char"/>
    <w:basedOn w:val="DefaultParagraphFont"/>
    <w:link w:val="Quote"/>
    <w:uiPriority w:val="29"/>
    <w:rsid w:val="00D17161"/>
    <w:rPr>
      <w:i/>
      <w:iCs/>
      <w:color w:val="404040" w:themeColor="text1" w:themeTint="BF"/>
    </w:rPr>
  </w:style>
  <w:style w:type="paragraph" w:styleId="ListParagraph">
    <w:name w:val="List Paragraph"/>
    <w:basedOn w:val="Normal"/>
    <w:uiPriority w:val="34"/>
    <w:qFormat/>
    <w:rsid w:val="00D17161"/>
    <w:pPr>
      <w:ind w:left="720"/>
      <w:contextualSpacing/>
    </w:pPr>
  </w:style>
  <w:style w:type="character" w:styleId="IntenseEmphasis">
    <w:name w:val="Intense Emphasis"/>
    <w:basedOn w:val="DefaultParagraphFont"/>
    <w:uiPriority w:val="21"/>
    <w:qFormat/>
    <w:rsid w:val="00D17161"/>
    <w:rPr>
      <w:i/>
      <w:iCs/>
      <w:color w:val="0F4761" w:themeColor="accent1" w:themeShade="BF"/>
    </w:rPr>
  </w:style>
  <w:style w:type="paragraph" w:styleId="IntenseQuote">
    <w:name w:val="Intense Quote"/>
    <w:basedOn w:val="Normal"/>
    <w:next w:val="Normal"/>
    <w:link w:val="IntenseQuoteChar"/>
    <w:uiPriority w:val="30"/>
    <w:qFormat/>
    <w:rsid w:val="00D171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161"/>
    <w:rPr>
      <w:i/>
      <w:iCs/>
      <w:color w:val="0F4761" w:themeColor="accent1" w:themeShade="BF"/>
    </w:rPr>
  </w:style>
  <w:style w:type="character" w:styleId="IntenseReference">
    <w:name w:val="Intense Reference"/>
    <w:basedOn w:val="DefaultParagraphFont"/>
    <w:uiPriority w:val="32"/>
    <w:qFormat/>
    <w:rsid w:val="00D17161"/>
    <w:rPr>
      <w:b/>
      <w:bCs/>
      <w:smallCaps/>
      <w:color w:val="0F4761" w:themeColor="accent1" w:themeShade="BF"/>
      <w:spacing w:val="5"/>
    </w:rPr>
  </w:style>
  <w:style w:type="character" w:styleId="Hyperlink">
    <w:name w:val="Hyperlink"/>
    <w:basedOn w:val="DefaultParagraphFont"/>
    <w:uiPriority w:val="99"/>
    <w:unhideWhenUsed/>
    <w:rsid w:val="002B7047"/>
    <w:rPr>
      <w:color w:val="467886" w:themeColor="hyperlink"/>
      <w:u w:val="single"/>
    </w:rPr>
  </w:style>
  <w:style w:type="character" w:styleId="UnresolvedMention">
    <w:name w:val="Unresolved Mention"/>
    <w:basedOn w:val="DefaultParagraphFont"/>
    <w:uiPriority w:val="99"/>
    <w:semiHidden/>
    <w:unhideWhenUsed/>
    <w:rsid w:val="002B7047"/>
    <w:rPr>
      <w:color w:val="605E5C"/>
      <w:shd w:val="clear" w:color="auto" w:fill="E1DFDD"/>
    </w:rPr>
  </w:style>
  <w:style w:type="character" w:styleId="FollowedHyperlink">
    <w:name w:val="FollowedHyperlink"/>
    <w:basedOn w:val="DefaultParagraphFont"/>
    <w:uiPriority w:val="99"/>
    <w:semiHidden/>
    <w:unhideWhenUsed/>
    <w:rsid w:val="00082F76"/>
    <w:rPr>
      <w:color w:val="96607D" w:themeColor="followedHyperlink"/>
      <w:u w:val="single"/>
    </w:rPr>
  </w:style>
  <w:style w:type="table" w:styleId="TableGrid">
    <w:name w:val="Table Grid"/>
    <w:basedOn w:val="TableNormal"/>
    <w:uiPriority w:val="39"/>
    <w:rsid w:val="001533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153369"/>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15336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746B3F"/>
    <w:rPr>
      <w:rFonts w:ascii="Times New Roman" w:hAnsi="Times New Roman" w:cs="Times New Roman"/>
    </w:rPr>
  </w:style>
  <w:style w:type="paragraph" w:styleId="Header">
    <w:name w:val="header"/>
    <w:basedOn w:val="Normal"/>
    <w:link w:val="HeaderChar"/>
    <w:uiPriority w:val="99"/>
    <w:unhideWhenUsed/>
    <w:rsid w:val="008400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00C"/>
  </w:style>
  <w:style w:type="paragraph" w:styleId="Footer">
    <w:name w:val="footer"/>
    <w:basedOn w:val="Normal"/>
    <w:link w:val="FooterChar"/>
    <w:uiPriority w:val="99"/>
    <w:unhideWhenUsed/>
    <w:rsid w:val="008400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0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160041">
      <w:bodyDiv w:val="1"/>
      <w:marLeft w:val="0"/>
      <w:marRight w:val="0"/>
      <w:marTop w:val="0"/>
      <w:marBottom w:val="0"/>
      <w:divBdr>
        <w:top w:val="none" w:sz="0" w:space="0" w:color="auto"/>
        <w:left w:val="none" w:sz="0" w:space="0" w:color="auto"/>
        <w:bottom w:val="none" w:sz="0" w:space="0" w:color="auto"/>
        <w:right w:val="none" w:sz="0" w:space="0" w:color="auto"/>
      </w:divBdr>
    </w:div>
    <w:div w:id="473378491">
      <w:bodyDiv w:val="1"/>
      <w:marLeft w:val="0"/>
      <w:marRight w:val="0"/>
      <w:marTop w:val="0"/>
      <w:marBottom w:val="0"/>
      <w:divBdr>
        <w:top w:val="none" w:sz="0" w:space="0" w:color="auto"/>
        <w:left w:val="none" w:sz="0" w:space="0" w:color="auto"/>
        <w:bottom w:val="none" w:sz="0" w:space="0" w:color="auto"/>
        <w:right w:val="none" w:sz="0" w:space="0" w:color="auto"/>
      </w:divBdr>
      <w:divsChild>
        <w:div w:id="21711067">
          <w:marLeft w:val="0"/>
          <w:marRight w:val="0"/>
          <w:marTop w:val="0"/>
          <w:marBottom w:val="0"/>
          <w:divBdr>
            <w:top w:val="none" w:sz="0" w:space="0" w:color="auto"/>
            <w:left w:val="none" w:sz="0" w:space="0" w:color="auto"/>
            <w:bottom w:val="none" w:sz="0" w:space="0" w:color="auto"/>
            <w:right w:val="none" w:sz="0" w:space="0" w:color="auto"/>
          </w:divBdr>
          <w:divsChild>
            <w:div w:id="6869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03842">
      <w:bodyDiv w:val="1"/>
      <w:marLeft w:val="0"/>
      <w:marRight w:val="0"/>
      <w:marTop w:val="0"/>
      <w:marBottom w:val="0"/>
      <w:divBdr>
        <w:top w:val="none" w:sz="0" w:space="0" w:color="auto"/>
        <w:left w:val="none" w:sz="0" w:space="0" w:color="auto"/>
        <w:bottom w:val="none" w:sz="0" w:space="0" w:color="auto"/>
        <w:right w:val="none" w:sz="0" w:space="0" w:color="auto"/>
      </w:divBdr>
    </w:div>
    <w:div w:id="634529612">
      <w:bodyDiv w:val="1"/>
      <w:marLeft w:val="0"/>
      <w:marRight w:val="0"/>
      <w:marTop w:val="0"/>
      <w:marBottom w:val="0"/>
      <w:divBdr>
        <w:top w:val="none" w:sz="0" w:space="0" w:color="auto"/>
        <w:left w:val="none" w:sz="0" w:space="0" w:color="auto"/>
        <w:bottom w:val="none" w:sz="0" w:space="0" w:color="auto"/>
        <w:right w:val="none" w:sz="0" w:space="0" w:color="auto"/>
      </w:divBdr>
      <w:divsChild>
        <w:div w:id="800656909">
          <w:marLeft w:val="0"/>
          <w:marRight w:val="0"/>
          <w:marTop w:val="0"/>
          <w:marBottom w:val="0"/>
          <w:divBdr>
            <w:top w:val="none" w:sz="0" w:space="0" w:color="auto"/>
            <w:left w:val="none" w:sz="0" w:space="0" w:color="auto"/>
            <w:bottom w:val="none" w:sz="0" w:space="0" w:color="auto"/>
            <w:right w:val="none" w:sz="0" w:space="0" w:color="auto"/>
          </w:divBdr>
          <w:divsChild>
            <w:div w:id="204042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050772">
      <w:bodyDiv w:val="1"/>
      <w:marLeft w:val="0"/>
      <w:marRight w:val="0"/>
      <w:marTop w:val="0"/>
      <w:marBottom w:val="0"/>
      <w:divBdr>
        <w:top w:val="none" w:sz="0" w:space="0" w:color="auto"/>
        <w:left w:val="none" w:sz="0" w:space="0" w:color="auto"/>
        <w:bottom w:val="none" w:sz="0" w:space="0" w:color="auto"/>
        <w:right w:val="none" w:sz="0" w:space="0" w:color="auto"/>
      </w:divBdr>
    </w:div>
    <w:div w:id="713964742">
      <w:bodyDiv w:val="1"/>
      <w:marLeft w:val="0"/>
      <w:marRight w:val="0"/>
      <w:marTop w:val="0"/>
      <w:marBottom w:val="0"/>
      <w:divBdr>
        <w:top w:val="none" w:sz="0" w:space="0" w:color="auto"/>
        <w:left w:val="none" w:sz="0" w:space="0" w:color="auto"/>
        <w:bottom w:val="none" w:sz="0" w:space="0" w:color="auto"/>
        <w:right w:val="none" w:sz="0" w:space="0" w:color="auto"/>
      </w:divBdr>
    </w:div>
    <w:div w:id="714935552">
      <w:bodyDiv w:val="1"/>
      <w:marLeft w:val="0"/>
      <w:marRight w:val="0"/>
      <w:marTop w:val="0"/>
      <w:marBottom w:val="0"/>
      <w:divBdr>
        <w:top w:val="none" w:sz="0" w:space="0" w:color="auto"/>
        <w:left w:val="none" w:sz="0" w:space="0" w:color="auto"/>
        <w:bottom w:val="none" w:sz="0" w:space="0" w:color="auto"/>
        <w:right w:val="none" w:sz="0" w:space="0" w:color="auto"/>
      </w:divBdr>
    </w:div>
    <w:div w:id="926772115">
      <w:bodyDiv w:val="1"/>
      <w:marLeft w:val="0"/>
      <w:marRight w:val="0"/>
      <w:marTop w:val="0"/>
      <w:marBottom w:val="0"/>
      <w:divBdr>
        <w:top w:val="none" w:sz="0" w:space="0" w:color="auto"/>
        <w:left w:val="none" w:sz="0" w:space="0" w:color="auto"/>
        <w:bottom w:val="none" w:sz="0" w:space="0" w:color="auto"/>
        <w:right w:val="none" w:sz="0" w:space="0" w:color="auto"/>
      </w:divBdr>
    </w:div>
    <w:div w:id="967397273">
      <w:bodyDiv w:val="1"/>
      <w:marLeft w:val="0"/>
      <w:marRight w:val="0"/>
      <w:marTop w:val="0"/>
      <w:marBottom w:val="0"/>
      <w:divBdr>
        <w:top w:val="none" w:sz="0" w:space="0" w:color="auto"/>
        <w:left w:val="none" w:sz="0" w:space="0" w:color="auto"/>
        <w:bottom w:val="none" w:sz="0" w:space="0" w:color="auto"/>
        <w:right w:val="none" w:sz="0" w:space="0" w:color="auto"/>
      </w:divBdr>
    </w:div>
    <w:div w:id="970131688">
      <w:bodyDiv w:val="1"/>
      <w:marLeft w:val="0"/>
      <w:marRight w:val="0"/>
      <w:marTop w:val="0"/>
      <w:marBottom w:val="0"/>
      <w:divBdr>
        <w:top w:val="none" w:sz="0" w:space="0" w:color="auto"/>
        <w:left w:val="none" w:sz="0" w:space="0" w:color="auto"/>
        <w:bottom w:val="none" w:sz="0" w:space="0" w:color="auto"/>
        <w:right w:val="none" w:sz="0" w:space="0" w:color="auto"/>
      </w:divBdr>
    </w:div>
    <w:div w:id="1007440680">
      <w:bodyDiv w:val="1"/>
      <w:marLeft w:val="0"/>
      <w:marRight w:val="0"/>
      <w:marTop w:val="0"/>
      <w:marBottom w:val="0"/>
      <w:divBdr>
        <w:top w:val="none" w:sz="0" w:space="0" w:color="auto"/>
        <w:left w:val="none" w:sz="0" w:space="0" w:color="auto"/>
        <w:bottom w:val="none" w:sz="0" w:space="0" w:color="auto"/>
        <w:right w:val="none" w:sz="0" w:space="0" w:color="auto"/>
      </w:divBdr>
    </w:div>
    <w:div w:id="1036009003">
      <w:bodyDiv w:val="1"/>
      <w:marLeft w:val="0"/>
      <w:marRight w:val="0"/>
      <w:marTop w:val="0"/>
      <w:marBottom w:val="0"/>
      <w:divBdr>
        <w:top w:val="none" w:sz="0" w:space="0" w:color="auto"/>
        <w:left w:val="none" w:sz="0" w:space="0" w:color="auto"/>
        <w:bottom w:val="none" w:sz="0" w:space="0" w:color="auto"/>
        <w:right w:val="none" w:sz="0" w:space="0" w:color="auto"/>
      </w:divBdr>
      <w:divsChild>
        <w:div w:id="1113400688">
          <w:marLeft w:val="0"/>
          <w:marRight w:val="0"/>
          <w:marTop w:val="0"/>
          <w:marBottom w:val="0"/>
          <w:divBdr>
            <w:top w:val="none" w:sz="0" w:space="0" w:color="auto"/>
            <w:left w:val="none" w:sz="0" w:space="0" w:color="auto"/>
            <w:bottom w:val="none" w:sz="0" w:space="0" w:color="auto"/>
            <w:right w:val="none" w:sz="0" w:space="0" w:color="auto"/>
          </w:divBdr>
          <w:divsChild>
            <w:div w:id="156486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512802">
      <w:bodyDiv w:val="1"/>
      <w:marLeft w:val="0"/>
      <w:marRight w:val="0"/>
      <w:marTop w:val="0"/>
      <w:marBottom w:val="0"/>
      <w:divBdr>
        <w:top w:val="none" w:sz="0" w:space="0" w:color="auto"/>
        <w:left w:val="none" w:sz="0" w:space="0" w:color="auto"/>
        <w:bottom w:val="none" w:sz="0" w:space="0" w:color="auto"/>
        <w:right w:val="none" w:sz="0" w:space="0" w:color="auto"/>
      </w:divBdr>
    </w:div>
    <w:div w:id="1051273547">
      <w:bodyDiv w:val="1"/>
      <w:marLeft w:val="0"/>
      <w:marRight w:val="0"/>
      <w:marTop w:val="0"/>
      <w:marBottom w:val="0"/>
      <w:divBdr>
        <w:top w:val="none" w:sz="0" w:space="0" w:color="auto"/>
        <w:left w:val="none" w:sz="0" w:space="0" w:color="auto"/>
        <w:bottom w:val="none" w:sz="0" w:space="0" w:color="auto"/>
        <w:right w:val="none" w:sz="0" w:space="0" w:color="auto"/>
      </w:divBdr>
    </w:div>
    <w:div w:id="1360009628">
      <w:bodyDiv w:val="1"/>
      <w:marLeft w:val="0"/>
      <w:marRight w:val="0"/>
      <w:marTop w:val="0"/>
      <w:marBottom w:val="0"/>
      <w:divBdr>
        <w:top w:val="none" w:sz="0" w:space="0" w:color="auto"/>
        <w:left w:val="none" w:sz="0" w:space="0" w:color="auto"/>
        <w:bottom w:val="none" w:sz="0" w:space="0" w:color="auto"/>
        <w:right w:val="none" w:sz="0" w:space="0" w:color="auto"/>
      </w:divBdr>
    </w:div>
    <w:div w:id="1428502470">
      <w:bodyDiv w:val="1"/>
      <w:marLeft w:val="0"/>
      <w:marRight w:val="0"/>
      <w:marTop w:val="0"/>
      <w:marBottom w:val="0"/>
      <w:divBdr>
        <w:top w:val="none" w:sz="0" w:space="0" w:color="auto"/>
        <w:left w:val="none" w:sz="0" w:space="0" w:color="auto"/>
        <w:bottom w:val="none" w:sz="0" w:space="0" w:color="auto"/>
        <w:right w:val="none" w:sz="0" w:space="0" w:color="auto"/>
      </w:divBdr>
      <w:divsChild>
        <w:div w:id="1135023037">
          <w:marLeft w:val="0"/>
          <w:marRight w:val="0"/>
          <w:marTop w:val="0"/>
          <w:marBottom w:val="0"/>
          <w:divBdr>
            <w:top w:val="none" w:sz="0" w:space="0" w:color="auto"/>
            <w:left w:val="none" w:sz="0" w:space="0" w:color="auto"/>
            <w:bottom w:val="none" w:sz="0" w:space="0" w:color="auto"/>
            <w:right w:val="none" w:sz="0" w:space="0" w:color="auto"/>
          </w:divBdr>
          <w:divsChild>
            <w:div w:id="101195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92331">
      <w:bodyDiv w:val="1"/>
      <w:marLeft w:val="0"/>
      <w:marRight w:val="0"/>
      <w:marTop w:val="0"/>
      <w:marBottom w:val="0"/>
      <w:divBdr>
        <w:top w:val="none" w:sz="0" w:space="0" w:color="auto"/>
        <w:left w:val="none" w:sz="0" w:space="0" w:color="auto"/>
        <w:bottom w:val="none" w:sz="0" w:space="0" w:color="auto"/>
        <w:right w:val="none" w:sz="0" w:space="0" w:color="auto"/>
      </w:divBdr>
    </w:div>
    <w:div w:id="1667441611">
      <w:bodyDiv w:val="1"/>
      <w:marLeft w:val="0"/>
      <w:marRight w:val="0"/>
      <w:marTop w:val="0"/>
      <w:marBottom w:val="0"/>
      <w:divBdr>
        <w:top w:val="none" w:sz="0" w:space="0" w:color="auto"/>
        <w:left w:val="none" w:sz="0" w:space="0" w:color="auto"/>
        <w:bottom w:val="none" w:sz="0" w:space="0" w:color="auto"/>
        <w:right w:val="none" w:sz="0" w:space="0" w:color="auto"/>
      </w:divBdr>
    </w:div>
    <w:div w:id="1670327420">
      <w:bodyDiv w:val="1"/>
      <w:marLeft w:val="0"/>
      <w:marRight w:val="0"/>
      <w:marTop w:val="0"/>
      <w:marBottom w:val="0"/>
      <w:divBdr>
        <w:top w:val="none" w:sz="0" w:space="0" w:color="auto"/>
        <w:left w:val="none" w:sz="0" w:space="0" w:color="auto"/>
        <w:bottom w:val="none" w:sz="0" w:space="0" w:color="auto"/>
        <w:right w:val="none" w:sz="0" w:space="0" w:color="auto"/>
      </w:divBdr>
    </w:div>
    <w:div w:id="1708876322">
      <w:bodyDiv w:val="1"/>
      <w:marLeft w:val="0"/>
      <w:marRight w:val="0"/>
      <w:marTop w:val="0"/>
      <w:marBottom w:val="0"/>
      <w:divBdr>
        <w:top w:val="none" w:sz="0" w:space="0" w:color="auto"/>
        <w:left w:val="none" w:sz="0" w:space="0" w:color="auto"/>
        <w:bottom w:val="none" w:sz="0" w:space="0" w:color="auto"/>
        <w:right w:val="none" w:sz="0" w:space="0" w:color="auto"/>
      </w:divBdr>
      <w:divsChild>
        <w:div w:id="303776078">
          <w:marLeft w:val="0"/>
          <w:marRight w:val="0"/>
          <w:marTop w:val="0"/>
          <w:marBottom w:val="0"/>
          <w:divBdr>
            <w:top w:val="none" w:sz="0" w:space="0" w:color="auto"/>
            <w:left w:val="none" w:sz="0" w:space="0" w:color="auto"/>
            <w:bottom w:val="none" w:sz="0" w:space="0" w:color="auto"/>
            <w:right w:val="none" w:sz="0" w:space="0" w:color="auto"/>
          </w:divBdr>
          <w:divsChild>
            <w:div w:id="85114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98589">
      <w:bodyDiv w:val="1"/>
      <w:marLeft w:val="0"/>
      <w:marRight w:val="0"/>
      <w:marTop w:val="0"/>
      <w:marBottom w:val="0"/>
      <w:divBdr>
        <w:top w:val="none" w:sz="0" w:space="0" w:color="auto"/>
        <w:left w:val="none" w:sz="0" w:space="0" w:color="auto"/>
        <w:bottom w:val="none" w:sz="0" w:space="0" w:color="auto"/>
        <w:right w:val="none" w:sz="0" w:space="0" w:color="auto"/>
      </w:divBdr>
    </w:div>
    <w:div w:id="1823740369">
      <w:bodyDiv w:val="1"/>
      <w:marLeft w:val="0"/>
      <w:marRight w:val="0"/>
      <w:marTop w:val="0"/>
      <w:marBottom w:val="0"/>
      <w:divBdr>
        <w:top w:val="none" w:sz="0" w:space="0" w:color="auto"/>
        <w:left w:val="none" w:sz="0" w:space="0" w:color="auto"/>
        <w:bottom w:val="none" w:sz="0" w:space="0" w:color="auto"/>
        <w:right w:val="none" w:sz="0" w:space="0" w:color="auto"/>
      </w:divBdr>
      <w:divsChild>
        <w:div w:id="790634868">
          <w:marLeft w:val="0"/>
          <w:marRight w:val="0"/>
          <w:marTop w:val="0"/>
          <w:marBottom w:val="0"/>
          <w:divBdr>
            <w:top w:val="none" w:sz="0" w:space="0" w:color="auto"/>
            <w:left w:val="none" w:sz="0" w:space="0" w:color="auto"/>
            <w:bottom w:val="none" w:sz="0" w:space="0" w:color="auto"/>
            <w:right w:val="none" w:sz="0" w:space="0" w:color="auto"/>
          </w:divBdr>
          <w:divsChild>
            <w:div w:id="132540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30609">
      <w:bodyDiv w:val="1"/>
      <w:marLeft w:val="0"/>
      <w:marRight w:val="0"/>
      <w:marTop w:val="0"/>
      <w:marBottom w:val="0"/>
      <w:divBdr>
        <w:top w:val="none" w:sz="0" w:space="0" w:color="auto"/>
        <w:left w:val="none" w:sz="0" w:space="0" w:color="auto"/>
        <w:bottom w:val="none" w:sz="0" w:space="0" w:color="auto"/>
        <w:right w:val="none" w:sz="0" w:space="0" w:color="auto"/>
      </w:divBdr>
    </w:div>
    <w:div w:id="1868759408">
      <w:bodyDiv w:val="1"/>
      <w:marLeft w:val="0"/>
      <w:marRight w:val="0"/>
      <w:marTop w:val="0"/>
      <w:marBottom w:val="0"/>
      <w:divBdr>
        <w:top w:val="none" w:sz="0" w:space="0" w:color="auto"/>
        <w:left w:val="none" w:sz="0" w:space="0" w:color="auto"/>
        <w:bottom w:val="none" w:sz="0" w:space="0" w:color="auto"/>
        <w:right w:val="none" w:sz="0" w:space="0" w:color="auto"/>
      </w:divBdr>
      <w:divsChild>
        <w:div w:id="453213145">
          <w:marLeft w:val="0"/>
          <w:marRight w:val="0"/>
          <w:marTop w:val="0"/>
          <w:marBottom w:val="0"/>
          <w:divBdr>
            <w:top w:val="none" w:sz="0" w:space="0" w:color="auto"/>
            <w:left w:val="none" w:sz="0" w:space="0" w:color="auto"/>
            <w:bottom w:val="none" w:sz="0" w:space="0" w:color="auto"/>
            <w:right w:val="none" w:sz="0" w:space="0" w:color="auto"/>
          </w:divBdr>
          <w:divsChild>
            <w:div w:id="147104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716775">
      <w:bodyDiv w:val="1"/>
      <w:marLeft w:val="0"/>
      <w:marRight w:val="0"/>
      <w:marTop w:val="0"/>
      <w:marBottom w:val="0"/>
      <w:divBdr>
        <w:top w:val="none" w:sz="0" w:space="0" w:color="auto"/>
        <w:left w:val="none" w:sz="0" w:space="0" w:color="auto"/>
        <w:bottom w:val="none" w:sz="0" w:space="0" w:color="auto"/>
        <w:right w:val="none" w:sz="0" w:space="0" w:color="auto"/>
      </w:divBdr>
    </w:div>
    <w:div w:id="1945579072">
      <w:bodyDiv w:val="1"/>
      <w:marLeft w:val="0"/>
      <w:marRight w:val="0"/>
      <w:marTop w:val="0"/>
      <w:marBottom w:val="0"/>
      <w:divBdr>
        <w:top w:val="none" w:sz="0" w:space="0" w:color="auto"/>
        <w:left w:val="none" w:sz="0" w:space="0" w:color="auto"/>
        <w:bottom w:val="none" w:sz="0" w:space="0" w:color="auto"/>
        <w:right w:val="none" w:sz="0" w:space="0" w:color="auto"/>
      </w:divBdr>
    </w:div>
    <w:div w:id="2095854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23311916.2018.145671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etjournal.it/cet/24/111/031.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ascelibrary.org/doi/10.1061/%28ASCE%290733-9496%282006%29132%3A4%28209%29" TargetMode="External"/><Relationship Id="rId4" Type="http://schemas.openxmlformats.org/officeDocument/2006/relationships/webSettings" Target="webSettings.xml"/><Relationship Id="rId9" Type="http://schemas.openxmlformats.org/officeDocument/2006/relationships/hyperlink" Target="https://www.researchgate.net/publication/319370837_Physical_security_of_waterwastewater_infrastructure_Planning_and_equipment_sel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7</Pages>
  <Words>1496</Words>
  <Characters>8533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6</cp:revision>
  <dcterms:created xsi:type="dcterms:W3CDTF">2025-11-14T18:38:00Z</dcterms:created>
  <dcterms:modified xsi:type="dcterms:W3CDTF">2025-11-15T02:23:00Z</dcterms:modified>
</cp:coreProperties>
</file>