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B59ED" w14:textId="34511F10" w:rsidR="00C6267A" w:rsidRPr="00F727A1" w:rsidRDefault="00C6267A" w:rsidP="00336DE7">
      <w:pPr>
        <w:pStyle w:val="NormalWeb"/>
        <w:rPr>
          <w:b/>
          <w:bCs/>
        </w:rPr>
      </w:pPr>
      <w:r w:rsidRPr="00F727A1">
        <w:rPr>
          <w:b/>
          <w:bCs/>
        </w:rPr>
        <w:t>What is Risk?</w:t>
      </w:r>
    </w:p>
    <w:p w14:paraId="47D86B02" w14:textId="77777777" w:rsidR="00F727A1" w:rsidRDefault="00336DE7" w:rsidP="00F727A1">
      <w:pPr>
        <w:pStyle w:val="NormalWeb"/>
        <w:spacing w:before="0" w:beforeAutospacing="0" w:after="0" w:afterAutospacing="0" w:line="480" w:lineRule="auto"/>
        <w:ind w:firstLine="720"/>
      </w:pPr>
      <w:r w:rsidRPr="00F727A1">
        <w:t xml:space="preserve">Risk is a foundational concept in both security and intelligence operations, yet it </w:t>
      </w:r>
      <w:r w:rsidR="00C6267A" w:rsidRPr="00F727A1">
        <w:t>remains a term with multiple interpretations</w:t>
      </w:r>
      <w:r w:rsidRPr="00F727A1">
        <w:t>. Across disciplines it is commonly understood as the intersection of three variables</w:t>
      </w:r>
      <w:r w:rsidR="00C6267A" w:rsidRPr="00F727A1">
        <w:t xml:space="preserve"> </w:t>
      </w:r>
      <w:r w:rsidRPr="00F727A1">
        <w:t xml:space="preserve">threats, vulnerabilities and consequences. When a credible threat has </w:t>
      </w:r>
      <w:proofErr w:type="spellStart"/>
      <w:proofErr w:type="gramStart"/>
      <w:r w:rsidR="00701E2A" w:rsidRPr="00F727A1">
        <w:t>a</w:t>
      </w:r>
      <w:proofErr w:type="spellEnd"/>
      <w:proofErr w:type="gramEnd"/>
      <w:r w:rsidR="00701E2A" w:rsidRPr="00F727A1">
        <w:t xml:space="preserve"> </w:t>
      </w:r>
      <w:r w:rsidRPr="00F727A1">
        <w:t>opportunity to exploit a weakness and produce harm,</w:t>
      </w:r>
      <w:r w:rsidR="00701E2A" w:rsidRPr="00F727A1">
        <w:t xml:space="preserve"> that’s where</w:t>
      </w:r>
      <w:r w:rsidRPr="00F727A1">
        <w:t xml:space="preserve"> risk </w:t>
      </w:r>
      <w:r w:rsidR="00701E2A" w:rsidRPr="00F727A1">
        <w:t>comes in</w:t>
      </w:r>
      <w:r w:rsidRPr="00F727A1">
        <w:t xml:space="preserve">. </w:t>
      </w:r>
      <w:r w:rsidRPr="00F727A1">
        <w:rPr>
          <w:rStyle w:val="Emphasis"/>
          <w:rFonts w:eastAsiaTheme="majorEastAsia"/>
        </w:rPr>
        <w:t>Presidential Policy Directive 21 (PPD-21)</w:t>
      </w:r>
      <w:r w:rsidRPr="00F727A1">
        <w:t xml:space="preserve"> defines it as “the potential for an unwanted outcome resulting from an incident, event, or occurrence, as determined by its likelihood and the associated consequences” (The White House, 2013). This perspective emphasizes measurable elements</w:t>
      </w:r>
      <w:r w:rsidR="00701E2A" w:rsidRPr="00F727A1">
        <w:t xml:space="preserve"> including</w:t>
      </w:r>
      <w:r w:rsidR="00C6267A" w:rsidRPr="00F727A1">
        <w:t xml:space="preserve"> </w:t>
      </w:r>
      <w:r w:rsidRPr="00F727A1">
        <w:t xml:space="preserve">likelihood and </w:t>
      </w:r>
      <w:r w:rsidR="00701E2A" w:rsidRPr="00F727A1">
        <w:t>consequences,</w:t>
      </w:r>
      <w:r w:rsidR="00C6267A" w:rsidRPr="00F727A1">
        <w:t xml:space="preserve"> </w:t>
      </w:r>
      <w:r w:rsidRPr="00F727A1">
        <w:t>making risk something that can be systematically assessed rather than vaguely perceived.</w:t>
      </w:r>
      <w:r w:rsidR="00701E2A" w:rsidRPr="00F727A1">
        <w:t xml:space="preserve"> </w:t>
      </w:r>
      <w:r w:rsidRPr="00F727A1">
        <w:t>In security contexts, risk is best viewed as a living factor rather than a fixed one. It changes with technology, behavior and the environment. A policy, control or safeguard that worked five years ago may no longer mitigate a current threat. The shift toward interconnected digital systems</w:t>
      </w:r>
      <w:r w:rsidR="00701E2A" w:rsidRPr="00F727A1">
        <w:t xml:space="preserve"> is introducing</w:t>
      </w:r>
      <w:r w:rsidRPr="00F727A1">
        <w:t xml:space="preserve"> new attack surfaces and </w:t>
      </w:r>
      <w:r w:rsidR="00701E2A" w:rsidRPr="00F727A1">
        <w:t>increasing</w:t>
      </w:r>
      <w:r w:rsidRPr="00F727A1">
        <w:t xml:space="preserve"> dependency on cyber resilience. As a </w:t>
      </w:r>
      <w:r w:rsidR="00701E2A" w:rsidRPr="00F727A1">
        <w:t>result,</w:t>
      </w:r>
      <w:r w:rsidRPr="00F727A1">
        <w:t xml:space="preserve"> risk management must evolve in parallel, continuously identifying where vulnerabilities arise and adjusting defenses before threats can exploit them</w:t>
      </w:r>
      <w:r w:rsidR="00701E2A" w:rsidRPr="00F727A1">
        <w:t xml:space="preserve"> (Bennett, 2018).</w:t>
      </w:r>
    </w:p>
    <w:p w14:paraId="01F464F5" w14:textId="77777777" w:rsidR="00F727A1" w:rsidRDefault="00336DE7" w:rsidP="00F727A1">
      <w:pPr>
        <w:pStyle w:val="NormalWeb"/>
        <w:spacing w:before="0" w:beforeAutospacing="0" w:after="0" w:afterAutospacing="0" w:line="480" w:lineRule="auto"/>
        <w:ind w:firstLine="720"/>
      </w:pPr>
      <w:r w:rsidRPr="00F727A1">
        <w:t>The idea of “acceptable risk” plays a crucial role in that process. No system, organization or operation can eliminate risk entirely</w:t>
      </w:r>
      <w:r w:rsidR="00701E2A" w:rsidRPr="00F727A1">
        <w:t>. I</w:t>
      </w:r>
      <w:r w:rsidRPr="00F727A1">
        <w:t>nstead, the goal is to reduce exposure to a level that aligns with mission requirements and available resources. Acceptable risk balances operational necessity against potential loss</w:t>
      </w:r>
      <w:r w:rsidR="00F727A1" w:rsidRPr="00F727A1">
        <w:t xml:space="preserve"> and supports realistic decision-making frameworks</w:t>
      </w:r>
      <w:r w:rsidRPr="00F727A1">
        <w:t>. This balance requires judgment, prioritization, and an understanding that over-mitigation can waste resources just as under-mitigation can invite disaster.</w:t>
      </w:r>
      <w:r w:rsidR="00701E2A" w:rsidRPr="00F727A1">
        <w:t xml:space="preserve"> </w:t>
      </w:r>
      <w:r w:rsidRPr="00F727A1">
        <w:t xml:space="preserve">Bennett’s framework for Security Vulnerability Analysis (SVA) provides a disciplined approach to achieving that balance. The process begins </w:t>
      </w:r>
      <w:r w:rsidRPr="00F727A1">
        <w:lastRenderedPageBreak/>
        <w:t xml:space="preserve">with identifying what must be </w:t>
      </w:r>
      <w:r w:rsidR="00701E2A" w:rsidRPr="00F727A1">
        <w:t xml:space="preserve">protected, these include </w:t>
      </w:r>
      <w:r w:rsidRPr="00F727A1">
        <w:t>assets such as personnel, facilities, information or equipment. It then examines the threats capable of targeting those assets and the vulnerabilities that make exploitation possible. The final steps</w:t>
      </w:r>
      <w:r w:rsidR="00701E2A" w:rsidRPr="00F727A1">
        <w:t xml:space="preserve"> are </w:t>
      </w:r>
      <w:r w:rsidRPr="00F727A1">
        <w:t>evaluating potential consequences and applying countermeasures</w:t>
      </w:r>
      <w:r w:rsidR="00701E2A" w:rsidRPr="00F727A1">
        <w:t xml:space="preserve"> which </w:t>
      </w:r>
      <w:r w:rsidRPr="00F727A1">
        <w:t>form a feedback loop that supports ongoing risk reduction. The value of this approach lies in its adaptability it can be scaled to a single facility, an organization</w:t>
      </w:r>
      <w:r w:rsidR="00701E2A" w:rsidRPr="00F727A1">
        <w:t xml:space="preserve"> </w:t>
      </w:r>
      <w:r w:rsidRPr="00F727A1">
        <w:t>or a national infrastructure sector</w:t>
      </w:r>
      <w:r w:rsidR="008B459B" w:rsidRPr="00F727A1">
        <w:t xml:space="preserve"> (Bennett, 2018).</w:t>
      </w:r>
    </w:p>
    <w:p w14:paraId="26C1DD32" w14:textId="2837F5EE" w:rsidR="00F727A1" w:rsidRDefault="00336DE7" w:rsidP="00F727A1">
      <w:pPr>
        <w:pStyle w:val="NormalWeb"/>
        <w:spacing w:before="0" w:beforeAutospacing="0" w:after="0" w:afterAutospacing="0" w:line="480" w:lineRule="auto"/>
        <w:ind w:firstLine="720"/>
      </w:pPr>
      <w:r w:rsidRPr="00F727A1">
        <w:t xml:space="preserve">Countermeasures are most effective when layered and </w:t>
      </w:r>
      <w:r w:rsidR="008D5CE1" w:rsidRPr="00F727A1">
        <w:t xml:space="preserve">are </w:t>
      </w:r>
      <w:r w:rsidRPr="00F727A1">
        <w:t>mutually reinforcing. Technical controls like encryption and multifactor authentication protect data integrity</w:t>
      </w:r>
      <w:r w:rsidR="00F727A1" w:rsidRPr="00F727A1">
        <w:t>, ensuring confidentiality and system stability</w:t>
      </w:r>
      <w:r w:rsidR="00485C49" w:rsidRPr="00F727A1">
        <w:t>. While</w:t>
      </w:r>
      <w:r w:rsidRPr="00F727A1">
        <w:t xml:space="preserve"> physical controls such as surveillance and secur</w:t>
      </w:r>
      <w:r w:rsidR="008D5CE1" w:rsidRPr="00F727A1">
        <w:t>ity</w:t>
      </w:r>
      <w:r w:rsidRPr="00F727A1">
        <w:t xml:space="preserve"> perimeters reduce unauthorized access</w:t>
      </w:r>
      <w:r w:rsidR="00485C49" w:rsidRPr="00F727A1">
        <w:t>.</w:t>
      </w:r>
      <w:r w:rsidRPr="00F727A1">
        <w:t xml:space="preserve"> </w:t>
      </w:r>
      <w:r w:rsidR="00485C49" w:rsidRPr="00F727A1">
        <w:t>A</w:t>
      </w:r>
      <w:r w:rsidRPr="00F727A1">
        <w:t>nd administrative measures</w:t>
      </w:r>
      <w:r w:rsidR="008D5CE1" w:rsidRPr="00F727A1">
        <w:t xml:space="preserve"> such as</w:t>
      </w:r>
      <w:r w:rsidR="00485C49" w:rsidRPr="00F727A1">
        <w:t xml:space="preserve"> the </w:t>
      </w:r>
      <w:r w:rsidRPr="00F727A1">
        <w:t xml:space="preserve">policies, </w:t>
      </w:r>
      <w:r w:rsidR="00485C49" w:rsidRPr="00F727A1">
        <w:t>training and</w:t>
      </w:r>
      <w:r w:rsidRPr="00F727A1">
        <w:t xml:space="preserve"> audits</w:t>
      </w:r>
      <w:r w:rsidR="008D5CE1" w:rsidRPr="00F727A1">
        <w:t>,</w:t>
      </w:r>
      <w:r w:rsidR="00485C49" w:rsidRPr="00F727A1">
        <w:t xml:space="preserve"> </w:t>
      </w:r>
      <w:r w:rsidRPr="00F727A1">
        <w:t>create accountability. These categories operate together ensuring that a single point of failure does not compromise the entire system</w:t>
      </w:r>
      <w:r w:rsidR="00F727A1" w:rsidRPr="00F727A1">
        <w:t xml:space="preserve"> or mission objective</w:t>
      </w:r>
      <w:r w:rsidRPr="00F727A1">
        <w:t>.</w:t>
      </w:r>
      <w:r w:rsidR="00701E2A" w:rsidRPr="00F727A1">
        <w:t xml:space="preserve"> </w:t>
      </w:r>
      <w:r w:rsidR="008D5CE1" w:rsidRPr="00F727A1">
        <w:t xml:space="preserve">Ultimately, risk is not an obstacle </w:t>
      </w:r>
      <w:proofErr w:type="gramStart"/>
      <w:r w:rsidR="008D5CE1" w:rsidRPr="00F727A1">
        <w:t>to be avoided</w:t>
      </w:r>
      <w:proofErr w:type="gramEnd"/>
      <w:r w:rsidR="008D5CE1" w:rsidRPr="00F727A1">
        <w:t xml:space="preserve"> but </w:t>
      </w:r>
      <w:r w:rsidR="008D5CE1" w:rsidRPr="00F727A1">
        <w:t>something</w:t>
      </w:r>
      <w:r w:rsidR="008D5CE1" w:rsidRPr="00F727A1">
        <w:t xml:space="preserve"> to be managed. Its existence reflects uncertainty, and uncertainty can be mitigated through structured assessment and adaptive planning. As emphasized by both PPD-21 and Bennett (2018), resilience depends on awareness, preparation and continuous refinement. While </w:t>
      </w:r>
      <w:r w:rsidR="008D5CE1" w:rsidRPr="00F727A1">
        <w:t>risks</w:t>
      </w:r>
      <w:r w:rsidR="008D5CE1" w:rsidRPr="00F727A1">
        <w:t xml:space="preserve"> cannot be eliminated, their impacts can be contained through deliberate, data</w:t>
      </w:r>
      <w:r w:rsidR="008D5CE1" w:rsidRPr="00F727A1">
        <w:t xml:space="preserve"> </w:t>
      </w:r>
      <w:r w:rsidR="008D5CE1" w:rsidRPr="00F727A1">
        <w:t>driven strategies that align protection efforts with evolving operational realities</w:t>
      </w:r>
      <w:r w:rsidR="00F727A1" w:rsidRPr="00F727A1">
        <w:t xml:space="preserve"> and long-term</w:t>
      </w:r>
      <w:r w:rsidR="00F727A1">
        <w:t xml:space="preserve"> </w:t>
      </w:r>
      <w:r w:rsidR="00F727A1" w:rsidRPr="00F727A1">
        <w:t>security priorities.</w:t>
      </w:r>
    </w:p>
    <w:p w14:paraId="62F84D8C" w14:textId="77777777" w:rsidR="00F727A1" w:rsidRDefault="00F727A1">
      <w:pPr>
        <w:rPr>
          <w:rFonts w:ascii="Times New Roman" w:eastAsia="Times New Roman" w:hAnsi="Times New Roman" w:cs="Times New Roman"/>
          <w:kern w:val="0"/>
          <w14:ligatures w14:val="none"/>
        </w:rPr>
      </w:pPr>
      <w:r>
        <w:br w:type="page"/>
      </w:r>
    </w:p>
    <w:p w14:paraId="4A274516" w14:textId="77777777" w:rsidR="00F727A1" w:rsidRPr="00F727A1" w:rsidRDefault="00F727A1" w:rsidP="00F727A1">
      <w:pPr>
        <w:spacing w:after="0" w:line="480" w:lineRule="auto"/>
        <w:jc w:val="center"/>
        <w:rPr>
          <w:rFonts w:ascii="Times New Roman" w:hAnsi="Times New Roman" w:cs="Times New Roman"/>
          <w:b/>
          <w:bCs/>
        </w:rPr>
      </w:pPr>
      <w:r w:rsidRPr="00F727A1">
        <w:rPr>
          <w:rFonts w:ascii="Times New Roman" w:hAnsi="Times New Roman" w:cs="Times New Roman"/>
          <w:b/>
          <w:bCs/>
        </w:rPr>
        <w:lastRenderedPageBreak/>
        <w:t>References</w:t>
      </w:r>
    </w:p>
    <w:p w14:paraId="5F922F09" w14:textId="77777777" w:rsidR="00F727A1" w:rsidRPr="00F727A1" w:rsidRDefault="00F727A1" w:rsidP="00F727A1">
      <w:pPr>
        <w:spacing w:after="0" w:line="480" w:lineRule="auto"/>
        <w:ind w:left="720" w:hanging="720"/>
        <w:rPr>
          <w:rFonts w:ascii="Times New Roman" w:hAnsi="Times New Roman" w:cs="Times New Roman"/>
        </w:rPr>
      </w:pPr>
      <w:r w:rsidRPr="00F727A1">
        <w:rPr>
          <w:rFonts w:ascii="Times New Roman" w:hAnsi="Times New Roman" w:cs="Times New Roman"/>
        </w:rPr>
        <w:t xml:space="preserve">Bennett, B. (2018). </w:t>
      </w:r>
      <w:r w:rsidRPr="00F727A1">
        <w:rPr>
          <w:rFonts w:ascii="Times New Roman" w:hAnsi="Times New Roman" w:cs="Times New Roman"/>
          <w:i/>
          <w:iCs/>
        </w:rPr>
        <w:t xml:space="preserve">Understanding, assessing, and responding to terrorism: Protecting critical infrastructure and personnel. </w:t>
      </w:r>
      <w:r w:rsidRPr="00F727A1">
        <w:rPr>
          <w:rFonts w:ascii="Times New Roman" w:hAnsi="Times New Roman" w:cs="Times New Roman"/>
        </w:rPr>
        <w:t>John Wiley and Sons.</w:t>
      </w:r>
    </w:p>
    <w:p w14:paraId="321F3A58" w14:textId="7FAD813C" w:rsidR="00336DE7" w:rsidRPr="00F727A1" w:rsidRDefault="00F727A1" w:rsidP="00F727A1">
      <w:pPr>
        <w:spacing w:line="480" w:lineRule="auto"/>
        <w:ind w:left="720" w:hanging="720"/>
        <w:rPr>
          <w:rFonts w:ascii="Times New Roman" w:hAnsi="Times New Roman" w:cs="Times New Roman"/>
          <w:i/>
          <w:iCs/>
        </w:rPr>
      </w:pPr>
      <w:r w:rsidRPr="00232406">
        <w:rPr>
          <w:rFonts w:ascii="Times New Roman" w:hAnsi="Times New Roman" w:cs="Times New Roman"/>
        </w:rPr>
        <w:t>The White House. (2013).</w:t>
      </w:r>
      <w:r w:rsidRPr="00F727A1">
        <w:rPr>
          <w:rFonts w:ascii="Times New Roman" w:hAnsi="Times New Roman" w:cs="Times New Roman"/>
        </w:rPr>
        <w:t xml:space="preserve"> </w:t>
      </w:r>
      <w:hyperlink r:id="rId4" w:tgtFrame="_blank" w:tooltip="ppd-21-critical-infrastructure-and-resilience-508_0-1.pdf" w:history="1">
        <w:r w:rsidRPr="00232406">
          <w:rPr>
            <w:rStyle w:val="Hyperlink"/>
            <w:rFonts w:ascii="Times New Roman" w:hAnsi="Times New Roman" w:cs="Times New Roman"/>
            <w:i/>
            <w:iCs/>
          </w:rPr>
          <w:t>Presidential Policy Directive/PPD-21</w:t>
        </w:r>
      </w:hyperlink>
      <w:r w:rsidRPr="00F727A1">
        <w:rPr>
          <w:rFonts w:ascii="Times New Roman" w:hAnsi="Times New Roman" w:cs="Times New Roman"/>
          <w:i/>
          <w:iCs/>
        </w:rPr>
        <w:t>.</w:t>
      </w:r>
      <w:r w:rsidRPr="00F727A1">
        <w:rPr>
          <w:rFonts w:ascii="Times New Roman" w:hAnsi="Times New Roman" w:cs="Times New Roman"/>
        </w:rPr>
        <w:t xml:space="preserve"> </w:t>
      </w:r>
      <w:hyperlink r:id="rId5" w:history="1">
        <w:r w:rsidRPr="00F727A1">
          <w:rPr>
            <w:rStyle w:val="Hyperlink"/>
            <w:rFonts w:ascii="Times New Roman" w:hAnsi="Times New Roman" w:cs="Times New Roman"/>
          </w:rPr>
          <w:t xml:space="preserve">https://www.cisa.gov/sites/default/files/2023-01/ppd-21-critical-infrastructure-and-resilience-508_0.pdf </w:t>
        </w:r>
      </w:hyperlink>
    </w:p>
    <w:sectPr w:rsidR="00336DE7" w:rsidRPr="00F727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38FB"/>
    <w:rsid w:val="00055A3C"/>
    <w:rsid w:val="001138FB"/>
    <w:rsid w:val="00121B7F"/>
    <w:rsid w:val="00182D5B"/>
    <w:rsid w:val="0019193F"/>
    <w:rsid w:val="00232406"/>
    <w:rsid w:val="00336DE7"/>
    <w:rsid w:val="003C5951"/>
    <w:rsid w:val="004807EC"/>
    <w:rsid w:val="00485C49"/>
    <w:rsid w:val="00532825"/>
    <w:rsid w:val="00701E2A"/>
    <w:rsid w:val="007B57EE"/>
    <w:rsid w:val="00824844"/>
    <w:rsid w:val="008B459B"/>
    <w:rsid w:val="008D5CE1"/>
    <w:rsid w:val="00920A70"/>
    <w:rsid w:val="009701E8"/>
    <w:rsid w:val="009F56AA"/>
    <w:rsid w:val="00AE5DCC"/>
    <w:rsid w:val="00C27FF9"/>
    <w:rsid w:val="00C47420"/>
    <w:rsid w:val="00C5005F"/>
    <w:rsid w:val="00C6267A"/>
    <w:rsid w:val="00CA3F4D"/>
    <w:rsid w:val="00CC66FF"/>
    <w:rsid w:val="00D375E6"/>
    <w:rsid w:val="00DB450A"/>
    <w:rsid w:val="00E37525"/>
    <w:rsid w:val="00F727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1FF46"/>
  <w15:chartTrackingRefBased/>
  <w15:docId w15:val="{C17CE688-54E8-4109-A9A2-23C775073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38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38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38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38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38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38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38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38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38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38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38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38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38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38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38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38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38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38FB"/>
    <w:rPr>
      <w:rFonts w:eastAsiaTheme="majorEastAsia" w:cstheme="majorBidi"/>
      <w:color w:val="272727" w:themeColor="text1" w:themeTint="D8"/>
    </w:rPr>
  </w:style>
  <w:style w:type="paragraph" w:styleId="Title">
    <w:name w:val="Title"/>
    <w:basedOn w:val="Normal"/>
    <w:next w:val="Normal"/>
    <w:link w:val="TitleChar"/>
    <w:uiPriority w:val="10"/>
    <w:qFormat/>
    <w:rsid w:val="001138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38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38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38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38FB"/>
    <w:pPr>
      <w:spacing w:before="160"/>
      <w:jc w:val="center"/>
    </w:pPr>
    <w:rPr>
      <w:i/>
      <w:iCs/>
      <w:color w:val="404040" w:themeColor="text1" w:themeTint="BF"/>
    </w:rPr>
  </w:style>
  <w:style w:type="character" w:customStyle="1" w:styleId="QuoteChar">
    <w:name w:val="Quote Char"/>
    <w:basedOn w:val="DefaultParagraphFont"/>
    <w:link w:val="Quote"/>
    <w:uiPriority w:val="29"/>
    <w:rsid w:val="001138FB"/>
    <w:rPr>
      <w:i/>
      <w:iCs/>
      <w:color w:val="404040" w:themeColor="text1" w:themeTint="BF"/>
    </w:rPr>
  </w:style>
  <w:style w:type="paragraph" w:styleId="ListParagraph">
    <w:name w:val="List Paragraph"/>
    <w:basedOn w:val="Normal"/>
    <w:uiPriority w:val="34"/>
    <w:qFormat/>
    <w:rsid w:val="001138FB"/>
    <w:pPr>
      <w:ind w:left="720"/>
      <w:contextualSpacing/>
    </w:pPr>
  </w:style>
  <w:style w:type="character" w:styleId="IntenseEmphasis">
    <w:name w:val="Intense Emphasis"/>
    <w:basedOn w:val="DefaultParagraphFont"/>
    <w:uiPriority w:val="21"/>
    <w:qFormat/>
    <w:rsid w:val="001138FB"/>
    <w:rPr>
      <w:i/>
      <w:iCs/>
      <w:color w:val="0F4761" w:themeColor="accent1" w:themeShade="BF"/>
    </w:rPr>
  </w:style>
  <w:style w:type="paragraph" w:styleId="IntenseQuote">
    <w:name w:val="Intense Quote"/>
    <w:basedOn w:val="Normal"/>
    <w:next w:val="Normal"/>
    <w:link w:val="IntenseQuoteChar"/>
    <w:uiPriority w:val="30"/>
    <w:qFormat/>
    <w:rsid w:val="001138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38FB"/>
    <w:rPr>
      <w:i/>
      <w:iCs/>
      <w:color w:val="0F4761" w:themeColor="accent1" w:themeShade="BF"/>
    </w:rPr>
  </w:style>
  <w:style w:type="character" w:styleId="IntenseReference">
    <w:name w:val="Intense Reference"/>
    <w:basedOn w:val="DefaultParagraphFont"/>
    <w:uiPriority w:val="32"/>
    <w:qFormat/>
    <w:rsid w:val="001138FB"/>
    <w:rPr>
      <w:b/>
      <w:bCs/>
      <w:smallCaps/>
      <w:color w:val="0F4761" w:themeColor="accent1" w:themeShade="BF"/>
      <w:spacing w:val="5"/>
    </w:rPr>
  </w:style>
  <w:style w:type="character" w:styleId="Hyperlink">
    <w:name w:val="Hyperlink"/>
    <w:basedOn w:val="DefaultParagraphFont"/>
    <w:uiPriority w:val="99"/>
    <w:unhideWhenUsed/>
    <w:rsid w:val="00182D5B"/>
    <w:rPr>
      <w:color w:val="467886" w:themeColor="hyperlink"/>
      <w:u w:val="single"/>
    </w:rPr>
  </w:style>
  <w:style w:type="character" w:styleId="UnresolvedMention">
    <w:name w:val="Unresolved Mention"/>
    <w:basedOn w:val="DefaultParagraphFont"/>
    <w:uiPriority w:val="99"/>
    <w:semiHidden/>
    <w:unhideWhenUsed/>
    <w:rsid w:val="00182D5B"/>
    <w:rPr>
      <w:color w:val="605E5C"/>
      <w:shd w:val="clear" w:color="auto" w:fill="E1DFDD"/>
    </w:rPr>
  </w:style>
  <w:style w:type="paragraph" w:styleId="NormalWeb">
    <w:name w:val="Normal (Web)"/>
    <w:basedOn w:val="Normal"/>
    <w:uiPriority w:val="99"/>
    <w:semiHidden/>
    <w:unhideWhenUsed/>
    <w:rsid w:val="00336DE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336DE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823653">
      <w:bodyDiv w:val="1"/>
      <w:marLeft w:val="0"/>
      <w:marRight w:val="0"/>
      <w:marTop w:val="0"/>
      <w:marBottom w:val="0"/>
      <w:divBdr>
        <w:top w:val="none" w:sz="0" w:space="0" w:color="auto"/>
        <w:left w:val="none" w:sz="0" w:space="0" w:color="auto"/>
        <w:bottom w:val="none" w:sz="0" w:space="0" w:color="auto"/>
        <w:right w:val="none" w:sz="0" w:space="0" w:color="auto"/>
      </w:divBdr>
    </w:div>
    <w:div w:id="139615331">
      <w:bodyDiv w:val="1"/>
      <w:marLeft w:val="0"/>
      <w:marRight w:val="0"/>
      <w:marTop w:val="0"/>
      <w:marBottom w:val="0"/>
      <w:divBdr>
        <w:top w:val="none" w:sz="0" w:space="0" w:color="auto"/>
        <w:left w:val="none" w:sz="0" w:space="0" w:color="auto"/>
        <w:bottom w:val="none" w:sz="0" w:space="0" w:color="auto"/>
        <w:right w:val="none" w:sz="0" w:space="0" w:color="auto"/>
      </w:divBdr>
    </w:div>
    <w:div w:id="410852321">
      <w:bodyDiv w:val="1"/>
      <w:marLeft w:val="0"/>
      <w:marRight w:val="0"/>
      <w:marTop w:val="0"/>
      <w:marBottom w:val="0"/>
      <w:divBdr>
        <w:top w:val="none" w:sz="0" w:space="0" w:color="auto"/>
        <w:left w:val="none" w:sz="0" w:space="0" w:color="auto"/>
        <w:bottom w:val="none" w:sz="0" w:space="0" w:color="auto"/>
        <w:right w:val="none" w:sz="0" w:space="0" w:color="auto"/>
      </w:divBdr>
    </w:div>
    <w:div w:id="896279167">
      <w:bodyDiv w:val="1"/>
      <w:marLeft w:val="0"/>
      <w:marRight w:val="0"/>
      <w:marTop w:val="0"/>
      <w:marBottom w:val="0"/>
      <w:divBdr>
        <w:top w:val="none" w:sz="0" w:space="0" w:color="auto"/>
        <w:left w:val="none" w:sz="0" w:space="0" w:color="auto"/>
        <w:bottom w:val="none" w:sz="0" w:space="0" w:color="auto"/>
        <w:right w:val="none" w:sz="0" w:space="0" w:color="auto"/>
      </w:divBdr>
    </w:div>
    <w:div w:id="937910353">
      <w:bodyDiv w:val="1"/>
      <w:marLeft w:val="0"/>
      <w:marRight w:val="0"/>
      <w:marTop w:val="0"/>
      <w:marBottom w:val="0"/>
      <w:divBdr>
        <w:top w:val="none" w:sz="0" w:space="0" w:color="auto"/>
        <w:left w:val="none" w:sz="0" w:space="0" w:color="auto"/>
        <w:bottom w:val="none" w:sz="0" w:space="0" w:color="auto"/>
        <w:right w:val="none" w:sz="0" w:space="0" w:color="auto"/>
      </w:divBdr>
    </w:div>
    <w:div w:id="1023555596">
      <w:bodyDiv w:val="1"/>
      <w:marLeft w:val="0"/>
      <w:marRight w:val="0"/>
      <w:marTop w:val="0"/>
      <w:marBottom w:val="0"/>
      <w:divBdr>
        <w:top w:val="none" w:sz="0" w:space="0" w:color="auto"/>
        <w:left w:val="none" w:sz="0" w:space="0" w:color="auto"/>
        <w:bottom w:val="none" w:sz="0" w:space="0" w:color="auto"/>
        <w:right w:val="none" w:sz="0" w:space="0" w:color="auto"/>
      </w:divBdr>
    </w:div>
    <w:div w:id="1141919422">
      <w:bodyDiv w:val="1"/>
      <w:marLeft w:val="0"/>
      <w:marRight w:val="0"/>
      <w:marTop w:val="0"/>
      <w:marBottom w:val="0"/>
      <w:divBdr>
        <w:top w:val="none" w:sz="0" w:space="0" w:color="auto"/>
        <w:left w:val="none" w:sz="0" w:space="0" w:color="auto"/>
        <w:bottom w:val="none" w:sz="0" w:space="0" w:color="auto"/>
        <w:right w:val="none" w:sz="0" w:space="0" w:color="auto"/>
      </w:divBdr>
      <w:divsChild>
        <w:div w:id="451293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7163722">
      <w:bodyDiv w:val="1"/>
      <w:marLeft w:val="0"/>
      <w:marRight w:val="0"/>
      <w:marTop w:val="0"/>
      <w:marBottom w:val="0"/>
      <w:divBdr>
        <w:top w:val="none" w:sz="0" w:space="0" w:color="auto"/>
        <w:left w:val="none" w:sz="0" w:space="0" w:color="auto"/>
        <w:bottom w:val="none" w:sz="0" w:space="0" w:color="auto"/>
        <w:right w:val="none" w:sz="0" w:space="0" w:color="auto"/>
      </w:divBdr>
    </w:div>
    <w:div w:id="1272081213">
      <w:bodyDiv w:val="1"/>
      <w:marLeft w:val="0"/>
      <w:marRight w:val="0"/>
      <w:marTop w:val="0"/>
      <w:marBottom w:val="0"/>
      <w:divBdr>
        <w:top w:val="none" w:sz="0" w:space="0" w:color="auto"/>
        <w:left w:val="none" w:sz="0" w:space="0" w:color="auto"/>
        <w:bottom w:val="none" w:sz="0" w:space="0" w:color="auto"/>
        <w:right w:val="none" w:sz="0" w:space="0" w:color="auto"/>
      </w:divBdr>
    </w:div>
    <w:div w:id="1391878630">
      <w:bodyDiv w:val="1"/>
      <w:marLeft w:val="0"/>
      <w:marRight w:val="0"/>
      <w:marTop w:val="0"/>
      <w:marBottom w:val="0"/>
      <w:divBdr>
        <w:top w:val="none" w:sz="0" w:space="0" w:color="auto"/>
        <w:left w:val="none" w:sz="0" w:space="0" w:color="auto"/>
        <w:bottom w:val="none" w:sz="0" w:space="0" w:color="auto"/>
        <w:right w:val="none" w:sz="0" w:space="0" w:color="auto"/>
      </w:divBdr>
    </w:div>
    <w:div w:id="1396395298">
      <w:bodyDiv w:val="1"/>
      <w:marLeft w:val="0"/>
      <w:marRight w:val="0"/>
      <w:marTop w:val="0"/>
      <w:marBottom w:val="0"/>
      <w:divBdr>
        <w:top w:val="none" w:sz="0" w:space="0" w:color="auto"/>
        <w:left w:val="none" w:sz="0" w:space="0" w:color="auto"/>
        <w:bottom w:val="none" w:sz="0" w:space="0" w:color="auto"/>
        <w:right w:val="none" w:sz="0" w:space="0" w:color="auto"/>
      </w:divBdr>
    </w:div>
    <w:div w:id="1457063933">
      <w:bodyDiv w:val="1"/>
      <w:marLeft w:val="0"/>
      <w:marRight w:val="0"/>
      <w:marTop w:val="0"/>
      <w:marBottom w:val="0"/>
      <w:divBdr>
        <w:top w:val="none" w:sz="0" w:space="0" w:color="auto"/>
        <w:left w:val="none" w:sz="0" w:space="0" w:color="auto"/>
        <w:bottom w:val="none" w:sz="0" w:space="0" w:color="auto"/>
        <w:right w:val="none" w:sz="0" w:space="0" w:color="auto"/>
      </w:divBdr>
    </w:div>
    <w:div w:id="1543205407">
      <w:bodyDiv w:val="1"/>
      <w:marLeft w:val="0"/>
      <w:marRight w:val="0"/>
      <w:marTop w:val="0"/>
      <w:marBottom w:val="0"/>
      <w:divBdr>
        <w:top w:val="none" w:sz="0" w:space="0" w:color="auto"/>
        <w:left w:val="none" w:sz="0" w:space="0" w:color="auto"/>
        <w:bottom w:val="none" w:sz="0" w:space="0" w:color="auto"/>
        <w:right w:val="none" w:sz="0" w:space="0" w:color="auto"/>
      </w:divBdr>
    </w:div>
    <w:div w:id="1594781996">
      <w:bodyDiv w:val="1"/>
      <w:marLeft w:val="0"/>
      <w:marRight w:val="0"/>
      <w:marTop w:val="0"/>
      <w:marBottom w:val="0"/>
      <w:divBdr>
        <w:top w:val="none" w:sz="0" w:space="0" w:color="auto"/>
        <w:left w:val="none" w:sz="0" w:space="0" w:color="auto"/>
        <w:bottom w:val="none" w:sz="0" w:space="0" w:color="auto"/>
        <w:right w:val="none" w:sz="0" w:space="0" w:color="auto"/>
      </w:divBdr>
    </w:div>
    <w:div w:id="1601330856">
      <w:bodyDiv w:val="1"/>
      <w:marLeft w:val="0"/>
      <w:marRight w:val="0"/>
      <w:marTop w:val="0"/>
      <w:marBottom w:val="0"/>
      <w:divBdr>
        <w:top w:val="none" w:sz="0" w:space="0" w:color="auto"/>
        <w:left w:val="none" w:sz="0" w:space="0" w:color="auto"/>
        <w:bottom w:val="none" w:sz="0" w:space="0" w:color="auto"/>
        <w:right w:val="none" w:sz="0" w:space="0" w:color="auto"/>
      </w:divBdr>
    </w:div>
    <w:div w:id="1758943791">
      <w:bodyDiv w:val="1"/>
      <w:marLeft w:val="0"/>
      <w:marRight w:val="0"/>
      <w:marTop w:val="0"/>
      <w:marBottom w:val="0"/>
      <w:divBdr>
        <w:top w:val="none" w:sz="0" w:space="0" w:color="auto"/>
        <w:left w:val="none" w:sz="0" w:space="0" w:color="auto"/>
        <w:bottom w:val="none" w:sz="0" w:space="0" w:color="auto"/>
        <w:right w:val="none" w:sz="0" w:space="0" w:color="auto"/>
      </w:divBdr>
    </w:div>
    <w:div w:id="1764758231">
      <w:bodyDiv w:val="1"/>
      <w:marLeft w:val="0"/>
      <w:marRight w:val="0"/>
      <w:marTop w:val="0"/>
      <w:marBottom w:val="0"/>
      <w:divBdr>
        <w:top w:val="none" w:sz="0" w:space="0" w:color="auto"/>
        <w:left w:val="none" w:sz="0" w:space="0" w:color="auto"/>
        <w:bottom w:val="none" w:sz="0" w:space="0" w:color="auto"/>
        <w:right w:val="none" w:sz="0" w:space="0" w:color="auto"/>
      </w:divBdr>
    </w:div>
    <w:div w:id="1792088912">
      <w:bodyDiv w:val="1"/>
      <w:marLeft w:val="0"/>
      <w:marRight w:val="0"/>
      <w:marTop w:val="0"/>
      <w:marBottom w:val="0"/>
      <w:divBdr>
        <w:top w:val="none" w:sz="0" w:space="0" w:color="auto"/>
        <w:left w:val="none" w:sz="0" w:space="0" w:color="auto"/>
        <w:bottom w:val="none" w:sz="0" w:space="0" w:color="auto"/>
        <w:right w:val="none" w:sz="0" w:space="0" w:color="auto"/>
      </w:divBdr>
    </w:div>
    <w:div w:id="1942252466">
      <w:bodyDiv w:val="1"/>
      <w:marLeft w:val="0"/>
      <w:marRight w:val="0"/>
      <w:marTop w:val="0"/>
      <w:marBottom w:val="0"/>
      <w:divBdr>
        <w:top w:val="none" w:sz="0" w:space="0" w:color="auto"/>
        <w:left w:val="none" w:sz="0" w:space="0" w:color="auto"/>
        <w:bottom w:val="none" w:sz="0" w:space="0" w:color="auto"/>
        <w:right w:val="none" w:sz="0" w:space="0" w:color="auto"/>
      </w:divBdr>
    </w:div>
    <w:div w:id="2076198705">
      <w:bodyDiv w:val="1"/>
      <w:marLeft w:val="0"/>
      <w:marRight w:val="0"/>
      <w:marTop w:val="0"/>
      <w:marBottom w:val="0"/>
      <w:divBdr>
        <w:top w:val="none" w:sz="0" w:space="0" w:color="auto"/>
        <w:left w:val="none" w:sz="0" w:space="0" w:color="auto"/>
        <w:bottom w:val="none" w:sz="0" w:space="0" w:color="auto"/>
        <w:right w:val="none" w:sz="0" w:space="0" w:color="auto"/>
      </w:divBdr>
    </w:div>
    <w:div w:id="2090926613">
      <w:bodyDiv w:val="1"/>
      <w:marLeft w:val="0"/>
      <w:marRight w:val="0"/>
      <w:marTop w:val="0"/>
      <w:marBottom w:val="0"/>
      <w:divBdr>
        <w:top w:val="none" w:sz="0" w:space="0" w:color="auto"/>
        <w:left w:val="none" w:sz="0" w:space="0" w:color="auto"/>
        <w:bottom w:val="none" w:sz="0" w:space="0" w:color="auto"/>
        <w:right w:val="none" w:sz="0" w:space="0" w:color="auto"/>
      </w:divBdr>
    </w:div>
    <w:div w:id="2104184626">
      <w:bodyDiv w:val="1"/>
      <w:marLeft w:val="0"/>
      <w:marRight w:val="0"/>
      <w:marTop w:val="0"/>
      <w:marBottom w:val="0"/>
      <w:divBdr>
        <w:top w:val="none" w:sz="0" w:space="0" w:color="auto"/>
        <w:left w:val="none" w:sz="0" w:space="0" w:color="auto"/>
        <w:bottom w:val="none" w:sz="0" w:space="0" w:color="auto"/>
        <w:right w:val="none" w:sz="0" w:space="0" w:color="auto"/>
      </w:divBdr>
    </w:div>
    <w:div w:id="2106224822">
      <w:bodyDiv w:val="1"/>
      <w:marLeft w:val="0"/>
      <w:marRight w:val="0"/>
      <w:marTop w:val="0"/>
      <w:marBottom w:val="0"/>
      <w:divBdr>
        <w:top w:val="none" w:sz="0" w:space="0" w:color="auto"/>
        <w:left w:val="none" w:sz="0" w:space="0" w:color="auto"/>
        <w:bottom w:val="none" w:sz="0" w:space="0" w:color="auto"/>
        <w:right w:val="none" w:sz="0" w:space="0" w:color="auto"/>
      </w:divBdr>
    </w:div>
    <w:div w:id="2120567250">
      <w:bodyDiv w:val="1"/>
      <w:marLeft w:val="0"/>
      <w:marRight w:val="0"/>
      <w:marTop w:val="0"/>
      <w:marBottom w:val="0"/>
      <w:divBdr>
        <w:top w:val="none" w:sz="0" w:space="0" w:color="auto"/>
        <w:left w:val="none" w:sz="0" w:space="0" w:color="auto"/>
        <w:bottom w:val="none" w:sz="0" w:space="0" w:color="auto"/>
        <w:right w:val="none" w:sz="0" w:space="0" w:color="auto"/>
      </w:divBdr>
      <w:divsChild>
        <w:div w:id="1860311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4641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cisa.gov/sites/default/files/2023-01/ppd-21-critical-infrastructure-and-resilience-508_0.pdf%20" TargetMode="External"/><Relationship Id="rId4" Type="http://schemas.openxmlformats.org/officeDocument/2006/relationships/hyperlink" Target="https://canvas.nau.edu/courses/48361/files/15108538?wra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119</TotalTime>
  <Pages>3</Pages>
  <Words>630</Words>
  <Characters>3593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15</cp:revision>
  <dcterms:created xsi:type="dcterms:W3CDTF">2025-10-23T22:46:00Z</dcterms:created>
  <dcterms:modified xsi:type="dcterms:W3CDTF">2025-10-30T17:23:00Z</dcterms:modified>
</cp:coreProperties>
</file>