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33D3A" w14:textId="77777777" w:rsidR="009B3B36" w:rsidRDefault="00390EBC" w:rsidP="00390EBC">
      <w:pPr>
        <w:rPr>
          <w:rFonts w:ascii="Times New Roman" w:hAnsi="Times New Roman" w:cs="Times New Roman"/>
          <w:b/>
          <w:bCs/>
        </w:rPr>
      </w:pPr>
      <w:r w:rsidRPr="00390EBC">
        <w:rPr>
          <w:rFonts w:ascii="Times New Roman" w:hAnsi="Times New Roman" w:cs="Times New Roman"/>
          <w:b/>
          <w:bCs/>
        </w:rPr>
        <w:t>Intelligence Fusion Centers</w:t>
      </w:r>
    </w:p>
    <w:p w14:paraId="5A6F7B9E" w14:textId="77C9F32F" w:rsidR="009B3B36" w:rsidRDefault="00390EBC" w:rsidP="00390EBC">
      <w:pPr>
        <w:rPr>
          <w:rFonts w:ascii="Times New Roman" w:hAnsi="Times New Roman" w:cs="Times New Roman"/>
          <w:b/>
          <w:bCs/>
        </w:rPr>
      </w:pPr>
      <w:r w:rsidRPr="009B3B36">
        <w:rPr>
          <w:rFonts w:ascii="Times New Roman" w:hAnsi="Times New Roman" w:cs="Times New Roman"/>
        </w:rPr>
        <w:t>Intelligence Fusion Centers are state and regional facilities that bring together personnel from law enforcement, emergency management, public safety</w:t>
      </w:r>
      <w:r w:rsidRPr="009B3B36">
        <w:rPr>
          <w:rFonts w:ascii="Times New Roman" w:hAnsi="Times New Roman" w:cs="Times New Roman"/>
        </w:rPr>
        <w:t xml:space="preserve"> </w:t>
      </w:r>
      <w:r w:rsidRPr="009B3B36">
        <w:rPr>
          <w:rFonts w:ascii="Times New Roman" w:hAnsi="Times New Roman" w:cs="Times New Roman"/>
        </w:rPr>
        <w:t>and federal agencies</w:t>
      </w:r>
      <w:r w:rsidRPr="009B3B36">
        <w:rPr>
          <w:rFonts w:ascii="Times New Roman" w:hAnsi="Times New Roman" w:cs="Times New Roman"/>
        </w:rPr>
        <w:t>. All to</w:t>
      </w:r>
      <w:r w:rsidRPr="009B3B36">
        <w:rPr>
          <w:rFonts w:ascii="Times New Roman" w:hAnsi="Times New Roman" w:cs="Times New Roman"/>
        </w:rPr>
        <w:t xml:space="preserve"> share information related to crime, terrorism and emerging threats. A fusion center works as a central point where data from many sources can be collected, analyzed, and turned into useful intelligence for decision makers. </w:t>
      </w:r>
      <w:r w:rsidR="00EC18C5" w:rsidRPr="009B3B36">
        <w:rPr>
          <w:rFonts w:ascii="Times New Roman" w:hAnsi="Times New Roman" w:cs="Times New Roman"/>
        </w:rPr>
        <w:t>This model reflects the core principles of protective security that stress the need for shared awareness, coordinated action and informed decision making across agencies (Bennett, 2018).</w:t>
      </w:r>
      <w:r w:rsidR="00EC18C5" w:rsidRPr="009B3B36">
        <w:rPr>
          <w:rFonts w:ascii="Times New Roman" w:hAnsi="Times New Roman" w:cs="Times New Roman"/>
        </w:rPr>
        <w:t xml:space="preserve"> </w:t>
      </w:r>
      <w:r w:rsidRPr="009B3B36">
        <w:rPr>
          <w:rFonts w:ascii="Times New Roman" w:hAnsi="Times New Roman" w:cs="Times New Roman"/>
        </w:rPr>
        <w:t>Fusion centers help agencies see patterns that would be harder to detect if every organization worked alone.</w:t>
      </w:r>
    </w:p>
    <w:p w14:paraId="207DAC56" w14:textId="77777777" w:rsidR="009B3B36" w:rsidRDefault="00EC18C5" w:rsidP="00390EBC">
      <w:pPr>
        <w:rPr>
          <w:rFonts w:ascii="Times New Roman" w:hAnsi="Times New Roman" w:cs="Times New Roman"/>
          <w:b/>
          <w:bCs/>
        </w:rPr>
      </w:pPr>
      <w:r w:rsidRPr="009B3B36">
        <w:rPr>
          <w:rFonts w:ascii="Times New Roman" w:hAnsi="Times New Roman" w:cs="Times New Roman"/>
        </w:rPr>
        <w:t>F</w:t>
      </w:r>
      <w:r w:rsidR="00390EBC" w:rsidRPr="00390EBC">
        <w:rPr>
          <w:rFonts w:ascii="Times New Roman" w:hAnsi="Times New Roman" w:cs="Times New Roman"/>
        </w:rPr>
        <w:t>usion centers are often mentioned in discussions about homeland security, but many people do not fully understand what they do.</w:t>
      </w:r>
      <w:r w:rsidRPr="009B3B36">
        <w:rPr>
          <w:rFonts w:ascii="Times New Roman" w:hAnsi="Times New Roman" w:cs="Times New Roman"/>
        </w:rPr>
        <w:t xml:space="preserve"> </w:t>
      </w:r>
      <w:r w:rsidRPr="009B3B36">
        <w:rPr>
          <w:rFonts w:ascii="Times New Roman" w:hAnsi="Times New Roman" w:cs="Times New Roman"/>
        </w:rPr>
        <w:t>Fusion centers play a key role in supporting risk assessment and threat prevention by ensuring that critical information moves quickly between agencies. They strengthen community preparedness by integrating real time data with broader planning processes. This aligns with the THIRA approach, which emphasizes understanding local hazards and the capabilities needed to address them (U.S. Department of Homeland Security, 2018).</w:t>
      </w:r>
      <w:r w:rsidRPr="009B3B36">
        <w:rPr>
          <w:rFonts w:ascii="Times New Roman" w:hAnsi="Times New Roman" w:cs="Times New Roman"/>
        </w:rPr>
        <w:t xml:space="preserve"> </w:t>
      </w:r>
      <w:r w:rsidRPr="009B3B36">
        <w:rPr>
          <w:rFonts w:ascii="Times New Roman" w:hAnsi="Times New Roman" w:cs="Times New Roman"/>
        </w:rPr>
        <w:t>Fusion centers are important for local communities because they give police departments and emergency managers access to intelligence that extends beyond what they can gather on their own. When information from many sources is merged into a single picture, local agencies can prepare for threats earlier and make more informed security decisions. This reduces the likelihood that warning signs will remain isolated within one department or get lost in federal reporting systems.</w:t>
      </w:r>
    </w:p>
    <w:p w14:paraId="1CE5B17D" w14:textId="3C229092" w:rsidR="009B3B36" w:rsidRDefault="00EC18C5" w:rsidP="00390EBC">
      <w:pPr>
        <w:rPr>
          <w:rFonts w:ascii="Times New Roman" w:hAnsi="Times New Roman" w:cs="Times New Roman"/>
          <w:b/>
          <w:bCs/>
        </w:rPr>
      </w:pPr>
      <w:r w:rsidRPr="009B3B36">
        <w:rPr>
          <w:rFonts w:ascii="Times New Roman" w:hAnsi="Times New Roman" w:cs="Times New Roman"/>
        </w:rPr>
        <w:t>One thing that stood out to me is how broad the mission of a fusion center can be. They do not only focus on terrorism. They support responses to severe weather, cyber incidents, infrastructure disruptions, public health concerns and criminal activity. This wide scope makes them valuable partners in the protective security framework out</w:t>
      </w:r>
      <w:r w:rsidRPr="009B3B36">
        <w:rPr>
          <w:rFonts w:ascii="Times New Roman" w:hAnsi="Times New Roman" w:cs="Times New Roman"/>
        </w:rPr>
        <w:t>line</w:t>
      </w:r>
      <w:r w:rsidRPr="009B3B36">
        <w:rPr>
          <w:rFonts w:ascii="Times New Roman" w:hAnsi="Times New Roman" w:cs="Times New Roman"/>
        </w:rPr>
        <w:t>. Another notable aspect is how much they depend on timely reporting from local personnel to form a complete picture of what is happening in their region.</w:t>
      </w:r>
      <w:r w:rsidR="00737291">
        <w:rPr>
          <w:rFonts w:ascii="Times New Roman" w:hAnsi="Times New Roman" w:cs="Times New Roman"/>
          <w:b/>
          <w:bCs/>
        </w:rPr>
        <w:t xml:space="preserve"> </w:t>
      </w:r>
      <w:r w:rsidRPr="009B3B36">
        <w:rPr>
          <w:rFonts w:ascii="Times New Roman" w:hAnsi="Times New Roman" w:cs="Times New Roman"/>
        </w:rPr>
        <w:t xml:space="preserve">With </w:t>
      </w:r>
      <w:r w:rsidR="00AA2AE7">
        <w:rPr>
          <w:rFonts w:ascii="Times New Roman" w:hAnsi="Times New Roman" w:cs="Times New Roman"/>
        </w:rPr>
        <w:t xml:space="preserve">all this </w:t>
      </w:r>
      <w:r w:rsidRPr="009B3B36">
        <w:rPr>
          <w:rFonts w:ascii="Times New Roman" w:hAnsi="Times New Roman" w:cs="Times New Roman"/>
        </w:rPr>
        <w:t>in mind</w:t>
      </w:r>
      <w:r w:rsidR="00AA2AE7">
        <w:rPr>
          <w:rFonts w:ascii="Times New Roman" w:hAnsi="Times New Roman" w:cs="Times New Roman"/>
        </w:rPr>
        <w:t>,</w:t>
      </w:r>
      <w:r w:rsidRPr="009B3B36">
        <w:rPr>
          <w:rFonts w:ascii="Times New Roman" w:hAnsi="Times New Roman" w:cs="Times New Roman"/>
        </w:rPr>
        <w:t xml:space="preserve"> f</w:t>
      </w:r>
      <w:r w:rsidR="00390EBC" w:rsidRPr="00390EBC">
        <w:rPr>
          <w:rFonts w:ascii="Times New Roman" w:hAnsi="Times New Roman" w:cs="Times New Roman"/>
        </w:rPr>
        <w:t>usion centers could be improved by increasing public understanding of their role and by strengthening transparency around how privacy and civil liberties are protected. Some states have strong safeguards</w:t>
      </w:r>
      <w:r w:rsidR="00390EBC" w:rsidRPr="009B3B36">
        <w:rPr>
          <w:rFonts w:ascii="Times New Roman" w:hAnsi="Times New Roman" w:cs="Times New Roman"/>
        </w:rPr>
        <w:t xml:space="preserve"> and o</w:t>
      </w:r>
      <w:r w:rsidR="00390EBC" w:rsidRPr="00390EBC">
        <w:rPr>
          <w:rFonts w:ascii="Times New Roman" w:hAnsi="Times New Roman" w:cs="Times New Roman"/>
        </w:rPr>
        <w:t xml:space="preserve">thers are still working on consistent standards. More community engagement would help build trust and encourage people to report suspicious </w:t>
      </w:r>
      <w:proofErr w:type="gramStart"/>
      <w:r w:rsidR="00390EBC" w:rsidRPr="009B3B36">
        <w:rPr>
          <w:rFonts w:ascii="Times New Roman" w:hAnsi="Times New Roman" w:cs="Times New Roman"/>
        </w:rPr>
        <w:t>activity</w:t>
      </w:r>
      <w:proofErr w:type="gramEnd"/>
      <w:r w:rsidR="00390EBC" w:rsidRPr="00390EBC">
        <w:rPr>
          <w:rFonts w:ascii="Times New Roman" w:hAnsi="Times New Roman" w:cs="Times New Roman"/>
        </w:rPr>
        <w:t>.</w:t>
      </w:r>
      <w:r w:rsidR="00390EBC" w:rsidRPr="009B3B36">
        <w:rPr>
          <w:rFonts w:ascii="Times New Roman" w:hAnsi="Times New Roman" w:cs="Times New Roman"/>
        </w:rPr>
        <w:t xml:space="preserve"> </w:t>
      </w:r>
      <w:r w:rsidR="00390EBC" w:rsidRPr="009B3B36">
        <w:rPr>
          <w:rFonts w:ascii="Times New Roman" w:hAnsi="Times New Roman" w:cs="Times New Roman"/>
        </w:rPr>
        <w:t>Fusion centers play a critical role in the protective security framework by turning scattered information into actionable intelligence that supports prevention, preparedness and response. Their value becomes clear when looking at how they connect local agencies, state officials and federal partners into one shared picture of risk. This coordinated approach strengthens community resilience, improves situational awareness and helps protect critical assets in a constantly changing threat environment.</w:t>
      </w:r>
    </w:p>
    <w:p w14:paraId="56AEF70F" w14:textId="77777777" w:rsidR="009B3B36" w:rsidRDefault="00D13547" w:rsidP="009B3B36">
      <w:pPr>
        <w:rPr>
          <w:rFonts w:ascii="Times New Roman" w:hAnsi="Times New Roman" w:cs="Times New Roman"/>
          <w:b/>
          <w:bCs/>
        </w:rPr>
      </w:pPr>
      <w:r w:rsidRPr="00D13547">
        <w:rPr>
          <w:rFonts w:ascii="Times New Roman" w:hAnsi="Times New Roman" w:cs="Times New Roman"/>
          <w:b/>
          <w:bCs/>
        </w:rPr>
        <w:t>References</w:t>
      </w:r>
    </w:p>
    <w:p w14:paraId="7FE1B745" w14:textId="735D2059" w:rsidR="00D13547" w:rsidRPr="009B3B36" w:rsidRDefault="00D13547" w:rsidP="00F23F1A">
      <w:pPr>
        <w:ind w:left="720" w:hanging="720"/>
        <w:rPr>
          <w:rFonts w:ascii="Times New Roman" w:hAnsi="Times New Roman" w:cs="Times New Roman"/>
          <w:b/>
          <w:bCs/>
        </w:rPr>
      </w:pPr>
      <w:r w:rsidRPr="00D13547">
        <w:rPr>
          <w:rFonts w:ascii="Times New Roman" w:hAnsi="Times New Roman" w:cs="Times New Roman"/>
        </w:rPr>
        <w:lastRenderedPageBreak/>
        <w:t xml:space="preserve">Bennett, B. (2018). </w:t>
      </w:r>
      <w:r w:rsidRPr="00D13547">
        <w:rPr>
          <w:rFonts w:ascii="Times New Roman" w:hAnsi="Times New Roman" w:cs="Times New Roman"/>
          <w:i/>
          <w:iCs/>
        </w:rPr>
        <w:t xml:space="preserve">Understanding, assessing, and responding to terrorism: Protecting critical infrastructure and personnel. </w:t>
      </w:r>
      <w:r w:rsidRPr="00D13547">
        <w:rPr>
          <w:rFonts w:ascii="Times New Roman" w:hAnsi="Times New Roman" w:cs="Times New Roman"/>
        </w:rPr>
        <w:t>John Wiley and Sons.</w:t>
      </w:r>
    </w:p>
    <w:p w14:paraId="1FFDA2C6" w14:textId="36599406" w:rsidR="00161E20" w:rsidRDefault="00390EBC" w:rsidP="0060068C">
      <w:pPr>
        <w:ind w:left="720" w:hanging="720"/>
        <w:rPr>
          <w:rFonts w:ascii="Times New Roman" w:hAnsi="Times New Roman" w:cs="Times New Roman"/>
        </w:rPr>
      </w:pPr>
      <w:r w:rsidRPr="00390EBC">
        <w:rPr>
          <w:rFonts w:ascii="Times New Roman" w:hAnsi="Times New Roman" w:cs="Times New Roman"/>
        </w:rPr>
        <w:t xml:space="preserve">Department of Homeland Security. (2018). </w:t>
      </w:r>
      <w:hyperlink r:id="rId5" w:tgtFrame="_blank" w:tooltip="CPG201Final20180525-1.pdf" w:history="1">
        <w:r w:rsidRPr="00390EBC">
          <w:rPr>
            <w:rStyle w:val="Hyperlink"/>
            <w:rFonts w:ascii="Times New Roman" w:hAnsi="Times New Roman" w:cs="Times New Roman"/>
            <w:i/>
            <w:iCs/>
          </w:rPr>
          <w:t>Threat and Hazard Identification and Risk Assessment (THIRA) and Stakeholder Preparedness Review (SPR) Guide: Comprehensive Preparedness Guide (CPG) 201</w:t>
        </w:r>
      </w:hyperlink>
      <w:r w:rsidR="0060068C">
        <w:rPr>
          <w:rFonts w:ascii="Times New Roman" w:hAnsi="Times New Roman" w:cs="Times New Roman"/>
        </w:rPr>
        <w:t xml:space="preserve"> </w:t>
      </w:r>
      <w:r w:rsidRPr="00390EBC">
        <w:rPr>
          <w:rFonts w:ascii="Times New Roman" w:hAnsi="Times New Roman" w:cs="Times New Roman"/>
        </w:rPr>
        <w:t>(3</w:t>
      </w:r>
      <w:r w:rsidRPr="00390EBC">
        <w:rPr>
          <w:rFonts w:ascii="Times New Roman" w:hAnsi="Times New Roman" w:cs="Times New Roman"/>
          <w:vertAlign w:val="superscript"/>
        </w:rPr>
        <w:t>rd</w:t>
      </w:r>
      <w:r w:rsidRPr="00390EBC">
        <w:rPr>
          <w:rFonts w:ascii="Times New Roman" w:hAnsi="Times New Roman" w:cs="Times New Roman"/>
        </w:rPr>
        <w:t xml:space="preserve"> Edition).</w:t>
      </w:r>
      <w:r w:rsidR="0060068C">
        <w:rPr>
          <w:rFonts w:ascii="Times New Roman" w:hAnsi="Times New Roman" w:cs="Times New Roman"/>
        </w:rPr>
        <w:t xml:space="preserve"> </w:t>
      </w:r>
      <w:hyperlink r:id="rId6" w:history="1">
        <w:r w:rsidR="0060068C" w:rsidRPr="00983446">
          <w:rPr>
            <w:rStyle w:val="Hyperlink"/>
            <w:rFonts w:ascii="Times New Roman" w:hAnsi="Times New Roman" w:cs="Times New Roman"/>
          </w:rPr>
          <w:t xml:space="preserve">https://www.fema.gov/sites/default/files/2020-04/CPG201Final20180525.pdf </w:t>
        </w:r>
      </w:hyperlink>
    </w:p>
    <w:p w14:paraId="395E4EA8" w14:textId="77777777" w:rsidR="00390EBC" w:rsidRPr="007E0072" w:rsidRDefault="00390EBC" w:rsidP="00390EBC"/>
    <w:p w14:paraId="37A491CF" w14:textId="77777777" w:rsidR="00532825" w:rsidRDefault="00532825"/>
    <w:p w14:paraId="6F574EC9" w14:textId="77777777" w:rsidR="00FF7D8D" w:rsidRDefault="00FF7D8D"/>
    <w:p w14:paraId="6E48CDD2" w14:textId="77777777" w:rsidR="00FF7D8D" w:rsidRDefault="00FF7D8D"/>
    <w:sectPr w:rsidR="00FF7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F56"/>
    <w:multiLevelType w:val="multilevel"/>
    <w:tmpl w:val="5538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E558F"/>
    <w:multiLevelType w:val="multilevel"/>
    <w:tmpl w:val="12B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577A6"/>
    <w:multiLevelType w:val="multilevel"/>
    <w:tmpl w:val="B52E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3962F9"/>
    <w:multiLevelType w:val="multilevel"/>
    <w:tmpl w:val="8F9A8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658554">
    <w:abstractNumId w:val="0"/>
  </w:num>
  <w:num w:numId="2" w16cid:durableId="935164586">
    <w:abstractNumId w:val="2"/>
  </w:num>
  <w:num w:numId="3" w16cid:durableId="2977191">
    <w:abstractNumId w:val="1"/>
  </w:num>
  <w:num w:numId="4" w16cid:durableId="11808504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2C"/>
    <w:rsid w:val="000A38B1"/>
    <w:rsid w:val="000E010C"/>
    <w:rsid w:val="00110369"/>
    <w:rsid w:val="00127A12"/>
    <w:rsid w:val="00152B5A"/>
    <w:rsid w:val="00161E20"/>
    <w:rsid w:val="002E28B5"/>
    <w:rsid w:val="00307886"/>
    <w:rsid w:val="00390EBC"/>
    <w:rsid w:val="003A2D52"/>
    <w:rsid w:val="0047101C"/>
    <w:rsid w:val="0047587F"/>
    <w:rsid w:val="004D701A"/>
    <w:rsid w:val="00532825"/>
    <w:rsid w:val="005379B5"/>
    <w:rsid w:val="0060068C"/>
    <w:rsid w:val="00675583"/>
    <w:rsid w:val="00685C92"/>
    <w:rsid w:val="00731B47"/>
    <w:rsid w:val="00737291"/>
    <w:rsid w:val="00783570"/>
    <w:rsid w:val="007874C2"/>
    <w:rsid w:val="007A5B2C"/>
    <w:rsid w:val="007C0519"/>
    <w:rsid w:val="007E0072"/>
    <w:rsid w:val="00875385"/>
    <w:rsid w:val="00951CFE"/>
    <w:rsid w:val="009A0160"/>
    <w:rsid w:val="009B3B36"/>
    <w:rsid w:val="00A432B6"/>
    <w:rsid w:val="00A76B98"/>
    <w:rsid w:val="00AA2AE7"/>
    <w:rsid w:val="00BA11A6"/>
    <w:rsid w:val="00C96782"/>
    <w:rsid w:val="00CA3F4D"/>
    <w:rsid w:val="00D13547"/>
    <w:rsid w:val="00D33C09"/>
    <w:rsid w:val="00D544DA"/>
    <w:rsid w:val="00D83080"/>
    <w:rsid w:val="00E60921"/>
    <w:rsid w:val="00EC18C5"/>
    <w:rsid w:val="00ED4F3B"/>
    <w:rsid w:val="00F23F1A"/>
    <w:rsid w:val="00F41DD7"/>
    <w:rsid w:val="00F82123"/>
    <w:rsid w:val="00FA34BA"/>
    <w:rsid w:val="00FC7149"/>
    <w:rsid w:val="00FF0B03"/>
    <w:rsid w:val="00FF7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6BFD"/>
  <w15:chartTrackingRefBased/>
  <w15:docId w15:val="{009C0CAD-66C7-468F-9B1A-FF2F1F25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B2C"/>
    <w:rPr>
      <w:rFonts w:eastAsiaTheme="majorEastAsia" w:cstheme="majorBidi"/>
      <w:color w:val="272727" w:themeColor="text1" w:themeTint="D8"/>
    </w:rPr>
  </w:style>
  <w:style w:type="paragraph" w:styleId="Title">
    <w:name w:val="Title"/>
    <w:basedOn w:val="Normal"/>
    <w:next w:val="Normal"/>
    <w:link w:val="TitleChar"/>
    <w:uiPriority w:val="10"/>
    <w:qFormat/>
    <w:rsid w:val="007A5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B2C"/>
    <w:pPr>
      <w:spacing w:before="160"/>
      <w:jc w:val="center"/>
    </w:pPr>
    <w:rPr>
      <w:i/>
      <w:iCs/>
      <w:color w:val="404040" w:themeColor="text1" w:themeTint="BF"/>
    </w:rPr>
  </w:style>
  <w:style w:type="character" w:customStyle="1" w:styleId="QuoteChar">
    <w:name w:val="Quote Char"/>
    <w:basedOn w:val="DefaultParagraphFont"/>
    <w:link w:val="Quote"/>
    <w:uiPriority w:val="29"/>
    <w:rsid w:val="007A5B2C"/>
    <w:rPr>
      <w:i/>
      <w:iCs/>
      <w:color w:val="404040" w:themeColor="text1" w:themeTint="BF"/>
    </w:rPr>
  </w:style>
  <w:style w:type="paragraph" w:styleId="ListParagraph">
    <w:name w:val="List Paragraph"/>
    <w:basedOn w:val="Normal"/>
    <w:uiPriority w:val="34"/>
    <w:qFormat/>
    <w:rsid w:val="007A5B2C"/>
    <w:pPr>
      <w:ind w:left="720"/>
      <w:contextualSpacing/>
    </w:pPr>
  </w:style>
  <w:style w:type="character" w:styleId="IntenseEmphasis">
    <w:name w:val="Intense Emphasis"/>
    <w:basedOn w:val="DefaultParagraphFont"/>
    <w:uiPriority w:val="21"/>
    <w:qFormat/>
    <w:rsid w:val="007A5B2C"/>
    <w:rPr>
      <w:i/>
      <w:iCs/>
      <w:color w:val="0F4761" w:themeColor="accent1" w:themeShade="BF"/>
    </w:rPr>
  </w:style>
  <w:style w:type="paragraph" w:styleId="IntenseQuote">
    <w:name w:val="Intense Quote"/>
    <w:basedOn w:val="Normal"/>
    <w:next w:val="Normal"/>
    <w:link w:val="IntenseQuoteChar"/>
    <w:uiPriority w:val="30"/>
    <w:qFormat/>
    <w:rsid w:val="007A5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B2C"/>
    <w:rPr>
      <w:i/>
      <w:iCs/>
      <w:color w:val="0F4761" w:themeColor="accent1" w:themeShade="BF"/>
    </w:rPr>
  </w:style>
  <w:style w:type="character" w:styleId="IntenseReference">
    <w:name w:val="Intense Reference"/>
    <w:basedOn w:val="DefaultParagraphFont"/>
    <w:uiPriority w:val="32"/>
    <w:qFormat/>
    <w:rsid w:val="007A5B2C"/>
    <w:rPr>
      <w:b/>
      <w:bCs/>
      <w:smallCaps/>
      <w:color w:val="0F4761" w:themeColor="accent1" w:themeShade="BF"/>
      <w:spacing w:val="5"/>
    </w:rPr>
  </w:style>
  <w:style w:type="character" w:styleId="Hyperlink">
    <w:name w:val="Hyperlink"/>
    <w:basedOn w:val="DefaultParagraphFont"/>
    <w:uiPriority w:val="99"/>
    <w:unhideWhenUsed/>
    <w:rsid w:val="007E0072"/>
    <w:rPr>
      <w:color w:val="467886" w:themeColor="hyperlink"/>
      <w:u w:val="single"/>
    </w:rPr>
  </w:style>
  <w:style w:type="character" w:styleId="UnresolvedMention">
    <w:name w:val="Unresolved Mention"/>
    <w:basedOn w:val="DefaultParagraphFont"/>
    <w:uiPriority w:val="99"/>
    <w:semiHidden/>
    <w:unhideWhenUsed/>
    <w:rsid w:val="007E0072"/>
    <w:rPr>
      <w:color w:val="605E5C"/>
      <w:shd w:val="clear" w:color="auto" w:fill="E1DFDD"/>
    </w:rPr>
  </w:style>
  <w:style w:type="character" w:styleId="FollowedHyperlink">
    <w:name w:val="FollowedHyperlink"/>
    <w:basedOn w:val="DefaultParagraphFont"/>
    <w:uiPriority w:val="99"/>
    <w:semiHidden/>
    <w:unhideWhenUsed/>
    <w:rsid w:val="00161E20"/>
    <w:rPr>
      <w:color w:val="96607D" w:themeColor="followedHyperlink"/>
      <w:u w:val="single"/>
    </w:rPr>
  </w:style>
  <w:style w:type="paragraph" w:styleId="NormalWeb">
    <w:name w:val="Normal (Web)"/>
    <w:basedOn w:val="Normal"/>
    <w:uiPriority w:val="99"/>
    <w:semiHidden/>
    <w:unhideWhenUsed/>
    <w:rsid w:val="00390EB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24644">
      <w:bodyDiv w:val="1"/>
      <w:marLeft w:val="0"/>
      <w:marRight w:val="0"/>
      <w:marTop w:val="0"/>
      <w:marBottom w:val="0"/>
      <w:divBdr>
        <w:top w:val="none" w:sz="0" w:space="0" w:color="auto"/>
        <w:left w:val="none" w:sz="0" w:space="0" w:color="auto"/>
        <w:bottom w:val="none" w:sz="0" w:space="0" w:color="auto"/>
        <w:right w:val="none" w:sz="0" w:space="0" w:color="auto"/>
      </w:divBdr>
    </w:div>
    <w:div w:id="267742841">
      <w:bodyDiv w:val="1"/>
      <w:marLeft w:val="0"/>
      <w:marRight w:val="0"/>
      <w:marTop w:val="0"/>
      <w:marBottom w:val="0"/>
      <w:divBdr>
        <w:top w:val="none" w:sz="0" w:space="0" w:color="auto"/>
        <w:left w:val="none" w:sz="0" w:space="0" w:color="auto"/>
        <w:bottom w:val="none" w:sz="0" w:space="0" w:color="auto"/>
        <w:right w:val="none" w:sz="0" w:space="0" w:color="auto"/>
      </w:divBdr>
    </w:div>
    <w:div w:id="435098196">
      <w:bodyDiv w:val="1"/>
      <w:marLeft w:val="0"/>
      <w:marRight w:val="0"/>
      <w:marTop w:val="0"/>
      <w:marBottom w:val="0"/>
      <w:divBdr>
        <w:top w:val="none" w:sz="0" w:space="0" w:color="auto"/>
        <w:left w:val="none" w:sz="0" w:space="0" w:color="auto"/>
        <w:bottom w:val="none" w:sz="0" w:space="0" w:color="auto"/>
        <w:right w:val="none" w:sz="0" w:space="0" w:color="auto"/>
      </w:divBdr>
    </w:div>
    <w:div w:id="744035849">
      <w:bodyDiv w:val="1"/>
      <w:marLeft w:val="0"/>
      <w:marRight w:val="0"/>
      <w:marTop w:val="0"/>
      <w:marBottom w:val="0"/>
      <w:divBdr>
        <w:top w:val="none" w:sz="0" w:space="0" w:color="auto"/>
        <w:left w:val="none" w:sz="0" w:space="0" w:color="auto"/>
        <w:bottom w:val="none" w:sz="0" w:space="0" w:color="auto"/>
        <w:right w:val="none" w:sz="0" w:space="0" w:color="auto"/>
      </w:divBdr>
    </w:div>
    <w:div w:id="771440424">
      <w:bodyDiv w:val="1"/>
      <w:marLeft w:val="0"/>
      <w:marRight w:val="0"/>
      <w:marTop w:val="0"/>
      <w:marBottom w:val="0"/>
      <w:divBdr>
        <w:top w:val="none" w:sz="0" w:space="0" w:color="auto"/>
        <w:left w:val="none" w:sz="0" w:space="0" w:color="auto"/>
        <w:bottom w:val="none" w:sz="0" w:space="0" w:color="auto"/>
        <w:right w:val="none" w:sz="0" w:space="0" w:color="auto"/>
      </w:divBdr>
    </w:div>
    <w:div w:id="1148983683">
      <w:bodyDiv w:val="1"/>
      <w:marLeft w:val="0"/>
      <w:marRight w:val="0"/>
      <w:marTop w:val="0"/>
      <w:marBottom w:val="0"/>
      <w:divBdr>
        <w:top w:val="none" w:sz="0" w:space="0" w:color="auto"/>
        <w:left w:val="none" w:sz="0" w:space="0" w:color="auto"/>
        <w:bottom w:val="none" w:sz="0" w:space="0" w:color="auto"/>
        <w:right w:val="none" w:sz="0" w:space="0" w:color="auto"/>
      </w:divBdr>
    </w:div>
    <w:div w:id="1193419249">
      <w:bodyDiv w:val="1"/>
      <w:marLeft w:val="0"/>
      <w:marRight w:val="0"/>
      <w:marTop w:val="0"/>
      <w:marBottom w:val="0"/>
      <w:divBdr>
        <w:top w:val="none" w:sz="0" w:space="0" w:color="auto"/>
        <w:left w:val="none" w:sz="0" w:space="0" w:color="auto"/>
        <w:bottom w:val="none" w:sz="0" w:space="0" w:color="auto"/>
        <w:right w:val="none" w:sz="0" w:space="0" w:color="auto"/>
      </w:divBdr>
    </w:div>
    <w:div w:id="1207645004">
      <w:bodyDiv w:val="1"/>
      <w:marLeft w:val="0"/>
      <w:marRight w:val="0"/>
      <w:marTop w:val="0"/>
      <w:marBottom w:val="0"/>
      <w:divBdr>
        <w:top w:val="none" w:sz="0" w:space="0" w:color="auto"/>
        <w:left w:val="none" w:sz="0" w:space="0" w:color="auto"/>
        <w:bottom w:val="none" w:sz="0" w:space="0" w:color="auto"/>
        <w:right w:val="none" w:sz="0" w:space="0" w:color="auto"/>
      </w:divBdr>
    </w:div>
    <w:div w:id="1400861509">
      <w:bodyDiv w:val="1"/>
      <w:marLeft w:val="0"/>
      <w:marRight w:val="0"/>
      <w:marTop w:val="0"/>
      <w:marBottom w:val="0"/>
      <w:divBdr>
        <w:top w:val="none" w:sz="0" w:space="0" w:color="auto"/>
        <w:left w:val="none" w:sz="0" w:space="0" w:color="auto"/>
        <w:bottom w:val="none" w:sz="0" w:space="0" w:color="auto"/>
        <w:right w:val="none" w:sz="0" w:space="0" w:color="auto"/>
      </w:divBdr>
    </w:div>
    <w:div w:id="1425541077">
      <w:bodyDiv w:val="1"/>
      <w:marLeft w:val="0"/>
      <w:marRight w:val="0"/>
      <w:marTop w:val="0"/>
      <w:marBottom w:val="0"/>
      <w:divBdr>
        <w:top w:val="none" w:sz="0" w:space="0" w:color="auto"/>
        <w:left w:val="none" w:sz="0" w:space="0" w:color="auto"/>
        <w:bottom w:val="none" w:sz="0" w:space="0" w:color="auto"/>
        <w:right w:val="none" w:sz="0" w:space="0" w:color="auto"/>
      </w:divBdr>
    </w:div>
    <w:div w:id="1725375190">
      <w:bodyDiv w:val="1"/>
      <w:marLeft w:val="0"/>
      <w:marRight w:val="0"/>
      <w:marTop w:val="0"/>
      <w:marBottom w:val="0"/>
      <w:divBdr>
        <w:top w:val="none" w:sz="0" w:space="0" w:color="auto"/>
        <w:left w:val="none" w:sz="0" w:space="0" w:color="auto"/>
        <w:bottom w:val="none" w:sz="0" w:space="0" w:color="auto"/>
        <w:right w:val="none" w:sz="0" w:space="0" w:color="auto"/>
      </w:divBdr>
    </w:div>
    <w:div w:id="1741639633">
      <w:bodyDiv w:val="1"/>
      <w:marLeft w:val="0"/>
      <w:marRight w:val="0"/>
      <w:marTop w:val="0"/>
      <w:marBottom w:val="0"/>
      <w:divBdr>
        <w:top w:val="none" w:sz="0" w:space="0" w:color="auto"/>
        <w:left w:val="none" w:sz="0" w:space="0" w:color="auto"/>
        <w:bottom w:val="none" w:sz="0" w:space="0" w:color="auto"/>
        <w:right w:val="none" w:sz="0" w:space="0" w:color="auto"/>
      </w:divBdr>
    </w:div>
    <w:div w:id="1888294280">
      <w:bodyDiv w:val="1"/>
      <w:marLeft w:val="0"/>
      <w:marRight w:val="0"/>
      <w:marTop w:val="0"/>
      <w:marBottom w:val="0"/>
      <w:divBdr>
        <w:top w:val="none" w:sz="0" w:space="0" w:color="auto"/>
        <w:left w:val="none" w:sz="0" w:space="0" w:color="auto"/>
        <w:bottom w:val="none" w:sz="0" w:space="0" w:color="auto"/>
        <w:right w:val="none" w:sz="0" w:space="0" w:color="auto"/>
      </w:divBdr>
    </w:div>
    <w:div w:id="1914243381">
      <w:bodyDiv w:val="1"/>
      <w:marLeft w:val="0"/>
      <w:marRight w:val="0"/>
      <w:marTop w:val="0"/>
      <w:marBottom w:val="0"/>
      <w:divBdr>
        <w:top w:val="none" w:sz="0" w:space="0" w:color="auto"/>
        <w:left w:val="none" w:sz="0" w:space="0" w:color="auto"/>
        <w:bottom w:val="none" w:sz="0" w:space="0" w:color="auto"/>
        <w:right w:val="none" w:sz="0" w:space="0" w:color="auto"/>
      </w:divBdr>
    </w:div>
    <w:div w:id="2091005138">
      <w:bodyDiv w:val="1"/>
      <w:marLeft w:val="0"/>
      <w:marRight w:val="0"/>
      <w:marTop w:val="0"/>
      <w:marBottom w:val="0"/>
      <w:divBdr>
        <w:top w:val="none" w:sz="0" w:space="0" w:color="auto"/>
        <w:left w:val="none" w:sz="0" w:space="0" w:color="auto"/>
        <w:bottom w:val="none" w:sz="0" w:space="0" w:color="auto"/>
        <w:right w:val="none" w:sz="0" w:space="0" w:color="auto"/>
      </w:divBdr>
    </w:div>
    <w:div w:id="2127383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ma.gov/sites/default/files/2020-04/CPG201Final20180525.pdf%20" TargetMode="External"/><Relationship Id="rId5" Type="http://schemas.openxmlformats.org/officeDocument/2006/relationships/hyperlink" Target="https://canvas.nau.edu/courses/48361/files/15108618?wrap=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38</cp:revision>
  <dcterms:created xsi:type="dcterms:W3CDTF">2025-11-05T22:40:00Z</dcterms:created>
  <dcterms:modified xsi:type="dcterms:W3CDTF">2025-11-17T18:55:00Z</dcterms:modified>
</cp:coreProperties>
</file>