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
        <w:gridCol w:w="9788"/>
      </w:tblGrid>
      <w:tr w:rsidR="00860B80" w:rsidRPr="003E75BA" w14:paraId="12CE4557" w14:textId="77777777" w:rsidTr="00622F1C">
        <w:tc>
          <w:tcPr>
            <w:tcW w:w="9686" w:type="dxa"/>
            <w:gridSpan w:val="2"/>
            <w:shd w:val="clear" w:color="auto" w:fill="auto"/>
          </w:tcPr>
          <w:p w14:paraId="149427F9" w14:textId="50D4B40C" w:rsidR="00860B80" w:rsidRPr="008B1B59" w:rsidRDefault="00860B80" w:rsidP="00D770CF">
            <w:pPr>
              <w:rPr>
                <w:rFonts w:ascii="Arial" w:hAnsi="Arial" w:cs="Arial"/>
                <w:b/>
                <w:color w:val="606060"/>
              </w:rPr>
            </w:pPr>
            <w:r>
              <w:rPr>
                <w:rFonts w:ascii="Arial" w:hAnsi="Arial" w:cs="Arial"/>
                <w:b/>
                <w:color w:val="606060"/>
              </w:rPr>
              <w:t>Introduction</w:t>
            </w:r>
          </w:p>
        </w:tc>
      </w:tr>
      <w:tr w:rsidR="00D770CF" w:rsidRPr="003E75BA" w14:paraId="44A8AB68" w14:textId="77777777" w:rsidTr="00622F1C">
        <w:tc>
          <w:tcPr>
            <w:tcW w:w="236" w:type="dxa"/>
            <w:shd w:val="clear" w:color="auto" w:fill="auto"/>
          </w:tcPr>
          <w:p w14:paraId="0E46D1D5" w14:textId="77777777" w:rsidR="00D770CF" w:rsidRPr="003E75BA" w:rsidRDefault="00D770CF" w:rsidP="00D770CF">
            <w:pPr>
              <w:rPr>
                <w:rFonts w:ascii="Arial" w:hAnsi="Arial" w:cs="Arial"/>
                <w:b/>
                <w:color w:val="606060"/>
              </w:rPr>
            </w:pPr>
          </w:p>
        </w:tc>
        <w:tc>
          <w:tcPr>
            <w:tcW w:w="9450" w:type="dxa"/>
            <w:shd w:val="clear" w:color="auto" w:fill="FFFF99"/>
          </w:tcPr>
          <w:p w14:paraId="0C48170B" w14:textId="65C67F2B" w:rsidR="00EB71A0" w:rsidRPr="005E658A" w:rsidRDefault="005E658A" w:rsidP="00EB71A0">
            <w:pPr>
              <w:rPr>
                <w:rFonts w:ascii="Times New Roman" w:hAnsi="Times New Roman" w:cs="Times New Roman"/>
                <w:color w:val="A6A6A6" w:themeColor="background1" w:themeShade="A6"/>
                <w:sz w:val="24"/>
                <w:szCs w:val="24"/>
              </w:rPr>
            </w:pPr>
            <w:r w:rsidRPr="005E658A">
              <w:rPr>
                <w:rFonts w:ascii="Times New Roman" w:hAnsi="Times New Roman" w:cs="Times New Roman"/>
                <w:sz w:val="24"/>
                <w:szCs w:val="24"/>
              </w:rPr>
              <w:t>The General Data Protection Regulation (GDPR), enacted by the European Union (EU) in 2018, represents a significant advancement in data protection and privacy laws. It aims to harmonize data privacy regulations across Europe, enhance individual rights, and impose stricter obligations on organizations handling personal data. For Information Technology (IT) departments, GDPR compliance necessitates substantial adjustments in data storage, cloud processing, and personnel management.</w:t>
            </w:r>
          </w:p>
        </w:tc>
      </w:tr>
      <w:tr w:rsidR="00860B80" w:rsidRPr="003E75BA" w14:paraId="5720616D" w14:textId="77777777" w:rsidTr="00622F1C">
        <w:tc>
          <w:tcPr>
            <w:tcW w:w="9686" w:type="dxa"/>
            <w:gridSpan w:val="2"/>
            <w:shd w:val="clear" w:color="auto" w:fill="auto"/>
          </w:tcPr>
          <w:p w14:paraId="2F86881C" w14:textId="691402BA" w:rsidR="00860B80" w:rsidRPr="008B1B59" w:rsidRDefault="00E54A38" w:rsidP="00D770CF">
            <w:pPr>
              <w:rPr>
                <w:rFonts w:ascii="Arial" w:hAnsi="Arial" w:cs="Arial"/>
                <w:b/>
                <w:color w:val="606060"/>
              </w:rPr>
            </w:pPr>
            <w:r>
              <w:rPr>
                <w:rFonts w:ascii="Arial" w:hAnsi="Arial" w:cs="Arial"/>
                <w:b/>
                <w:color w:val="606060"/>
              </w:rPr>
              <w:t>Regulation and Requirements of GDPR</w:t>
            </w:r>
          </w:p>
        </w:tc>
      </w:tr>
      <w:tr w:rsidR="00D770CF" w:rsidRPr="003E75BA" w14:paraId="459406D6" w14:textId="77777777" w:rsidTr="00622F1C">
        <w:tc>
          <w:tcPr>
            <w:tcW w:w="236" w:type="dxa"/>
            <w:shd w:val="clear" w:color="auto" w:fill="auto"/>
          </w:tcPr>
          <w:p w14:paraId="104688D6" w14:textId="3FDA9508" w:rsidR="00D770CF" w:rsidRPr="003E75BA" w:rsidRDefault="00D770CF" w:rsidP="00D770CF">
            <w:pPr>
              <w:rPr>
                <w:rFonts w:ascii="Arial" w:hAnsi="Arial" w:cs="Arial"/>
                <w:b/>
                <w:color w:val="606060"/>
              </w:rPr>
            </w:pPr>
          </w:p>
        </w:tc>
        <w:tc>
          <w:tcPr>
            <w:tcW w:w="9450" w:type="dxa"/>
            <w:shd w:val="clear" w:color="auto" w:fill="FFFF99"/>
          </w:tcPr>
          <w:p w14:paraId="0FCB652A" w14:textId="77777777" w:rsidR="005E658A" w:rsidRPr="005E658A" w:rsidRDefault="005E658A" w:rsidP="005E658A">
            <w:pPr>
              <w:rPr>
                <w:rFonts w:ascii="Times New Roman" w:hAnsi="Times New Roman" w:cs="Times New Roman"/>
                <w:sz w:val="24"/>
                <w:szCs w:val="24"/>
              </w:rPr>
            </w:pPr>
            <w:r w:rsidRPr="005E658A">
              <w:rPr>
                <w:rFonts w:ascii="Times New Roman" w:hAnsi="Times New Roman" w:cs="Times New Roman"/>
                <w:sz w:val="24"/>
                <w:szCs w:val="24"/>
              </w:rPr>
              <w:t>GDPR establishes comprehensive guidelines for the collection, storage, processing, and transfer of personal data. Key requirements include:</w:t>
            </w:r>
          </w:p>
          <w:p w14:paraId="08F4AF4A" w14:textId="0B2762BA" w:rsidR="005E658A" w:rsidRPr="005E658A" w:rsidRDefault="005E658A" w:rsidP="005E658A">
            <w:pPr>
              <w:pStyle w:val="ListParagraph"/>
              <w:numPr>
                <w:ilvl w:val="0"/>
                <w:numId w:val="15"/>
              </w:numPr>
              <w:spacing w:before="240"/>
              <w:rPr>
                <w:rFonts w:ascii="Times New Roman" w:hAnsi="Times New Roman" w:cs="Times New Roman"/>
                <w:sz w:val="24"/>
                <w:szCs w:val="24"/>
              </w:rPr>
            </w:pPr>
            <w:r w:rsidRPr="005E658A">
              <w:rPr>
                <w:rFonts w:ascii="Times New Roman" w:hAnsi="Times New Roman" w:cs="Times New Roman"/>
                <w:b/>
                <w:bCs/>
                <w:sz w:val="24"/>
                <w:szCs w:val="24"/>
              </w:rPr>
              <w:t>Lawful, Fair, and Transparent Processing</w:t>
            </w:r>
            <w:r w:rsidRPr="005E658A">
              <w:rPr>
                <w:rFonts w:ascii="Times New Roman" w:hAnsi="Times New Roman" w:cs="Times New Roman"/>
                <w:sz w:val="24"/>
                <w:szCs w:val="24"/>
              </w:rPr>
              <w:t>: Organizations must process personal data lawfully, fairly, and transparently, ensuring individuals are informed about how their data is used (GDPR.eu).</w:t>
            </w:r>
          </w:p>
          <w:p w14:paraId="2DF551BF" w14:textId="0688904E" w:rsidR="005E658A" w:rsidRPr="005E658A" w:rsidRDefault="005E658A" w:rsidP="005E658A">
            <w:pPr>
              <w:pStyle w:val="ListParagraph"/>
              <w:numPr>
                <w:ilvl w:val="0"/>
                <w:numId w:val="15"/>
              </w:numPr>
              <w:spacing w:before="240"/>
              <w:rPr>
                <w:rFonts w:ascii="Times New Roman" w:hAnsi="Times New Roman" w:cs="Times New Roman"/>
                <w:sz w:val="24"/>
                <w:szCs w:val="24"/>
              </w:rPr>
            </w:pPr>
            <w:r w:rsidRPr="005E658A">
              <w:rPr>
                <w:rFonts w:ascii="Times New Roman" w:hAnsi="Times New Roman" w:cs="Times New Roman"/>
                <w:b/>
                <w:bCs/>
                <w:sz w:val="24"/>
                <w:szCs w:val="24"/>
              </w:rPr>
              <w:t>Purpose Limitation</w:t>
            </w:r>
            <w:r w:rsidRPr="005E658A">
              <w:rPr>
                <w:rFonts w:ascii="Times New Roman" w:hAnsi="Times New Roman" w:cs="Times New Roman"/>
                <w:sz w:val="24"/>
                <w:szCs w:val="24"/>
              </w:rPr>
              <w:t>: Data should be collected for specified, legitimate purposes and not further processed in a manner incompatible with those purposes (GDPR.eu).</w:t>
            </w:r>
          </w:p>
          <w:p w14:paraId="374DD824" w14:textId="61B7535D" w:rsidR="005E658A" w:rsidRPr="005E658A" w:rsidRDefault="005E658A" w:rsidP="005E658A">
            <w:pPr>
              <w:pStyle w:val="ListParagraph"/>
              <w:numPr>
                <w:ilvl w:val="0"/>
                <w:numId w:val="15"/>
              </w:numPr>
              <w:spacing w:before="240"/>
              <w:rPr>
                <w:rFonts w:ascii="Times New Roman" w:hAnsi="Times New Roman" w:cs="Times New Roman"/>
                <w:sz w:val="24"/>
                <w:szCs w:val="24"/>
              </w:rPr>
            </w:pPr>
            <w:r w:rsidRPr="005E658A">
              <w:rPr>
                <w:rFonts w:ascii="Times New Roman" w:hAnsi="Times New Roman" w:cs="Times New Roman"/>
                <w:b/>
                <w:bCs/>
                <w:sz w:val="24"/>
                <w:szCs w:val="24"/>
              </w:rPr>
              <w:t>Data Minimization</w:t>
            </w:r>
            <w:r w:rsidRPr="005E658A">
              <w:rPr>
                <w:rFonts w:ascii="Times New Roman" w:hAnsi="Times New Roman" w:cs="Times New Roman"/>
                <w:sz w:val="24"/>
                <w:szCs w:val="24"/>
              </w:rPr>
              <w:t>: Only data necessary for the intended purpose should be collected and processed (GDPR.eu).</w:t>
            </w:r>
          </w:p>
          <w:p w14:paraId="4069A90E" w14:textId="1264BCC7" w:rsidR="005E658A" w:rsidRPr="005E658A" w:rsidRDefault="005E658A" w:rsidP="005E658A">
            <w:pPr>
              <w:pStyle w:val="ListParagraph"/>
              <w:numPr>
                <w:ilvl w:val="0"/>
                <w:numId w:val="15"/>
              </w:numPr>
              <w:spacing w:before="240"/>
              <w:rPr>
                <w:rFonts w:ascii="Times New Roman" w:hAnsi="Times New Roman" w:cs="Times New Roman"/>
                <w:sz w:val="24"/>
                <w:szCs w:val="24"/>
              </w:rPr>
            </w:pPr>
            <w:r w:rsidRPr="005E658A">
              <w:rPr>
                <w:rFonts w:ascii="Times New Roman" w:hAnsi="Times New Roman" w:cs="Times New Roman"/>
                <w:b/>
                <w:bCs/>
                <w:sz w:val="24"/>
                <w:szCs w:val="24"/>
              </w:rPr>
              <w:t>Accuracy</w:t>
            </w:r>
            <w:r w:rsidRPr="005E658A">
              <w:rPr>
                <w:rFonts w:ascii="Times New Roman" w:hAnsi="Times New Roman" w:cs="Times New Roman"/>
                <w:sz w:val="24"/>
                <w:szCs w:val="24"/>
              </w:rPr>
              <w:t>: Organizations must ensure that personal data is accurate and kept up to date (GDPR.eu).</w:t>
            </w:r>
          </w:p>
          <w:p w14:paraId="30875EF8" w14:textId="3D0F595A" w:rsidR="005E658A" w:rsidRPr="005E658A" w:rsidRDefault="005E658A" w:rsidP="005E658A">
            <w:pPr>
              <w:pStyle w:val="ListParagraph"/>
              <w:numPr>
                <w:ilvl w:val="0"/>
                <w:numId w:val="15"/>
              </w:numPr>
              <w:spacing w:before="240"/>
              <w:rPr>
                <w:rFonts w:ascii="Times New Roman" w:hAnsi="Times New Roman" w:cs="Times New Roman"/>
                <w:sz w:val="24"/>
                <w:szCs w:val="24"/>
              </w:rPr>
            </w:pPr>
            <w:r w:rsidRPr="005E658A">
              <w:rPr>
                <w:rFonts w:ascii="Times New Roman" w:hAnsi="Times New Roman" w:cs="Times New Roman"/>
                <w:b/>
                <w:bCs/>
                <w:sz w:val="24"/>
                <w:szCs w:val="24"/>
              </w:rPr>
              <w:t>Storage Limitation</w:t>
            </w:r>
            <w:r w:rsidRPr="005E658A">
              <w:rPr>
                <w:rFonts w:ascii="Times New Roman" w:hAnsi="Times New Roman" w:cs="Times New Roman"/>
                <w:sz w:val="24"/>
                <w:szCs w:val="24"/>
              </w:rPr>
              <w:t>: Personal data should be kept in a form that permits identification of data subjects for no longer than necessary (GDPR.eu).</w:t>
            </w:r>
          </w:p>
          <w:p w14:paraId="5453249D" w14:textId="4FA4403C" w:rsidR="005E658A" w:rsidRPr="005E658A" w:rsidRDefault="005E658A" w:rsidP="005E658A">
            <w:pPr>
              <w:pStyle w:val="ListParagraph"/>
              <w:numPr>
                <w:ilvl w:val="0"/>
                <w:numId w:val="15"/>
              </w:numPr>
              <w:spacing w:before="240"/>
              <w:rPr>
                <w:rFonts w:ascii="Times New Roman" w:hAnsi="Times New Roman" w:cs="Times New Roman"/>
                <w:sz w:val="24"/>
                <w:szCs w:val="24"/>
              </w:rPr>
            </w:pPr>
            <w:r w:rsidRPr="005E658A">
              <w:rPr>
                <w:rFonts w:ascii="Times New Roman" w:hAnsi="Times New Roman" w:cs="Times New Roman"/>
                <w:b/>
                <w:bCs/>
                <w:sz w:val="24"/>
                <w:szCs w:val="24"/>
              </w:rPr>
              <w:t>Integrity and Confidentiality</w:t>
            </w:r>
            <w:r w:rsidRPr="005E658A">
              <w:rPr>
                <w:rFonts w:ascii="Times New Roman" w:hAnsi="Times New Roman" w:cs="Times New Roman"/>
                <w:sz w:val="24"/>
                <w:szCs w:val="24"/>
              </w:rPr>
              <w:t>: Appropriate technical and organizational measures must be in place to ensure data security (GDPR.eu).</w:t>
            </w:r>
          </w:p>
          <w:p w14:paraId="1F499C3C" w14:textId="77777777" w:rsidR="00EB71A0" w:rsidRPr="005E658A" w:rsidRDefault="005E658A" w:rsidP="00E54A38">
            <w:pPr>
              <w:pStyle w:val="ListParagraph"/>
              <w:numPr>
                <w:ilvl w:val="0"/>
                <w:numId w:val="15"/>
              </w:numPr>
              <w:spacing w:before="240"/>
              <w:rPr>
                <w:rFonts w:ascii="Times New Roman" w:hAnsi="Times New Roman" w:cs="Times New Roman"/>
                <w:sz w:val="24"/>
                <w:szCs w:val="24"/>
              </w:rPr>
            </w:pPr>
            <w:r w:rsidRPr="005E658A">
              <w:rPr>
                <w:rFonts w:ascii="Times New Roman" w:hAnsi="Times New Roman" w:cs="Times New Roman"/>
                <w:b/>
                <w:bCs/>
                <w:sz w:val="24"/>
                <w:szCs w:val="24"/>
              </w:rPr>
              <w:t>Accountability</w:t>
            </w:r>
            <w:r w:rsidRPr="005E658A">
              <w:rPr>
                <w:rFonts w:ascii="Times New Roman" w:hAnsi="Times New Roman" w:cs="Times New Roman"/>
                <w:sz w:val="24"/>
                <w:szCs w:val="24"/>
              </w:rPr>
              <w:t>: Organizations are responsible for demonstrating compliance with GDPR principles (GDPR.eu).</w:t>
            </w:r>
          </w:p>
          <w:p w14:paraId="631F5F33" w14:textId="3F1D45FB" w:rsidR="005E658A" w:rsidRPr="005E658A" w:rsidRDefault="005E658A" w:rsidP="005E658A">
            <w:pPr>
              <w:pStyle w:val="ListParagraph"/>
              <w:spacing w:before="240"/>
              <w:rPr>
                <w:rFonts w:ascii="Times New Roman" w:hAnsi="Times New Roman" w:cs="Times New Roman"/>
                <w:color w:val="A6A6A6" w:themeColor="background1" w:themeShade="A6"/>
                <w:sz w:val="24"/>
                <w:szCs w:val="24"/>
              </w:rPr>
            </w:pPr>
          </w:p>
        </w:tc>
      </w:tr>
      <w:tr w:rsidR="00860B80" w:rsidRPr="003E75BA" w14:paraId="50E23784" w14:textId="77777777" w:rsidTr="00622F1C">
        <w:tc>
          <w:tcPr>
            <w:tcW w:w="9686" w:type="dxa"/>
            <w:gridSpan w:val="2"/>
            <w:shd w:val="clear" w:color="auto" w:fill="auto"/>
          </w:tcPr>
          <w:p w14:paraId="4095E0EA" w14:textId="4548F7BA" w:rsidR="00860B80" w:rsidRPr="008B1B59" w:rsidRDefault="00E54A38" w:rsidP="00EB71A0">
            <w:pPr>
              <w:rPr>
                <w:rFonts w:ascii="Arial" w:hAnsi="Arial" w:cs="Arial"/>
                <w:b/>
                <w:color w:val="606060"/>
              </w:rPr>
            </w:pPr>
            <w:r>
              <w:rPr>
                <w:rFonts w:ascii="Arial" w:hAnsi="Arial" w:cs="Arial"/>
                <w:b/>
                <w:color w:val="606060"/>
              </w:rPr>
              <w:t>Identify &amp; Explain 5 impacts of IT to become/remain compliant with GDPR</w:t>
            </w:r>
          </w:p>
        </w:tc>
      </w:tr>
      <w:tr w:rsidR="003949A2" w:rsidRPr="003E75BA" w14:paraId="469EB3EB" w14:textId="77777777" w:rsidTr="00622F1C">
        <w:tc>
          <w:tcPr>
            <w:tcW w:w="236" w:type="dxa"/>
            <w:shd w:val="clear" w:color="auto" w:fill="auto"/>
          </w:tcPr>
          <w:p w14:paraId="714F7FB4" w14:textId="70F1282E" w:rsidR="003949A2" w:rsidRPr="003E75BA" w:rsidRDefault="003949A2" w:rsidP="003949A2">
            <w:pPr>
              <w:rPr>
                <w:rFonts w:ascii="Arial" w:hAnsi="Arial" w:cs="Arial"/>
                <w:b/>
                <w:color w:val="606060"/>
              </w:rPr>
            </w:pPr>
          </w:p>
        </w:tc>
        <w:tc>
          <w:tcPr>
            <w:tcW w:w="9450" w:type="dxa"/>
            <w:shd w:val="clear" w:color="auto" w:fill="FFFF99"/>
          </w:tcPr>
          <w:p w14:paraId="4D07C2BE" w14:textId="2170540A" w:rsidR="005E658A" w:rsidRPr="005E658A" w:rsidRDefault="005E658A" w:rsidP="005E658A">
            <w:pPr>
              <w:pStyle w:val="ListParagraph"/>
              <w:numPr>
                <w:ilvl w:val="0"/>
                <w:numId w:val="16"/>
              </w:numPr>
              <w:rPr>
                <w:rFonts w:ascii="Times New Roman" w:hAnsi="Times New Roman" w:cs="Times New Roman"/>
                <w:sz w:val="24"/>
                <w:szCs w:val="24"/>
              </w:rPr>
            </w:pPr>
            <w:r w:rsidRPr="00AC1223">
              <w:rPr>
                <w:rFonts w:ascii="Times New Roman" w:hAnsi="Times New Roman" w:cs="Times New Roman"/>
                <w:b/>
                <w:bCs/>
                <w:sz w:val="24"/>
                <w:szCs w:val="24"/>
              </w:rPr>
              <w:t>Enhanced Data Security Measures</w:t>
            </w:r>
            <w:r w:rsidRPr="005E658A">
              <w:rPr>
                <w:rFonts w:ascii="Times New Roman" w:hAnsi="Times New Roman" w:cs="Times New Roman"/>
                <w:sz w:val="24"/>
                <w:szCs w:val="24"/>
              </w:rPr>
              <w:t>: GDPR mandates robust security protocols to protect personal data. IT departments must implement advanced encryption, access controls, and regular security audits to prevent unauthorized access and data breaches (IT Governance, 2023).</w:t>
            </w:r>
          </w:p>
          <w:p w14:paraId="31135809" w14:textId="77777777" w:rsidR="005E658A" w:rsidRPr="005E658A" w:rsidRDefault="005E658A" w:rsidP="005E658A">
            <w:pPr>
              <w:pStyle w:val="ListParagraph"/>
              <w:rPr>
                <w:rFonts w:ascii="Times New Roman" w:hAnsi="Times New Roman" w:cs="Times New Roman"/>
                <w:sz w:val="24"/>
                <w:szCs w:val="24"/>
              </w:rPr>
            </w:pPr>
          </w:p>
          <w:p w14:paraId="3DC6DD59" w14:textId="1781C9D9" w:rsidR="005E658A" w:rsidRPr="005E658A" w:rsidRDefault="005E658A" w:rsidP="005E658A">
            <w:pPr>
              <w:pStyle w:val="ListParagraph"/>
              <w:numPr>
                <w:ilvl w:val="0"/>
                <w:numId w:val="16"/>
              </w:numPr>
              <w:rPr>
                <w:rFonts w:ascii="Times New Roman" w:hAnsi="Times New Roman" w:cs="Times New Roman"/>
                <w:sz w:val="24"/>
                <w:szCs w:val="24"/>
              </w:rPr>
            </w:pPr>
            <w:r w:rsidRPr="00AC1223">
              <w:rPr>
                <w:rFonts w:ascii="Times New Roman" w:hAnsi="Times New Roman" w:cs="Times New Roman"/>
                <w:b/>
                <w:bCs/>
                <w:sz w:val="24"/>
                <w:szCs w:val="24"/>
              </w:rPr>
              <w:t>Data Minimization and Retention Policies</w:t>
            </w:r>
            <w:r w:rsidRPr="005E658A">
              <w:rPr>
                <w:rFonts w:ascii="Times New Roman" w:hAnsi="Times New Roman" w:cs="Times New Roman"/>
                <w:sz w:val="24"/>
                <w:szCs w:val="24"/>
              </w:rPr>
              <w:t>: Organizations are required to collect only necessary data and retain it for no longer than needed. IT systems must be configured to support data minimization and facilitate the secure deletion of data once it is no longer required (Deloitte, 2023).</w:t>
            </w:r>
          </w:p>
          <w:p w14:paraId="00364267" w14:textId="77777777" w:rsidR="005E658A" w:rsidRPr="005E658A" w:rsidRDefault="005E658A" w:rsidP="005E658A">
            <w:pPr>
              <w:rPr>
                <w:rFonts w:ascii="Times New Roman" w:hAnsi="Times New Roman" w:cs="Times New Roman"/>
                <w:sz w:val="24"/>
                <w:szCs w:val="24"/>
              </w:rPr>
            </w:pPr>
          </w:p>
          <w:p w14:paraId="11266F82" w14:textId="75690BA6" w:rsidR="005E658A" w:rsidRPr="005E658A" w:rsidRDefault="005E658A" w:rsidP="005E658A">
            <w:pPr>
              <w:pStyle w:val="ListParagraph"/>
              <w:numPr>
                <w:ilvl w:val="0"/>
                <w:numId w:val="16"/>
              </w:numPr>
              <w:rPr>
                <w:rFonts w:ascii="Times New Roman" w:hAnsi="Times New Roman" w:cs="Times New Roman"/>
                <w:sz w:val="24"/>
                <w:szCs w:val="24"/>
              </w:rPr>
            </w:pPr>
            <w:r w:rsidRPr="00AC1223">
              <w:rPr>
                <w:rFonts w:ascii="Times New Roman" w:hAnsi="Times New Roman" w:cs="Times New Roman"/>
                <w:b/>
                <w:bCs/>
                <w:sz w:val="24"/>
                <w:szCs w:val="24"/>
              </w:rPr>
              <w:t>Data Subject Rights Management</w:t>
            </w:r>
            <w:r w:rsidRPr="005E658A">
              <w:rPr>
                <w:rFonts w:ascii="Times New Roman" w:hAnsi="Times New Roman" w:cs="Times New Roman"/>
                <w:sz w:val="24"/>
                <w:szCs w:val="24"/>
              </w:rPr>
              <w:t>: GDPR grants individuals rights such as access, rectification, and erasure of their data. IT systems must be capable of efficiently processing requests related to these rights, including data retrieval and deletion (IT Governance, 2023).</w:t>
            </w:r>
          </w:p>
          <w:p w14:paraId="6399D2A1" w14:textId="77777777" w:rsidR="005E658A" w:rsidRPr="005E658A" w:rsidRDefault="005E658A" w:rsidP="005E658A">
            <w:pPr>
              <w:rPr>
                <w:rFonts w:ascii="Times New Roman" w:hAnsi="Times New Roman" w:cs="Times New Roman"/>
                <w:sz w:val="24"/>
                <w:szCs w:val="24"/>
              </w:rPr>
            </w:pPr>
          </w:p>
          <w:p w14:paraId="0A908F58" w14:textId="62EAC06F" w:rsidR="005E658A" w:rsidRPr="005E658A" w:rsidRDefault="005E658A" w:rsidP="005E658A">
            <w:pPr>
              <w:pStyle w:val="ListParagraph"/>
              <w:numPr>
                <w:ilvl w:val="0"/>
                <w:numId w:val="16"/>
              </w:numPr>
              <w:rPr>
                <w:rFonts w:ascii="Times New Roman" w:hAnsi="Times New Roman" w:cs="Times New Roman"/>
                <w:sz w:val="24"/>
                <w:szCs w:val="24"/>
              </w:rPr>
            </w:pPr>
            <w:r w:rsidRPr="00AC1223">
              <w:rPr>
                <w:rFonts w:ascii="Times New Roman" w:hAnsi="Times New Roman" w:cs="Times New Roman"/>
                <w:b/>
                <w:bCs/>
                <w:sz w:val="24"/>
                <w:szCs w:val="24"/>
              </w:rPr>
              <w:t>Third-Party Vendor Management</w:t>
            </w:r>
            <w:r w:rsidRPr="005E658A">
              <w:rPr>
                <w:rFonts w:ascii="Times New Roman" w:hAnsi="Times New Roman" w:cs="Times New Roman"/>
                <w:sz w:val="24"/>
                <w:szCs w:val="24"/>
              </w:rPr>
              <w:t xml:space="preserve">: When utilizing cloud services or other third-party processors, organizations must ensure these vendors comply with GDPR. IT departments </w:t>
            </w:r>
            <w:r w:rsidRPr="005E658A">
              <w:rPr>
                <w:rFonts w:ascii="Times New Roman" w:hAnsi="Times New Roman" w:cs="Times New Roman"/>
                <w:sz w:val="24"/>
                <w:szCs w:val="24"/>
              </w:rPr>
              <w:lastRenderedPageBreak/>
              <w:t>need to conduct thorough due diligence and establish clear data processing agreements to maintain compliance (GDPR Advisor).</w:t>
            </w:r>
          </w:p>
          <w:p w14:paraId="5A7CE589" w14:textId="77777777" w:rsidR="005E658A" w:rsidRPr="005E658A" w:rsidRDefault="005E658A" w:rsidP="005E658A">
            <w:pPr>
              <w:rPr>
                <w:rFonts w:ascii="Times New Roman" w:hAnsi="Times New Roman" w:cs="Times New Roman"/>
                <w:sz w:val="24"/>
                <w:szCs w:val="24"/>
              </w:rPr>
            </w:pPr>
          </w:p>
          <w:p w14:paraId="777E62BC" w14:textId="60AB51BA" w:rsidR="00F15738" w:rsidRPr="005E658A" w:rsidRDefault="005E658A" w:rsidP="003949A2">
            <w:pPr>
              <w:pStyle w:val="ListParagraph"/>
              <w:numPr>
                <w:ilvl w:val="0"/>
                <w:numId w:val="16"/>
              </w:numPr>
              <w:rPr>
                <w:rFonts w:ascii="Times New Roman" w:hAnsi="Times New Roman" w:cs="Times New Roman"/>
                <w:sz w:val="24"/>
                <w:szCs w:val="24"/>
              </w:rPr>
            </w:pPr>
            <w:r w:rsidRPr="00AC1223">
              <w:rPr>
                <w:rFonts w:ascii="Times New Roman" w:hAnsi="Times New Roman" w:cs="Times New Roman"/>
                <w:b/>
                <w:bCs/>
                <w:sz w:val="24"/>
                <w:szCs w:val="24"/>
              </w:rPr>
              <w:t>Data Protection Impact Assessments (DPIAs):</w:t>
            </w:r>
            <w:r w:rsidRPr="005E658A">
              <w:rPr>
                <w:rFonts w:ascii="Times New Roman" w:hAnsi="Times New Roman" w:cs="Times New Roman"/>
                <w:sz w:val="24"/>
                <w:szCs w:val="24"/>
              </w:rPr>
              <w:t xml:space="preserve"> For processing activities that may impact data subjects' rights and freedoms, GDPR requires conducting DPIAs. IT departments must integrate DPIAs into their project management processes to assess and mitigate privacy risks (IT Governance, 2023).</w:t>
            </w:r>
          </w:p>
        </w:tc>
      </w:tr>
      <w:tr w:rsidR="00860B80" w:rsidRPr="003E75BA" w14:paraId="3E839E1A" w14:textId="77777777" w:rsidTr="00622F1C">
        <w:tc>
          <w:tcPr>
            <w:tcW w:w="236" w:type="dxa"/>
            <w:shd w:val="clear" w:color="auto" w:fill="auto"/>
          </w:tcPr>
          <w:p w14:paraId="0BCAFE93" w14:textId="77777777" w:rsidR="00860B80" w:rsidRPr="003E75BA" w:rsidRDefault="00860B80" w:rsidP="009E3637">
            <w:pPr>
              <w:rPr>
                <w:rFonts w:ascii="Arial" w:hAnsi="Arial" w:cs="Arial"/>
                <w:b/>
                <w:color w:val="606060"/>
              </w:rPr>
            </w:pPr>
          </w:p>
        </w:tc>
        <w:tc>
          <w:tcPr>
            <w:tcW w:w="9450" w:type="dxa"/>
            <w:shd w:val="clear" w:color="auto" w:fill="FFFF99"/>
          </w:tcPr>
          <w:p w14:paraId="0594F4E5" w14:textId="77777777" w:rsidR="00860B80" w:rsidRPr="003E75BA" w:rsidRDefault="00860B80" w:rsidP="009E3637">
            <w:pPr>
              <w:rPr>
                <w:rFonts w:ascii="Arial" w:hAnsi="Arial" w:cs="Arial"/>
                <w:b/>
                <w:color w:val="606060"/>
              </w:rPr>
            </w:pPr>
          </w:p>
        </w:tc>
      </w:tr>
      <w:tr w:rsidR="00860B80" w:rsidRPr="003E75BA" w14:paraId="7CAA6A25" w14:textId="77777777" w:rsidTr="00622F1C">
        <w:tc>
          <w:tcPr>
            <w:tcW w:w="9686" w:type="dxa"/>
            <w:gridSpan w:val="2"/>
            <w:shd w:val="clear" w:color="auto" w:fill="auto"/>
          </w:tcPr>
          <w:p w14:paraId="70ECBE2F" w14:textId="1A564A7A" w:rsidR="00E54A38" w:rsidRDefault="00E54A38" w:rsidP="009E3637">
            <w:pPr>
              <w:rPr>
                <w:rFonts w:ascii="Arial" w:hAnsi="Arial" w:cs="Arial"/>
                <w:b/>
                <w:color w:val="606060"/>
              </w:rPr>
            </w:pPr>
            <w:r>
              <w:rPr>
                <w:rFonts w:ascii="Arial" w:hAnsi="Arial" w:cs="Arial"/>
                <w:b/>
                <w:color w:val="606060"/>
              </w:rPr>
              <w:t>Major IT resources of data storage, cloud processing</w:t>
            </w:r>
            <w:r w:rsidR="004F2622">
              <w:rPr>
                <w:rFonts w:ascii="Arial" w:hAnsi="Arial" w:cs="Arial"/>
                <w:b/>
                <w:color w:val="606060"/>
              </w:rPr>
              <w:t>,</w:t>
            </w:r>
            <w:r>
              <w:rPr>
                <w:rFonts w:ascii="Arial" w:hAnsi="Arial" w:cs="Arial"/>
                <w:b/>
                <w:color w:val="606060"/>
              </w:rPr>
              <w:t xml:space="preserve"> and people resources</w:t>
            </w:r>
          </w:p>
          <w:tbl>
            <w:tblPr>
              <w:tblStyle w:val="TableGrid"/>
              <w:tblW w:w="98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
              <w:gridCol w:w="9625"/>
            </w:tblGrid>
            <w:tr w:rsidR="005E658A" w:rsidRPr="003E75BA" w14:paraId="5463FD43" w14:textId="77777777" w:rsidTr="005E658A">
              <w:trPr>
                <w:trHeight w:val="1177"/>
              </w:trPr>
              <w:tc>
                <w:tcPr>
                  <w:tcW w:w="240" w:type="dxa"/>
                  <w:shd w:val="clear" w:color="auto" w:fill="auto"/>
                </w:tcPr>
                <w:p w14:paraId="251390E5" w14:textId="77777777" w:rsidR="005E658A" w:rsidRPr="001D744F" w:rsidRDefault="005E658A" w:rsidP="005E658A">
                  <w:pPr>
                    <w:rPr>
                      <w:rFonts w:ascii="Arial" w:hAnsi="Arial" w:cs="Arial"/>
                      <w:b/>
                    </w:rPr>
                  </w:pPr>
                </w:p>
              </w:tc>
              <w:tc>
                <w:tcPr>
                  <w:tcW w:w="9625" w:type="dxa"/>
                  <w:shd w:val="clear" w:color="auto" w:fill="FFFF99"/>
                </w:tcPr>
                <w:p w14:paraId="1314F582" w14:textId="0BEAAD07" w:rsidR="005E658A" w:rsidRPr="00316B1B" w:rsidRDefault="005E658A" w:rsidP="005E658A">
                  <w:pPr>
                    <w:pStyle w:val="ListParagraph"/>
                    <w:numPr>
                      <w:ilvl w:val="0"/>
                      <w:numId w:val="15"/>
                    </w:numPr>
                    <w:rPr>
                      <w:rFonts w:ascii="Times New Roman" w:hAnsi="Times New Roman" w:cs="Times New Roman"/>
                      <w:sz w:val="24"/>
                      <w:szCs w:val="24"/>
                    </w:rPr>
                  </w:pPr>
                  <w:r w:rsidRPr="00316B1B">
                    <w:rPr>
                      <w:rFonts w:ascii="Times New Roman" w:hAnsi="Times New Roman" w:cs="Times New Roman"/>
                      <w:b/>
                      <w:bCs/>
                      <w:sz w:val="24"/>
                      <w:szCs w:val="24"/>
                    </w:rPr>
                    <w:t>Data Storage</w:t>
                  </w:r>
                  <w:r w:rsidRPr="00316B1B">
                    <w:rPr>
                      <w:rFonts w:ascii="Times New Roman" w:hAnsi="Times New Roman" w:cs="Times New Roman"/>
                      <w:sz w:val="24"/>
                      <w:szCs w:val="24"/>
                    </w:rPr>
                    <w:t>: GDPR compliance necessitates secure data storage solutions that support data encryption, access controls, and the ability to delete data upon request. Organizations may need to invest in advanced storage technologies and ensure that data storage practices align with GDPR requirements (TechTarget, 2023).</w:t>
                  </w:r>
                </w:p>
                <w:p w14:paraId="261B2DC2" w14:textId="4D0E2F1D" w:rsidR="005E658A" w:rsidRPr="00316B1B" w:rsidRDefault="005E658A" w:rsidP="005E658A">
                  <w:pPr>
                    <w:pStyle w:val="ListParagraph"/>
                    <w:numPr>
                      <w:ilvl w:val="0"/>
                      <w:numId w:val="15"/>
                    </w:numPr>
                    <w:rPr>
                      <w:rFonts w:ascii="Times New Roman" w:hAnsi="Times New Roman" w:cs="Times New Roman"/>
                      <w:sz w:val="24"/>
                      <w:szCs w:val="24"/>
                    </w:rPr>
                  </w:pPr>
                  <w:r w:rsidRPr="00316B1B">
                    <w:rPr>
                      <w:rFonts w:ascii="Times New Roman" w:hAnsi="Times New Roman" w:cs="Times New Roman"/>
                      <w:b/>
                      <w:bCs/>
                      <w:sz w:val="24"/>
                      <w:szCs w:val="24"/>
                    </w:rPr>
                    <w:t>Cloud Processing</w:t>
                  </w:r>
                  <w:r w:rsidRPr="00316B1B">
                    <w:rPr>
                      <w:rFonts w:ascii="Times New Roman" w:hAnsi="Times New Roman" w:cs="Times New Roman"/>
                      <w:sz w:val="24"/>
                      <w:szCs w:val="24"/>
                    </w:rPr>
                    <w:t>: Utilizing cloud services requires careful selection of providers that adhere to GDPR standards. IT departments must assess cloud vendors' compliance, implement appropriate data protection measures, and ensure that data processing agreements are in place (</w:t>
                  </w:r>
                  <w:proofErr w:type="spellStart"/>
                  <w:r w:rsidRPr="00316B1B">
                    <w:rPr>
                      <w:rFonts w:ascii="Times New Roman" w:hAnsi="Times New Roman" w:cs="Times New Roman"/>
                      <w:sz w:val="24"/>
                      <w:szCs w:val="24"/>
                    </w:rPr>
                    <w:t>Sysdig</w:t>
                  </w:r>
                  <w:proofErr w:type="spellEnd"/>
                  <w:r w:rsidRPr="00316B1B">
                    <w:rPr>
                      <w:rFonts w:ascii="Times New Roman" w:hAnsi="Times New Roman" w:cs="Times New Roman"/>
                      <w:sz w:val="24"/>
                      <w:szCs w:val="24"/>
                    </w:rPr>
                    <w:t>).</w:t>
                  </w:r>
                </w:p>
                <w:p w14:paraId="7BB7216C" w14:textId="3B8644B2" w:rsidR="005E658A" w:rsidRPr="00316B1B" w:rsidRDefault="005E658A" w:rsidP="005E658A">
                  <w:pPr>
                    <w:pStyle w:val="ListParagraph"/>
                    <w:numPr>
                      <w:ilvl w:val="0"/>
                      <w:numId w:val="15"/>
                    </w:numPr>
                    <w:rPr>
                      <w:rFonts w:ascii="Times New Roman" w:hAnsi="Times New Roman" w:cs="Times New Roman"/>
                      <w:sz w:val="24"/>
                      <w:szCs w:val="24"/>
                    </w:rPr>
                  </w:pPr>
                  <w:r w:rsidRPr="00316B1B">
                    <w:rPr>
                      <w:rFonts w:ascii="Times New Roman" w:hAnsi="Times New Roman" w:cs="Times New Roman"/>
                      <w:b/>
                      <w:bCs/>
                      <w:sz w:val="24"/>
                      <w:szCs w:val="24"/>
                    </w:rPr>
                    <w:t>People Resources</w:t>
                  </w:r>
                  <w:r w:rsidRPr="00316B1B">
                    <w:rPr>
                      <w:rFonts w:ascii="Times New Roman" w:hAnsi="Times New Roman" w:cs="Times New Roman"/>
                      <w:sz w:val="24"/>
                      <w:szCs w:val="24"/>
                    </w:rPr>
                    <w:t>: GDPR compliance demands skilled personnel, including Data Protection Officers (DPOs) and IT security experts, to oversee data protection strategies, conduct training, and manage compliance efforts. Organizations may need to hire or train staff to fulfill these roles effectively (IT Governance, 2023).</w:t>
                  </w:r>
                </w:p>
                <w:p w14:paraId="32DFF26D" w14:textId="77777777" w:rsidR="005E658A" w:rsidRPr="001D744F" w:rsidRDefault="005E658A" w:rsidP="005E658A">
                  <w:pPr>
                    <w:rPr>
                      <w:rFonts w:ascii="Arial" w:hAnsi="Arial" w:cs="Arial"/>
                    </w:rPr>
                  </w:pPr>
                </w:p>
              </w:tc>
            </w:tr>
          </w:tbl>
          <w:p w14:paraId="4F8508A0" w14:textId="77777777" w:rsidR="00E54A38" w:rsidRDefault="00E54A38" w:rsidP="009E3637">
            <w:pPr>
              <w:rPr>
                <w:rFonts w:ascii="Arial" w:hAnsi="Arial" w:cs="Arial"/>
                <w:b/>
                <w:color w:val="606060"/>
              </w:rPr>
            </w:pPr>
          </w:p>
          <w:p w14:paraId="5A229B3D" w14:textId="29C04C21" w:rsidR="00860B80" w:rsidRPr="008B1B59" w:rsidRDefault="00860B80" w:rsidP="009E3637">
            <w:pPr>
              <w:rPr>
                <w:rFonts w:ascii="Arial" w:hAnsi="Arial" w:cs="Arial"/>
                <w:b/>
                <w:color w:val="606060"/>
              </w:rPr>
            </w:pPr>
            <w:r>
              <w:rPr>
                <w:rFonts w:ascii="Arial" w:hAnsi="Arial" w:cs="Arial"/>
                <w:b/>
                <w:color w:val="606060"/>
              </w:rPr>
              <w:t>Conclusion</w:t>
            </w:r>
          </w:p>
        </w:tc>
      </w:tr>
      <w:tr w:rsidR="00860B80" w:rsidRPr="003E75BA" w14:paraId="4BA17B59" w14:textId="77777777" w:rsidTr="00622F1C">
        <w:tc>
          <w:tcPr>
            <w:tcW w:w="236" w:type="dxa"/>
            <w:shd w:val="clear" w:color="auto" w:fill="auto"/>
          </w:tcPr>
          <w:p w14:paraId="30B6F85E" w14:textId="77777777" w:rsidR="00860B80" w:rsidRPr="00725F4C" w:rsidRDefault="00860B80" w:rsidP="009E3637">
            <w:pPr>
              <w:rPr>
                <w:rFonts w:ascii="Times New Roman" w:hAnsi="Times New Roman" w:cs="Times New Roman"/>
                <w:b/>
                <w:sz w:val="24"/>
                <w:szCs w:val="24"/>
              </w:rPr>
            </w:pPr>
          </w:p>
        </w:tc>
        <w:tc>
          <w:tcPr>
            <w:tcW w:w="9450" w:type="dxa"/>
            <w:shd w:val="clear" w:color="auto" w:fill="FFFF99"/>
          </w:tcPr>
          <w:p w14:paraId="0291F533" w14:textId="77777777" w:rsidR="00860B80" w:rsidRPr="00725F4C" w:rsidRDefault="001D744F" w:rsidP="009E3637">
            <w:pPr>
              <w:rPr>
                <w:rFonts w:ascii="Times New Roman" w:hAnsi="Times New Roman" w:cs="Times New Roman"/>
                <w:bCs/>
                <w:sz w:val="24"/>
                <w:szCs w:val="24"/>
              </w:rPr>
            </w:pPr>
            <w:r w:rsidRPr="00725F4C">
              <w:rPr>
                <w:rFonts w:ascii="Times New Roman" w:hAnsi="Times New Roman" w:cs="Times New Roman"/>
                <w:bCs/>
                <w:sz w:val="24"/>
                <w:szCs w:val="24"/>
              </w:rPr>
              <w:t>The GDPR has significantly influenced IT management practices, requiring organizations to adopt comprehensive data protection strategies. By enhancing data security, implementing data minimization and retention policies, managing data subject rights, overseeing third-party vendors, and conducting DPIAs, IT departments can ensure compliance with GDPR. Investing in appropriate data storage solutions, selecting compliant cloud services, and allocating sufficient human resources are essential steps in this process. Adhering to GDPR not only mitigates legal risks but also fosters trust with individuals whose data is being processed.</w:t>
            </w:r>
          </w:p>
          <w:p w14:paraId="4E0D2249" w14:textId="77777777" w:rsidR="00A55275" w:rsidRPr="00725F4C" w:rsidRDefault="00A55275" w:rsidP="009E3637">
            <w:pPr>
              <w:rPr>
                <w:rFonts w:ascii="Times New Roman" w:hAnsi="Times New Roman" w:cs="Times New Roman"/>
                <w:bCs/>
                <w:sz w:val="24"/>
                <w:szCs w:val="24"/>
              </w:rPr>
            </w:pPr>
          </w:p>
          <w:p w14:paraId="7662E96A" w14:textId="72C7ABE7" w:rsidR="00A55275" w:rsidRPr="00725F4C" w:rsidRDefault="00A55275" w:rsidP="009E3637">
            <w:pPr>
              <w:rPr>
                <w:rFonts w:ascii="Times New Roman" w:hAnsi="Times New Roman" w:cs="Times New Roman"/>
                <w:bCs/>
                <w:sz w:val="24"/>
                <w:szCs w:val="24"/>
              </w:rPr>
            </w:pPr>
            <w:r w:rsidRPr="00725F4C">
              <w:rPr>
                <w:rFonts w:ascii="Times New Roman" w:hAnsi="Times New Roman" w:cs="Times New Roman"/>
                <w:bCs/>
                <w:sz w:val="24"/>
                <w:szCs w:val="24"/>
              </w:rPr>
              <w:t>Reflecting on the context of this report, I have gained a deeper understanding of how the General Data Protection Regulation (GDPR) impacts IT management, particularly in the areas of data security, cloud processing, data storage, and personnel resources. The regulatory requirements emphasize the importance of safeguarding personal data and ensuring that organizations have robust systems in place for compliance. Learning about GDPR has highlighted the complexity of managing data privacy and security in today's digital landscape and how integral IT departments are in maintaining these standards.</w:t>
            </w:r>
          </w:p>
        </w:tc>
      </w:tr>
      <w:tr w:rsidR="00860B80" w:rsidRPr="003E75BA" w14:paraId="3BDF13FE" w14:textId="77777777" w:rsidTr="00622F1C">
        <w:tc>
          <w:tcPr>
            <w:tcW w:w="9686" w:type="dxa"/>
            <w:gridSpan w:val="2"/>
            <w:shd w:val="clear" w:color="auto" w:fill="auto"/>
          </w:tcPr>
          <w:p w14:paraId="60411568" w14:textId="25A77C74" w:rsidR="00860B80" w:rsidRPr="003E75BA" w:rsidRDefault="00860B80" w:rsidP="00C771AE">
            <w:pPr>
              <w:rPr>
                <w:rFonts w:ascii="Arial" w:hAnsi="Arial" w:cs="Arial"/>
                <w:b/>
                <w:color w:val="606060"/>
              </w:rPr>
            </w:pPr>
            <w:r>
              <w:rPr>
                <w:rFonts w:ascii="Arial" w:hAnsi="Arial" w:cs="Arial"/>
                <w:b/>
                <w:color w:val="606060"/>
              </w:rPr>
              <w:t>Reference</w:t>
            </w:r>
            <w:r w:rsidR="0036052A">
              <w:rPr>
                <w:rFonts w:ascii="Arial" w:hAnsi="Arial" w:cs="Arial"/>
                <w:b/>
                <w:color w:val="606060"/>
              </w:rPr>
              <w:t xml:space="preserve"> List</w:t>
            </w:r>
          </w:p>
        </w:tc>
      </w:tr>
      <w:tr w:rsidR="00A66B4B" w:rsidRPr="003E75BA" w14:paraId="01FBDFD6" w14:textId="77777777" w:rsidTr="00622F1C">
        <w:tc>
          <w:tcPr>
            <w:tcW w:w="236" w:type="dxa"/>
            <w:shd w:val="clear" w:color="auto" w:fill="auto"/>
          </w:tcPr>
          <w:p w14:paraId="780ECF9C" w14:textId="77777777" w:rsidR="00A66B4B" w:rsidRPr="003E75BA" w:rsidRDefault="00A66B4B" w:rsidP="00C771AE">
            <w:pPr>
              <w:rPr>
                <w:rFonts w:ascii="Arial" w:hAnsi="Arial" w:cs="Arial"/>
                <w:b/>
                <w:color w:val="606060"/>
              </w:rPr>
            </w:pPr>
          </w:p>
        </w:tc>
        <w:tc>
          <w:tcPr>
            <w:tcW w:w="9450" w:type="dxa"/>
            <w:shd w:val="clear" w:color="auto" w:fill="FFFF99"/>
          </w:tcPr>
          <w:p w14:paraId="5364EF54" w14:textId="512E34A0" w:rsidR="001D744F" w:rsidRPr="001D744F" w:rsidRDefault="001D744F" w:rsidP="001D744F">
            <w:pPr>
              <w:ind w:left="720" w:hanging="720"/>
              <w:rPr>
                <w:rFonts w:ascii="Times New Roman" w:hAnsi="Times New Roman" w:cs="Times New Roman"/>
                <w:color w:val="606060"/>
                <w:sz w:val="24"/>
                <w:szCs w:val="24"/>
              </w:rPr>
            </w:pPr>
            <w:r w:rsidRPr="001D744F">
              <w:rPr>
                <w:rFonts w:ascii="Times New Roman" w:hAnsi="Times New Roman" w:cs="Times New Roman"/>
                <w:sz w:val="24"/>
                <w:szCs w:val="24"/>
              </w:rPr>
              <w:t xml:space="preserve">Deloitte. (2023, October 10). </w:t>
            </w:r>
            <w:r w:rsidRPr="001D744F">
              <w:rPr>
                <w:rFonts w:ascii="Times New Roman" w:hAnsi="Times New Roman" w:cs="Times New Roman"/>
                <w:i/>
                <w:iCs/>
                <w:sz w:val="24"/>
                <w:szCs w:val="24"/>
              </w:rPr>
              <w:t>GDPR and cloud computing: Safeguarding data in the digital cloud</w:t>
            </w:r>
            <w:r w:rsidRPr="001D744F">
              <w:rPr>
                <w:rFonts w:ascii="Times New Roman" w:hAnsi="Times New Roman" w:cs="Times New Roman"/>
                <w:sz w:val="24"/>
                <w:szCs w:val="24"/>
              </w:rPr>
              <w:t>.</w:t>
            </w:r>
            <w:r w:rsidRPr="001D744F">
              <w:rPr>
                <w:rFonts w:ascii="Times New Roman" w:hAnsi="Times New Roman" w:cs="Times New Roman"/>
                <w:color w:val="606060"/>
                <w:sz w:val="24"/>
                <w:szCs w:val="24"/>
              </w:rPr>
              <w:t xml:space="preserve"> </w:t>
            </w:r>
            <w:hyperlink r:id="rId8" w:history="1">
              <w:r w:rsidRPr="001D744F">
                <w:rPr>
                  <w:rStyle w:val="Hyperlink"/>
                  <w:rFonts w:ascii="Times New Roman" w:hAnsi="Times New Roman" w:cs="Times New Roman"/>
                  <w:sz w:val="24"/>
                  <w:szCs w:val="24"/>
                </w:rPr>
                <w:t>https://www.deloitte.com/nl/en/services/risk-advisory/perspectives/cyber-security-privacy-gdpr-update-the-impact-on-cloud-computing.html</w:t>
              </w:r>
            </w:hyperlink>
          </w:p>
          <w:p w14:paraId="26C738D3" w14:textId="77777777" w:rsidR="001D744F" w:rsidRPr="001D744F" w:rsidRDefault="001D744F" w:rsidP="001D744F">
            <w:pPr>
              <w:ind w:left="720" w:hanging="720"/>
              <w:rPr>
                <w:rFonts w:ascii="Times New Roman" w:hAnsi="Times New Roman" w:cs="Times New Roman"/>
                <w:color w:val="606060"/>
                <w:sz w:val="24"/>
                <w:szCs w:val="24"/>
              </w:rPr>
            </w:pPr>
          </w:p>
          <w:p w14:paraId="623E4587" w14:textId="663D7838" w:rsidR="001D744F" w:rsidRPr="001D744F" w:rsidRDefault="001D744F" w:rsidP="001D744F">
            <w:pPr>
              <w:ind w:left="720" w:hanging="720"/>
              <w:rPr>
                <w:rFonts w:ascii="Times New Roman" w:hAnsi="Times New Roman" w:cs="Times New Roman"/>
                <w:color w:val="606060"/>
                <w:sz w:val="24"/>
                <w:szCs w:val="24"/>
              </w:rPr>
            </w:pPr>
            <w:r w:rsidRPr="001D744F">
              <w:rPr>
                <w:rFonts w:ascii="Times New Roman" w:hAnsi="Times New Roman" w:cs="Times New Roman"/>
                <w:sz w:val="24"/>
                <w:szCs w:val="24"/>
              </w:rPr>
              <w:lastRenderedPageBreak/>
              <w:t xml:space="preserve">GDPR Advisor. </w:t>
            </w:r>
            <w:r w:rsidRPr="001D744F">
              <w:rPr>
                <w:rFonts w:ascii="Times New Roman" w:hAnsi="Times New Roman" w:cs="Times New Roman"/>
                <w:i/>
                <w:iCs/>
                <w:sz w:val="24"/>
                <w:szCs w:val="24"/>
              </w:rPr>
              <w:t>GDPR and cloud computing: Safeguarding data in the digital cloud</w:t>
            </w:r>
            <w:r w:rsidRPr="001D744F">
              <w:rPr>
                <w:rFonts w:ascii="Times New Roman" w:hAnsi="Times New Roman" w:cs="Times New Roman"/>
                <w:sz w:val="24"/>
                <w:szCs w:val="24"/>
              </w:rPr>
              <w:t xml:space="preserve">. </w:t>
            </w:r>
            <w:hyperlink r:id="rId9" w:tgtFrame="_new" w:history="1">
              <w:r w:rsidRPr="001D744F">
                <w:rPr>
                  <w:rStyle w:val="Hyperlink"/>
                  <w:rFonts w:ascii="Times New Roman" w:hAnsi="Times New Roman" w:cs="Times New Roman"/>
                  <w:sz w:val="24"/>
                  <w:szCs w:val="24"/>
                </w:rPr>
                <w:t>https://www.gdpr-advisor.com/gdpr-and-cloud-computing-safeguarding-data-in-the-digital-cloud/</w:t>
              </w:r>
            </w:hyperlink>
          </w:p>
          <w:p w14:paraId="5F8252F1" w14:textId="77777777" w:rsidR="001D744F" w:rsidRPr="001D744F" w:rsidRDefault="001D744F" w:rsidP="001D744F">
            <w:pPr>
              <w:ind w:left="720" w:hanging="720"/>
              <w:rPr>
                <w:rFonts w:ascii="Times New Roman" w:hAnsi="Times New Roman" w:cs="Times New Roman"/>
                <w:color w:val="606060"/>
                <w:sz w:val="24"/>
                <w:szCs w:val="24"/>
              </w:rPr>
            </w:pPr>
          </w:p>
          <w:p w14:paraId="09FE27FC" w14:textId="27E34A12" w:rsidR="001D744F" w:rsidRPr="001D744F" w:rsidRDefault="001D744F" w:rsidP="001D744F">
            <w:pPr>
              <w:ind w:left="720" w:hanging="720"/>
              <w:rPr>
                <w:rFonts w:ascii="Times New Roman" w:hAnsi="Times New Roman" w:cs="Times New Roman"/>
                <w:color w:val="606060"/>
                <w:sz w:val="24"/>
                <w:szCs w:val="24"/>
              </w:rPr>
            </w:pPr>
            <w:r w:rsidRPr="001D744F">
              <w:rPr>
                <w:rFonts w:ascii="Times New Roman" w:hAnsi="Times New Roman" w:cs="Times New Roman"/>
                <w:sz w:val="24"/>
                <w:szCs w:val="24"/>
              </w:rPr>
              <w:t xml:space="preserve">GDPR.eu. </w:t>
            </w:r>
            <w:r w:rsidRPr="001D744F">
              <w:rPr>
                <w:rFonts w:ascii="Times New Roman" w:hAnsi="Times New Roman" w:cs="Times New Roman"/>
                <w:i/>
                <w:iCs/>
                <w:sz w:val="24"/>
                <w:szCs w:val="24"/>
              </w:rPr>
              <w:t>What is GDPR, the EU's new data protection law?</w:t>
            </w:r>
            <w:r w:rsidRPr="001D744F">
              <w:rPr>
                <w:rFonts w:ascii="Times New Roman" w:hAnsi="Times New Roman" w:cs="Times New Roman"/>
                <w:color w:val="606060"/>
                <w:sz w:val="24"/>
                <w:szCs w:val="24"/>
              </w:rPr>
              <w:t xml:space="preserve"> </w:t>
            </w:r>
            <w:hyperlink r:id="rId10" w:tgtFrame="_new" w:history="1">
              <w:r w:rsidRPr="001D744F">
                <w:rPr>
                  <w:rStyle w:val="Hyperlink"/>
                  <w:rFonts w:ascii="Times New Roman" w:hAnsi="Times New Roman" w:cs="Times New Roman"/>
                  <w:sz w:val="24"/>
                  <w:szCs w:val="24"/>
                </w:rPr>
                <w:t>https://gdpr.eu/what-is-gdpr/</w:t>
              </w:r>
            </w:hyperlink>
          </w:p>
          <w:p w14:paraId="4E74FA36" w14:textId="77777777" w:rsidR="001D744F" w:rsidRPr="001D744F" w:rsidRDefault="001D744F" w:rsidP="001D744F">
            <w:pPr>
              <w:ind w:left="720" w:hanging="720"/>
              <w:rPr>
                <w:rFonts w:ascii="Times New Roman" w:hAnsi="Times New Roman" w:cs="Times New Roman"/>
                <w:color w:val="606060"/>
                <w:sz w:val="24"/>
                <w:szCs w:val="24"/>
              </w:rPr>
            </w:pPr>
          </w:p>
          <w:p w14:paraId="76509D26" w14:textId="56C96BC9" w:rsidR="001D744F" w:rsidRPr="001D744F" w:rsidRDefault="001D744F" w:rsidP="001D744F">
            <w:pPr>
              <w:ind w:left="720" w:hanging="720"/>
              <w:rPr>
                <w:rFonts w:ascii="Times New Roman" w:hAnsi="Times New Roman" w:cs="Times New Roman"/>
                <w:color w:val="606060"/>
                <w:sz w:val="24"/>
                <w:szCs w:val="24"/>
              </w:rPr>
            </w:pPr>
            <w:r w:rsidRPr="001D744F">
              <w:rPr>
                <w:rFonts w:ascii="Times New Roman" w:hAnsi="Times New Roman" w:cs="Times New Roman"/>
                <w:sz w:val="24"/>
                <w:szCs w:val="24"/>
              </w:rPr>
              <w:t xml:space="preserve">IT Governance. (2023, October 10). </w:t>
            </w:r>
            <w:r w:rsidRPr="001D744F">
              <w:rPr>
                <w:rFonts w:ascii="Times New Roman" w:hAnsi="Times New Roman" w:cs="Times New Roman"/>
                <w:i/>
                <w:iCs/>
                <w:sz w:val="24"/>
                <w:szCs w:val="24"/>
              </w:rPr>
              <w:t>Summary of 10 key GDPR requirements</w:t>
            </w:r>
            <w:r w:rsidRPr="001D744F">
              <w:rPr>
                <w:rFonts w:ascii="Times New Roman" w:hAnsi="Times New Roman" w:cs="Times New Roman"/>
                <w:sz w:val="24"/>
                <w:szCs w:val="24"/>
              </w:rPr>
              <w:t xml:space="preserve">. </w:t>
            </w:r>
            <w:hyperlink r:id="rId11" w:tgtFrame="_new" w:history="1">
              <w:r w:rsidRPr="001D744F">
                <w:rPr>
                  <w:rStyle w:val="Hyperlink"/>
                  <w:rFonts w:ascii="Times New Roman" w:hAnsi="Times New Roman" w:cs="Times New Roman"/>
                  <w:sz w:val="24"/>
                  <w:szCs w:val="24"/>
                </w:rPr>
                <w:t>https://www.itgovernance.eu/blog/en/summary-of-the-gdprs-10-key-requirements</w:t>
              </w:r>
            </w:hyperlink>
          </w:p>
          <w:p w14:paraId="60848404" w14:textId="77777777" w:rsidR="001D744F" w:rsidRPr="001D744F" w:rsidRDefault="001D744F" w:rsidP="001D744F">
            <w:pPr>
              <w:ind w:left="720" w:hanging="720"/>
              <w:rPr>
                <w:rFonts w:ascii="Times New Roman" w:hAnsi="Times New Roman" w:cs="Times New Roman"/>
                <w:color w:val="606060"/>
                <w:sz w:val="24"/>
                <w:szCs w:val="24"/>
              </w:rPr>
            </w:pPr>
          </w:p>
          <w:p w14:paraId="0DA9BA43" w14:textId="5644CE50" w:rsidR="001D744F" w:rsidRPr="001D744F" w:rsidRDefault="001D744F" w:rsidP="001D744F">
            <w:pPr>
              <w:ind w:left="720" w:hanging="720"/>
              <w:rPr>
                <w:rFonts w:ascii="Times New Roman" w:hAnsi="Times New Roman" w:cs="Times New Roman"/>
                <w:color w:val="606060"/>
                <w:sz w:val="24"/>
                <w:szCs w:val="24"/>
              </w:rPr>
            </w:pPr>
            <w:proofErr w:type="spellStart"/>
            <w:r w:rsidRPr="001D744F">
              <w:rPr>
                <w:rFonts w:ascii="Times New Roman" w:hAnsi="Times New Roman" w:cs="Times New Roman"/>
                <w:sz w:val="24"/>
                <w:szCs w:val="24"/>
              </w:rPr>
              <w:t>Sysdig</w:t>
            </w:r>
            <w:proofErr w:type="spellEnd"/>
            <w:r w:rsidRPr="001D744F">
              <w:rPr>
                <w:rFonts w:ascii="Times New Roman" w:hAnsi="Times New Roman" w:cs="Times New Roman"/>
                <w:sz w:val="24"/>
                <w:szCs w:val="24"/>
              </w:rPr>
              <w:t xml:space="preserve">. </w:t>
            </w:r>
            <w:r w:rsidRPr="001D744F">
              <w:rPr>
                <w:rFonts w:ascii="Times New Roman" w:hAnsi="Times New Roman" w:cs="Times New Roman"/>
                <w:i/>
                <w:iCs/>
                <w:sz w:val="24"/>
                <w:szCs w:val="24"/>
              </w:rPr>
              <w:t>A guide to GDPR compliance for containers and the cloud</w:t>
            </w:r>
            <w:r w:rsidRPr="001D744F">
              <w:rPr>
                <w:rFonts w:ascii="Times New Roman" w:hAnsi="Times New Roman" w:cs="Times New Roman"/>
                <w:sz w:val="24"/>
                <w:szCs w:val="24"/>
              </w:rPr>
              <w:t>.</w:t>
            </w:r>
            <w:r w:rsidRPr="001D744F">
              <w:rPr>
                <w:rFonts w:ascii="Times New Roman" w:hAnsi="Times New Roman" w:cs="Times New Roman"/>
                <w:color w:val="606060"/>
                <w:sz w:val="24"/>
                <w:szCs w:val="24"/>
              </w:rPr>
              <w:t xml:space="preserve"> </w:t>
            </w:r>
            <w:hyperlink r:id="rId12" w:tgtFrame="_new" w:history="1">
              <w:r w:rsidRPr="001D744F">
                <w:rPr>
                  <w:rStyle w:val="Hyperlink"/>
                  <w:rFonts w:ascii="Times New Roman" w:hAnsi="Times New Roman" w:cs="Times New Roman"/>
                  <w:sz w:val="24"/>
                  <w:szCs w:val="24"/>
                </w:rPr>
                <w:t>https://sysdig.com/learn-cloud-native/a-guide-to-gdpr-compliance-for-containers-and-the-cloud/</w:t>
              </w:r>
            </w:hyperlink>
          </w:p>
          <w:p w14:paraId="5013A19B" w14:textId="77777777" w:rsidR="001D744F" w:rsidRPr="001D744F" w:rsidRDefault="001D744F" w:rsidP="001D744F">
            <w:pPr>
              <w:ind w:left="720" w:hanging="720"/>
              <w:rPr>
                <w:rFonts w:ascii="Times New Roman" w:hAnsi="Times New Roman" w:cs="Times New Roman"/>
                <w:color w:val="606060"/>
                <w:sz w:val="24"/>
                <w:szCs w:val="24"/>
              </w:rPr>
            </w:pPr>
          </w:p>
          <w:p w14:paraId="435B4EC4" w14:textId="2ADD38BB" w:rsidR="001D744F" w:rsidRPr="001D744F" w:rsidRDefault="001D744F" w:rsidP="001D744F">
            <w:pPr>
              <w:ind w:left="720" w:hanging="720"/>
              <w:rPr>
                <w:rFonts w:ascii="Times New Roman" w:hAnsi="Times New Roman" w:cs="Times New Roman"/>
                <w:color w:val="606060"/>
                <w:sz w:val="24"/>
                <w:szCs w:val="24"/>
              </w:rPr>
            </w:pPr>
            <w:r w:rsidRPr="001D744F">
              <w:rPr>
                <w:rFonts w:ascii="Times New Roman" w:hAnsi="Times New Roman" w:cs="Times New Roman"/>
                <w:sz w:val="24"/>
                <w:szCs w:val="24"/>
              </w:rPr>
              <w:t xml:space="preserve">TechTarget. (2023, June 23). </w:t>
            </w:r>
            <w:r w:rsidRPr="001D744F">
              <w:rPr>
                <w:rFonts w:ascii="Times New Roman" w:hAnsi="Times New Roman" w:cs="Times New Roman"/>
                <w:i/>
                <w:iCs/>
                <w:sz w:val="24"/>
                <w:szCs w:val="24"/>
              </w:rPr>
              <w:t>Tips to achieve compliance with GDPR in cloud storage</w:t>
            </w:r>
            <w:r w:rsidRPr="001D744F">
              <w:rPr>
                <w:rFonts w:ascii="Times New Roman" w:hAnsi="Times New Roman" w:cs="Times New Roman"/>
                <w:sz w:val="24"/>
                <w:szCs w:val="24"/>
              </w:rPr>
              <w:t xml:space="preserve">. </w:t>
            </w:r>
            <w:hyperlink r:id="rId13" w:history="1">
              <w:r w:rsidRPr="001D744F">
                <w:rPr>
                  <w:rStyle w:val="Hyperlink"/>
                  <w:rFonts w:ascii="Times New Roman" w:hAnsi="Times New Roman" w:cs="Times New Roman"/>
                  <w:sz w:val="24"/>
                  <w:szCs w:val="24"/>
                </w:rPr>
                <w:t>https://www.techtarget.com/searchstorage/tip/Tips-to-achieve-compliance-with-GDPR-in-cloud-storage</w:t>
              </w:r>
            </w:hyperlink>
          </w:p>
          <w:p w14:paraId="6B3F99CB" w14:textId="57686539" w:rsidR="00947B1E" w:rsidRPr="001D744F" w:rsidRDefault="00947B1E" w:rsidP="001D744F">
            <w:pPr>
              <w:ind w:left="720" w:hanging="720"/>
              <w:rPr>
                <w:rFonts w:ascii="Times New Roman" w:hAnsi="Times New Roman" w:cs="Times New Roman"/>
                <w:color w:val="606060"/>
                <w:sz w:val="24"/>
                <w:szCs w:val="24"/>
              </w:rPr>
            </w:pPr>
          </w:p>
        </w:tc>
      </w:tr>
    </w:tbl>
    <w:p w14:paraId="7207E71B" w14:textId="1422BDE2" w:rsidR="003205F8" w:rsidRPr="003E75BA" w:rsidRDefault="003205F8" w:rsidP="003205F8">
      <w:pPr>
        <w:spacing w:line="240" w:lineRule="auto"/>
        <w:rPr>
          <w:rFonts w:ascii="Arial" w:hAnsi="Arial" w:cs="Arial"/>
          <w:b/>
          <w:color w:val="606060"/>
          <w:sz w:val="17"/>
          <w:szCs w:val="17"/>
        </w:rPr>
      </w:pPr>
    </w:p>
    <w:p w14:paraId="3439E15C" w14:textId="77777777" w:rsidR="002451AC" w:rsidRPr="003E75BA" w:rsidRDefault="002451AC" w:rsidP="004B461D">
      <w:pPr>
        <w:spacing w:after="0" w:line="240" w:lineRule="auto"/>
        <w:rPr>
          <w:b/>
        </w:rPr>
      </w:pPr>
    </w:p>
    <w:sectPr w:rsidR="002451AC" w:rsidRPr="003E75BA">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BCBF3" w14:textId="77777777" w:rsidR="00CC4B8C" w:rsidRDefault="00CC4B8C" w:rsidP="00182CD3">
      <w:pPr>
        <w:spacing w:after="0" w:line="240" w:lineRule="auto"/>
      </w:pPr>
      <w:r>
        <w:separator/>
      </w:r>
    </w:p>
  </w:endnote>
  <w:endnote w:type="continuationSeparator" w:id="0">
    <w:p w14:paraId="56E41AD7" w14:textId="77777777" w:rsidR="00CC4B8C" w:rsidRDefault="00CC4B8C" w:rsidP="00182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76D5AD" w14:textId="77777777" w:rsidR="00CC4B8C" w:rsidRDefault="00CC4B8C" w:rsidP="00182CD3">
      <w:pPr>
        <w:spacing w:after="0" w:line="240" w:lineRule="auto"/>
      </w:pPr>
      <w:r>
        <w:separator/>
      </w:r>
    </w:p>
  </w:footnote>
  <w:footnote w:type="continuationSeparator" w:id="0">
    <w:p w14:paraId="79BBB3D0" w14:textId="77777777" w:rsidR="00CC4B8C" w:rsidRDefault="00CC4B8C" w:rsidP="00182C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28" w:type="dxa"/>
      <w:tblLayout w:type="fixed"/>
      <w:tblLook w:val="04A0" w:firstRow="1" w:lastRow="0" w:firstColumn="1" w:lastColumn="0" w:noHBand="0" w:noVBand="1"/>
    </w:tblPr>
    <w:tblGrid>
      <w:gridCol w:w="1278"/>
      <w:gridCol w:w="1980"/>
      <w:gridCol w:w="810"/>
      <w:gridCol w:w="1080"/>
      <w:gridCol w:w="1170"/>
      <w:gridCol w:w="3410"/>
    </w:tblGrid>
    <w:tr w:rsidR="00A556B8" w14:paraId="57E4F7FA" w14:textId="77777777" w:rsidTr="00524DA8">
      <w:tc>
        <w:tcPr>
          <w:tcW w:w="1278" w:type="dxa"/>
          <w:vMerge w:val="restart"/>
          <w:shd w:val="clear" w:color="auto" w:fill="D9D9D9" w:themeFill="background1" w:themeFillShade="D9"/>
        </w:tcPr>
        <w:p w14:paraId="344C4876" w14:textId="709B6317" w:rsidR="00A556B8" w:rsidRPr="00524DA8" w:rsidRDefault="00524DA8" w:rsidP="006C4A95">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ind w:left="-90"/>
            <w:jc w:val="center"/>
            <w:rPr>
              <w:b/>
              <w:sz w:val="28"/>
              <w:szCs w:val="28"/>
            </w:rPr>
          </w:pPr>
          <w:r w:rsidRPr="00524DA8">
            <w:rPr>
              <w:b/>
              <w:sz w:val="28"/>
              <w:szCs w:val="28"/>
            </w:rPr>
            <w:t>W</w:t>
          </w:r>
          <w:r w:rsidR="00E011F0">
            <w:rPr>
              <w:b/>
              <w:sz w:val="28"/>
              <w:szCs w:val="28"/>
            </w:rPr>
            <w:t>A-5</w:t>
          </w:r>
        </w:p>
      </w:tc>
      <w:tc>
        <w:tcPr>
          <w:tcW w:w="1980" w:type="dxa"/>
          <w:shd w:val="clear" w:color="auto" w:fill="D9D9D9" w:themeFill="background1" w:themeFillShade="D9"/>
        </w:tcPr>
        <w:p w14:paraId="15456F65" w14:textId="32249EBA" w:rsidR="00A556B8" w:rsidRDefault="00A556B8" w:rsidP="006C4A95">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rPr>
              <w:sz w:val="16"/>
              <w:szCs w:val="16"/>
            </w:rPr>
          </w:pPr>
          <w:r>
            <w:rPr>
              <w:sz w:val="16"/>
              <w:szCs w:val="16"/>
            </w:rPr>
            <w:t xml:space="preserve">Page: </w:t>
          </w:r>
          <w:r w:rsidRPr="003C7070">
            <w:rPr>
              <w:b/>
              <w:sz w:val="16"/>
              <w:szCs w:val="16"/>
            </w:rPr>
            <w:fldChar w:fldCharType="begin"/>
          </w:r>
          <w:r w:rsidRPr="003C7070">
            <w:rPr>
              <w:b/>
              <w:sz w:val="16"/>
              <w:szCs w:val="16"/>
            </w:rPr>
            <w:instrText xml:space="preserve"> PAGE  \* Arabic  \* MERGEFORMAT </w:instrText>
          </w:r>
          <w:r w:rsidRPr="003C7070">
            <w:rPr>
              <w:b/>
              <w:sz w:val="16"/>
              <w:szCs w:val="16"/>
            </w:rPr>
            <w:fldChar w:fldCharType="separate"/>
          </w:r>
          <w:r w:rsidR="004F2622">
            <w:rPr>
              <w:b/>
              <w:noProof/>
              <w:sz w:val="16"/>
              <w:szCs w:val="16"/>
            </w:rPr>
            <w:t>1</w:t>
          </w:r>
          <w:r w:rsidRPr="003C7070">
            <w:rPr>
              <w:b/>
              <w:sz w:val="16"/>
              <w:szCs w:val="16"/>
            </w:rPr>
            <w:fldChar w:fldCharType="end"/>
          </w:r>
          <w:r w:rsidRPr="003C7070">
            <w:rPr>
              <w:sz w:val="16"/>
              <w:szCs w:val="16"/>
            </w:rPr>
            <w:t xml:space="preserve"> of </w:t>
          </w:r>
          <w:r w:rsidRPr="003C7070">
            <w:rPr>
              <w:b/>
              <w:sz w:val="16"/>
              <w:szCs w:val="16"/>
            </w:rPr>
            <w:fldChar w:fldCharType="begin"/>
          </w:r>
          <w:r w:rsidRPr="003C7070">
            <w:rPr>
              <w:b/>
              <w:sz w:val="16"/>
              <w:szCs w:val="16"/>
            </w:rPr>
            <w:instrText xml:space="preserve"> NUMPAGES  \* Arabic  \* MERGEFORMAT </w:instrText>
          </w:r>
          <w:r w:rsidRPr="003C7070">
            <w:rPr>
              <w:b/>
              <w:sz w:val="16"/>
              <w:szCs w:val="16"/>
            </w:rPr>
            <w:fldChar w:fldCharType="separate"/>
          </w:r>
          <w:r w:rsidR="004F2622">
            <w:rPr>
              <w:b/>
              <w:noProof/>
              <w:sz w:val="16"/>
              <w:szCs w:val="16"/>
            </w:rPr>
            <w:t>1</w:t>
          </w:r>
          <w:r w:rsidRPr="003C7070">
            <w:rPr>
              <w:b/>
              <w:sz w:val="16"/>
              <w:szCs w:val="16"/>
            </w:rPr>
            <w:fldChar w:fldCharType="end"/>
          </w:r>
        </w:p>
      </w:tc>
      <w:tc>
        <w:tcPr>
          <w:tcW w:w="810" w:type="dxa"/>
          <w:shd w:val="clear" w:color="auto" w:fill="D9D9D9" w:themeFill="background1" w:themeFillShade="D9"/>
        </w:tcPr>
        <w:p w14:paraId="23CF3FF3" w14:textId="19017EA8" w:rsidR="00A556B8" w:rsidRDefault="00A556B8" w:rsidP="006C4A95">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ind w:right="-108"/>
            <w:jc w:val="right"/>
            <w:rPr>
              <w:sz w:val="16"/>
              <w:szCs w:val="16"/>
            </w:rPr>
          </w:pPr>
        </w:p>
      </w:tc>
      <w:tc>
        <w:tcPr>
          <w:tcW w:w="1080" w:type="dxa"/>
          <w:shd w:val="clear" w:color="auto" w:fill="D9D9D9" w:themeFill="background1" w:themeFillShade="D9"/>
        </w:tcPr>
        <w:p w14:paraId="60D500FA" w14:textId="6D3157C8" w:rsidR="00A556B8" w:rsidRDefault="00A556B8" w:rsidP="006C4A95">
          <w:pPr>
            <w:pStyle w:val="Header"/>
            <w:tabs>
              <w:tab w:val="clear" w:pos="4680"/>
              <w:tab w:val="left" w:pos="379"/>
              <w:tab w:val="left" w:pos="732"/>
              <w:tab w:val="left" w:pos="972"/>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rPr>
              <w:sz w:val="16"/>
              <w:szCs w:val="16"/>
            </w:rPr>
          </w:pPr>
        </w:p>
      </w:tc>
      <w:tc>
        <w:tcPr>
          <w:tcW w:w="1170" w:type="dxa"/>
          <w:shd w:val="clear" w:color="auto" w:fill="D9D9D9" w:themeFill="background1" w:themeFillShade="D9"/>
        </w:tcPr>
        <w:p w14:paraId="66935D65" w14:textId="77777777" w:rsidR="00A556B8" w:rsidRDefault="00A556B8" w:rsidP="006C4A95">
          <w:pPr>
            <w:pStyle w:val="Header"/>
            <w:tabs>
              <w:tab w:val="clear" w:pos="4680"/>
              <w:tab w:val="left" w:pos="4320"/>
              <w:tab w:val="left" w:pos="5040"/>
              <w:tab w:val="left" w:pos="5760"/>
              <w:tab w:val="left" w:pos="6480"/>
              <w:tab w:val="left" w:pos="7200"/>
              <w:tab w:val="left" w:pos="7920"/>
              <w:tab w:val="left" w:pos="8640"/>
            </w:tabs>
            <w:ind w:right="-80"/>
            <w:jc w:val="right"/>
            <w:rPr>
              <w:sz w:val="16"/>
              <w:szCs w:val="16"/>
            </w:rPr>
          </w:pPr>
          <w:r>
            <w:rPr>
              <w:sz w:val="16"/>
              <w:szCs w:val="16"/>
            </w:rPr>
            <w:t>Student Name:</w:t>
          </w:r>
        </w:p>
      </w:tc>
      <w:tc>
        <w:tcPr>
          <w:tcW w:w="3410" w:type="dxa"/>
          <w:shd w:val="clear" w:color="auto" w:fill="FFFF99"/>
        </w:tcPr>
        <w:p w14:paraId="3E72DF15" w14:textId="7B474195" w:rsidR="00A556B8" w:rsidRDefault="00A644A8" w:rsidP="006C4A95">
          <w:pPr>
            <w:pStyle w:val="Header"/>
            <w:tabs>
              <w:tab w:val="clear" w:pos="4680"/>
              <w:tab w:val="left" w:pos="4320"/>
              <w:tab w:val="left" w:pos="5040"/>
              <w:tab w:val="left" w:pos="5760"/>
              <w:tab w:val="left" w:pos="6480"/>
              <w:tab w:val="left" w:pos="7200"/>
              <w:tab w:val="left" w:pos="7920"/>
              <w:tab w:val="left" w:pos="8640"/>
            </w:tabs>
            <w:ind w:right="10"/>
            <w:rPr>
              <w:sz w:val="16"/>
              <w:szCs w:val="16"/>
            </w:rPr>
          </w:pPr>
          <w:r>
            <w:rPr>
              <w:sz w:val="16"/>
              <w:szCs w:val="16"/>
            </w:rPr>
            <w:t>Tyler Vander Mooren</w:t>
          </w:r>
        </w:p>
      </w:tc>
    </w:tr>
    <w:tr w:rsidR="00A556B8" w14:paraId="0013C626" w14:textId="77777777" w:rsidTr="00524DA8">
      <w:tc>
        <w:tcPr>
          <w:tcW w:w="1278" w:type="dxa"/>
          <w:vMerge/>
          <w:tcBorders>
            <w:bottom w:val="single" w:sz="4" w:space="0" w:color="auto"/>
          </w:tcBorders>
          <w:shd w:val="clear" w:color="auto" w:fill="D9D9D9" w:themeFill="background1" w:themeFillShade="D9"/>
        </w:tcPr>
        <w:p w14:paraId="060A1960" w14:textId="77777777" w:rsidR="00A556B8" w:rsidRDefault="00A556B8" w:rsidP="006C4A95">
          <w:pPr>
            <w:pStyle w:val="Header"/>
            <w:tabs>
              <w:tab w:val="clear" w:pos="4680"/>
              <w:tab w:val="left" w:pos="4320"/>
              <w:tab w:val="left" w:pos="5040"/>
              <w:tab w:val="left" w:pos="5760"/>
              <w:tab w:val="left" w:pos="6480"/>
              <w:tab w:val="left" w:pos="7200"/>
              <w:tab w:val="left" w:pos="7920"/>
              <w:tab w:val="left" w:pos="8640"/>
            </w:tabs>
            <w:rPr>
              <w:sz w:val="16"/>
              <w:szCs w:val="16"/>
            </w:rPr>
          </w:pPr>
        </w:p>
      </w:tc>
      <w:tc>
        <w:tcPr>
          <w:tcW w:w="1980" w:type="dxa"/>
          <w:tcBorders>
            <w:bottom w:val="single" w:sz="4" w:space="0" w:color="auto"/>
          </w:tcBorders>
          <w:shd w:val="clear" w:color="auto" w:fill="D9D9D9" w:themeFill="background1" w:themeFillShade="D9"/>
        </w:tcPr>
        <w:p w14:paraId="52C02B8E" w14:textId="21C119A7" w:rsidR="00A556B8" w:rsidRDefault="00A556B8" w:rsidP="00B86BD6">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rPr>
              <w:sz w:val="16"/>
              <w:szCs w:val="16"/>
            </w:rPr>
          </w:pPr>
          <w:r>
            <w:rPr>
              <w:b/>
              <w:sz w:val="16"/>
              <w:szCs w:val="16"/>
            </w:rPr>
            <w:t>BBA-</w:t>
          </w:r>
          <w:r w:rsidR="001B45C0">
            <w:rPr>
              <w:b/>
              <w:sz w:val="16"/>
              <w:szCs w:val="16"/>
            </w:rPr>
            <w:t>355</w:t>
          </w:r>
          <w:r w:rsidR="00900A1B">
            <w:rPr>
              <w:b/>
              <w:sz w:val="16"/>
              <w:szCs w:val="16"/>
            </w:rPr>
            <w:t xml:space="preserve"> </w:t>
          </w:r>
        </w:p>
      </w:tc>
      <w:tc>
        <w:tcPr>
          <w:tcW w:w="810" w:type="dxa"/>
          <w:tcBorders>
            <w:bottom w:val="single" w:sz="4" w:space="0" w:color="auto"/>
          </w:tcBorders>
          <w:shd w:val="clear" w:color="auto" w:fill="D9D9D9" w:themeFill="background1" w:themeFillShade="D9"/>
        </w:tcPr>
        <w:p w14:paraId="3153D302" w14:textId="4E096B8E" w:rsidR="00A556B8" w:rsidRDefault="00524DA8" w:rsidP="006C4A95">
          <w:pPr>
            <w:pStyle w:val="Header"/>
            <w:tabs>
              <w:tab w:val="clear" w:pos="4680"/>
              <w:tab w:val="left" w:pos="379"/>
              <w:tab w:val="left" w:pos="732"/>
              <w:tab w:val="left" w:pos="1094"/>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ind w:left="-109" w:right="-108"/>
            <w:jc w:val="right"/>
            <w:rPr>
              <w:sz w:val="16"/>
              <w:szCs w:val="16"/>
            </w:rPr>
          </w:pPr>
          <w:r>
            <w:rPr>
              <w:sz w:val="16"/>
              <w:szCs w:val="16"/>
            </w:rPr>
            <w:t>Submitted:</w:t>
          </w:r>
        </w:p>
      </w:tc>
      <w:tc>
        <w:tcPr>
          <w:tcW w:w="1080" w:type="dxa"/>
          <w:tcBorders>
            <w:bottom w:val="single" w:sz="4" w:space="0" w:color="auto"/>
          </w:tcBorders>
          <w:shd w:val="clear" w:color="auto" w:fill="FFFF99"/>
        </w:tcPr>
        <w:p w14:paraId="77D2C732" w14:textId="530C3239" w:rsidR="00A556B8" w:rsidRDefault="00AC1223" w:rsidP="006C4A95">
          <w:pPr>
            <w:pStyle w:val="Header"/>
            <w:tabs>
              <w:tab w:val="clear" w:pos="4680"/>
              <w:tab w:val="left" w:pos="379"/>
              <w:tab w:val="left" w:pos="732"/>
              <w:tab w:val="left" w:pos="972"/>
              <w:tab w:val="left" w:pos="1432"/>
              <w:tab w:val="left" w:pos="1794"/>
              <w:tab w:val="left" w:pos="2156"/>
              <w:tab w:val="left" w:pos="2534"/>
              <w:tab w:val="left" w:pos="2880"/>
              <w:tab w:val="left" w:pos="3242"/>
              <w:tab w:val="left" w:pos="3600"/>
              <w:tab w:val="left" w:pos="4320"/>
              <w:tab w:val="left" w:pos="5040"/>
              <w:tab w:val="left" w:pos="5760"/>
              <w:tab w:val="left" w:pos="6480"/>
              <w:tab w:val="left" w:pos="7200"/>
              <w:tab w:val="left" w:pos="7920"/>
              <w:tab w:val="left" w:pos="8640"/>
            </w:tabs>
            <w:rPr>
              <w:sz w:val="16"/>
              <w:szCs w:val="16"/>
            </w:rPr>
          </w:pPr>
          <w:r>
            <w:rPr>
              <w:sz w:val="16"/>
              <w:szCs w:val="16"/>
            </w:rPr>
            <w:t>3/2/2025</w:t>
          </w:r>
        </w:p>
      </w:tc>
      <w:tc>
        <w:tcPr>
          <w:tcW w:w="1170" w:type="dxa"/>
          <w:tcBorders>
            <w:bottom w:val="single" w:sz="4" w:space="0" w:color="auto"/>
          </w:tcBorders>
          <w:shd w:val="clear" w:color="auto" w:fill="D9D9D9" w:themeFill="background1" w:themeFillShade="D9"/>
        </w:tcPr>
        <w:p w14:paraId="6C30B057" w14:textId="77777777" w:rsidR="00A556B8" w:rsidRDefault="00A556B8" w:rsidP="006C4A95">
          <w:pPr>
            <w:pStyle w:val="Header"/>
            <w:tabs>
              <w:tab w:val="clear" w:pos="4680"/>
              <w:tab w:val="left" w:pos="4320"/>
              <w:tab w:val="left" w:pos="5040"/>
              <w:tab w:val="left" w:pos="5760"/>
              <w:tab w:val="left" w:pos="6480"/>
              <w:tab w:val="left" w:pos="7200"/>
              <w:tab w:val="left" w:pos="7920"/>
              <w:tab w:val="left" w:pos="8640"/>
            </w:tabs>
            <w:ind w:right="-80"/>
            <w:jc w:val="right"/>
            <w:rPr>
              <w:sz w:val="16"/>
              <w:szCs w:val="16"/>
            </w:rPr>
          </w:pPr>
          <w:r>
            <w:rPr>
              <w:sz w:val="16"/>
              <w:szCs w:val="16"/>
            </w:rPr>
            <w:t>email ID:</w:t>
          </w:r>
        </w:p>
      </w:tc>
      <w:tc>
        <w:tcPr>
          <w:tcW w:w="3410" w:type="dxa"/>
          <w:tcBorders>
            <w:bottom w:val="single" w:sz="4" w:space="0" w:color="auto"/>
          </w:tcBorders>
          <w:shd w:val="clear" w:color="auto" w:fill="FFFF99"/>
        </w:tcPr>
        <w:p w14:paraId="22E9D818" w14:textId="3F39702A" w:rsidR="00A556B8" w:rsidRDefault="00A644A8" w:rsidP="006C4A95">
          <w:pPr>
            <w:pStyle w:val="Header"/>
            <w:tabs>
              <w:tab w:val="clear" w:pos="4680"/>
              <w:tab w:val="left" w:pos="4320"/>
              <w:tab w:val="left" w:pos="5040"/>
              <w:tab w:val="left" w:pos="5760"/>
              <w:tab w:val="left" w:pos="6480"/>
              <w:tab w:val="left" w:pos="7200"/>
              <w:tab w:val="left" w:pos="7920"/>
              <w:tab w:val="left" w:pos="8640"/>
            </w:tabs>
            <w:ind w:right="10"/>
            <w:rPr>
              <w:sz w:val="16"/>
              <w:szCs w:val="16"/>
            </w:rPr>
          </w:pPr>
          <w:r>
            <w:rPr>
              <w:sz w:val="16"/>
              <w:szCs w:val="16"/>
            </w:rPr>
            <w:t>Tjv55@nau.edu</w:t>
          </w:r>
        </w:p>
      </w:tc>
    </w:tr>
    <w:tr w:rsidR="00524DA8" w14:paraId="3A1BD1FE" w14:textId="77777777" w:rsidTr="006C4A95">
      <w:trPr>
        <w:trHeight w:val="43"/>
      </w:trPr>
      <w:tc>
        <w:tcPr>
          <w:tcW w:w="9728" w:type="dxa"/>
          <w:gridSpan w:val="6"/>
          <w:tcBorders>
            <w:left w:val="nil"/>
            <w:right w:val="nil"/>
          </w:tcBorders>
          <w:shd w:val="clear" w:color="auto" w:fill="auto"/>
        </w:tcPr>
        <w:p w14:paraId="18CE36DF" w14:textId="77777777" w:rsidR="00524DA8" w:rsidRDefault="00524DA8" w:rsidP="006C4A95">
          <w:pPr>
            <w:pStyle w:val="Header"/>
            <w:tabs>
              <w:tab w:val="clear" w:pos="4680"/>
              <w:tab w:val="left" w:pos="4320"/>
              <w:tab w:val="left" w:pos="5040"/>
              <w:tab w:val="left" w:pos="5760"/>
              <w:tab w:val="left" w:pos="6480"/>
              <w:tab w:val="left" w:pos="7200"/>
              <w:tab w:val="left" w:pos="7920"/>
              <w:tab w:val="left" w:pos="8640"/>
            </w:tabs>
            <w:ind w:right="10"/>
            <w:rPr>
              <w:sz w:val="16"/>
              <w:szCs w:val="16"/>
            </w:rPr>
          </w:pPr>
        </w:p>
      </w:tc>
    </w:tr>
    <w:tr w:rsidR="00524DA8" w14:paraId="17741398" w14:textId="77777777" w:rsidTr="00524DA8">
      <w:tc>
        <w:tcPr>
          <w:tcW w:w="9728" w:type="dxa"/>
          <w:gridSpan w:val="6"/>
          <w:shd w:val="clear" w:color="auto" w:fill="FFFF99"/>
        </w:tcPr>
        <w:p w14:paraId="66E26CC8" w14:textId="5020122D" w:rsidR="00524DA8" w:rsidRDefault="00E54A38" w:rsidP="00E54A38">
          <w:pPr>
            <w:pStyle w:val="Header"/>
            <w:tabs>
              <w:tab w:val="left" w:pos="4320"/>
              <w:tab w:val="left" w:pos="5040"/>
              <w:tab w:val="left" w:pos="5760"/>
              <w:tab w:val="left" w:pos="6480"/>
              <w:tab w:val="left" w:pos="7200"/>
              <w:tab w:val="left" w:pos="7920"/>
              <w:tab w:val="left" w:pos="8640"/>
            </w:tabs>
            <w:ind w:right="10"/>
            <w:jc w:val="center"/>
            <w:rPr>
              <w:sz w:val="16"/>
              <w:szCs w:val="16"/>
            </w:rPr>
          </w:pPr>
          <w:r w:rsidRPr="00E54A38">
            <w:rPr>
              <w:sz w:val="16"/>
              <w:szCs w:val="16"/>
            </w:rPr>
            <w:t>EU General Data Protection Regulation (GDPR)</w:t>
          </w:r>
        </w:p>
      </w:tc>
    </w:tr>
  </w:tbl>
  <w:p w14:paraId="5BBCFD6A" w14:textId="77777777" w:rsidR="00A556B8" w:rsidRDefault="00A556B8" w:rsidP="0008220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8E8"/>
    <w:multiLevelType w:val="hybridMultilevel"/>
    <w:tmpl w:val="5D14500E"/>
    <w:lvl w:ilvl="0" w:tplc="D28249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0655C9"/>
    <w:multiLevelType w:val="hybridMultilevel"/>
    <w:tmpl w:val="36A83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EE49C3"/>
    <w:multiLevelType w:val="hybridMultilevel"/>
    <w:tmpl w:val="EDD00D5C"/>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B9379C8"/>
    <w:multiLevelType w:val="hybridMultilevel"/>
    <w:tmpl w:val="96526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41862"/>
    <w:multiLevelType w:val="hybridMultilevel"/>
    <w:tmpl w:val="2CE471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5A1695"/>
    <w:multiLevelType w:val="hybridMultilevel"/>
    <w:tmpl w:val="0AFCD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6E7478"/>
    <w:multiLevelType w:val="hybridMultilevel"/>
    <w:tmpl w:val="F5F2CF6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7F6ECD"/>
    <w:multiLevelType w:val="hybridMultilevel"/>
    <w:tmpl w:val="EF0C6202"/>
    <w:lvl w:ilvl="0" w:tplc="7116E9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0B0A5D"/>
    <w:multiLevelType w:val="multilevel"/>
    <w:tmpl w:val="5D14500E"/>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3939000D"/>
    <w:multiLevelType w:val="hybridMultilevel"/>
    <w:tmpl w:val="656E8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96D3BE7"/>
    <w:multiLevelType w:val="multilevel"/>
    <w:tmpl w:val="A2285322"/>
    <w:lvl w:ilvl="0">
      <w:start w:val="1"/>
      <w:numFmt w:val="bullet"/>
      <w:lvlText w:val=""/>
      <w:lvlJc w:val="left"/>
      <w:pPr>
        <w:tabs>
          <w:tab w:val="num" w:pos="-540"/>
        </w:tabs>
        <w:ind w:left="-540" w:hanging="360"/>
      </w:pPr>
      <w:rPr>
        <w:rFonts w:ascii="Wingdings" w:hAnsi="Wingdings" w:hint="default"/>
        <w:sz w:val="20"/>
      </w:rPr>
    </w:lvl>
    <w:lvl w:ilvl="1" w:tentative="1">
      <w:start w:val="1"/>
      <w:numFmt w:val="bullet"/>
      <w:lvlText w:val=""/>
      <w:lvlJc w:val="left"/>
      <w:pPr>
        <w:tabs>
          <w:tab w:val="num" w:pos="180"/>
        </w:tabs>
        <w:ind w:left="180" w:hanging="360"/>
      </w:pPr>
      <w:rPr>
        <w:rFonts w:ascii="Wingdings" w:hAnsi="Wingdings" w:hint="default"/>
        <w:sz w:val="20"/>
      </w:rPr>
    </w:lvl>
    <w:lvl w:ilvl="2" w:tentative="1">
      <w:start w:val="1"/>
      <w:numFmt w:val="bullet"/>
      <w:lvlText w:val=""/>
      <w:lvlJc w:val="left"/>
      <w:pPr>
        <w:tabs>
          <w:tab w:val="num" w:pos="900"/>
        </w:tabs>
        <w:ind w:left="900" w:hanging="360"/>
      </w:pPr>
      <w:rPr>
        <w:rFonts w:ascii="Wingdings" w:hAnsi="Wingdings" w:hint="default"/>
        <w:sz w:val="20"/>
      </w:rPr>
    </w:lvl>
    <w:lvl w:ilvl="3" w:tentative="1">
      <w:start w:val="1"/>
      <w:numFmt w:val="bullet"/>
      <w:lvlText w:val=""/>
      <w:lvlJc w:val="left"/>
      <w:pPr>
        <w:tabs>
          <w:tab w:val="num" w:pos="1620"/>
        </w:tabs>
        <w:ind w:left="1620" w:hanging="360"/>
      </w:pPr>
      <w:rPr>
        <w:rFonts w:ascii="Wingdings" w:hAnsi="Wingdings" w:hint="default"/>
        <w:sz w:val="20"/>
      </w:rPr>
    </w:lvl>
    <w:lvl w:ilvl="4" w:tentative="1">
      <w:start w:val="1"/>
      <w:numFmt w:val="bullet"/>
      <w:lvlText w:val=""/>
      <w:lvlJc w:val="left"/>
      <w:pPr>
        <w:tabs>
          <w:tab w:val="num" w:pos="2340"/>
        </w:tabs>
        <w:ind w:left="2340" w:hanging="360"/>
      </w:pPr>
      <w:rPr>
        <w:rFonts w:ascii="Wingdings" w:hAnsi="Wingdings" w:hint="default"/>
        <w:sz w:val="20"/>
      </w:rPr>
    </w:lvl>
    <w:lvl w:ilvl="5" w:tentative="1">
      <w:start w:val="1"/>
      <w:numFmt w:val="bullet"/>
      <w:lvlText w:val=""/>
      <w:lvlJc w:val="left"/>
      <w:pPr>
        <w:tabs>
          <w:tab w:val="num" w:pos="3060"/>
        </w:tabs>
        <w:ind w:left="3060" w:hanging="360"/>
      </w:pPr>
      <w:rPr>
        <w:rFonts w:ascii="Wingdings" w:hAnsi="Wingdings" w:hint="default"/>
        <w:sz w:val="20"/>
      </w:rPr>
    </w:lvl>
    <w:lvl w:ilvl="6" w:tentative="1">
      <w:start w:val="1"/>
      <w:numFmt w:val="bullet"/>
      <w:lvlText w:val=""/>
      <w:lvlJc w:val="left"/>
      <w:pPr>
        <w:tabs>
          <w:tab w:val="num" w:pos="3780"/>
        </w:tabs>
        <w:ind w:left="3780" w:hanging="360"/>
      </w:pPr>
      <w:rPr>
        <w:rFonts w:ascii="Wingdings" w:hAnsi="Wingdings" w:hint="default"/>
        <w:sz w:val="20"/>
      </w:rPr>
    </w:lvl>
    <w:lvl w:ilvl="7" w:tentative="1">
      <w:start w:val="1"/>
      <w:numFmt w:val="bullet"/>
      <w:lvlText w:val=""/>
      <w:lvlJc w:val="left"/>
      <w:pPr>
        <w:tabs>
          <w:tab w:val="num" w:pos="4500"/>
        </w:tabs>
        <w:ind w:left="4500" w:hanging="360"/>
      </w:pPr>
      <w:rPr>
        <w:rFonts w:ascii="Wingdings" w:hAnsi="Wingdings" w:hint="default"/>
        <w:sz w:val="20"/>
      </w:rPr>
    </w:lvl>
    <w:lvl w:ilvl="8" w:tentative="1">
      <w:start w:val="1"/>
      <w:numFmt w:val="bullet"/>
      <w:lvlText w:val=""/>
      <w:lvlJc w:val="left"/>
      <w:pPr>
        <w:tabs>
          <w:tab w:val="num" w:pos="5220"/>
        </w:tabs>
        <w:ind w:left="5220" w:hanging="360"/>
      </w:pPr>
      <w:rPr>
        <w:rFonts w:ascii="Wingdings" w:hAnsi="Wingdings" w:hint="default"/>
        <w:sz w:val="20"/>
      </w:rPr>
    </w:lvl>
  </w:abstractNum>
  <w:abstractNum w:abstractNumId="11" w15:restartNumberingAfterBreak="0">
    <w:nsid w:val="4BD907C5"/>
    <w:multiLevelType w:val="hybridMultilevel"/>
    <w:tmpl w:val="7B66925E"/>
    <w:lvl w:ilvl="0" w:tplc="D28249EC">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C452F9"/>
    <w:multiLevelType w:val="hybridMultilevel"/>
    <w:tmpl w:val="DE2CD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E961DC"/>
    <w:multiLevelType w:val="multilevel"/>
    <w:tmpl w:val="0154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9E754F"/>
    <w:multiLevelType w:val="hybridMultilevel"/>
    <w:tmpl w:val="3AD2D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701351"/>
    <w:multiLevelType w:val="hybridMultilevel"/>
    <w:tmpl w:val="96F60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1F4F81"/>
    <w:multiLevelType w:val="hybridMultilevel"/>
    <w:tmpl w:val="B3A44E14"/>
    <w:lvl w:ilvl="0" w:tplc="C144E80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9122413">
    <w:abstractNumId w:val="10"/>
  </w:num>
  <w:num w:numId="2" w16cid:durableId="1315068016">
    <w:abstractNumId w:val="4"/>
  </w:num>
  <w:num w:numId="3" w16cid:durableId="597099314">
    <w:abstractNumId w:val="1"/>
  </w:num>
  <w:num w:numId="4" w16cid:durableId="834418594">
    <w:abstractNumId w:val="7"/>
  </w:num>
  <w:num w:numId="5" w16cid:durableId="2028024713">
    <w:abstractNumId w:val="16"/>
  </w:num>
  <w:num w:numId="6" w16cid:durableId="1140806779">
    <w:abstractNumId w:val="12"/>
  </w:num>
  <w:num w:numId="7" w16cid:durableId="8533908">
    <w:abstractNumId w:val="14"/>
  </w:num>
  <w:num w:numId="8" w16cid:durableId="1007249048">
    <w:abstractNumId w:val="0"/>
  </w:num>
  <w:num w:numId="9" w16cid:durableId="251593851">
    <w:abstractNumId w:val="8"/>
  </w:num>
  <w:num w:numId="10" w16cid:durableId="467821687">
    <w:abstractNumId w:val="11"/>
  </w:num>
  <w:num w:numId="11" w16cid:durableId="105273841">
    <w:abstractNumId w:val="2"/>
  </w:num>
  <w:num w:numId="12" w16cid:durableId="1555582352">
    <w:abstractNumId w:val="6"/>
  </w:num>
  <w:num w:numId="13" w16cid:durableId="236523481">
    <w:abstractNumId w:val="3"/>
  </w:num>
  <w:num w:numId="14" w16cid:durableId="336428536">
    <w:abstractNumId w:val="13"/>
  </w:num>
  <w:num w:numId="15" w16cid:durableId="1427574378">
    <w:abstractNumId w:val="5"/>
  </w:num>
  <w:num w:numId="16" w16cid:durableId="1430349024">
    <w:abstractNumId w:val="9"/>
  </w:num>
  <w:num w:numId="17" w16cid:durableId="8281326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F07"/>
    <w:rsid w:val="00016556"/>
    <w:rsid w:val="0003160F"/>
    <w:rsid w:val="000814E8"/>
    <w:rsid w:val="00082203"/>
    <w:rsid w:val="000B79C9"/>
    <w:rsid w:val="000C2ED2"/>
    <w:rsid w:val="000D0304"/>
    <w:rsid w:val="00134176"/>
    <w:rsid w:val="00151E35"/>
    <w:rsid w:val="00160EA1"/>
    <w:rsid w:val="00182CD3"/>
    <w:rsid w:val="001B45C0"/>
    <w:rsid w:val="001D744F"/>
    <w:rsid w:val="001F515F"/>
    <w:rsid w:val="001F7AE3"/>
    <w:rsid w:val="00206E6A"/>
    <w:rsid w:val="00210F2B"/>
    <w:rsid w:val="00217286"/>
    <w:rsid w:val="0023392A"/>
    <w:rsid w:val="002451AC"/>
    <w:rsid w:val="00262EC9"/>
    <w:rsid w:val="00262F51"/>
    <w:rsid w:val="00294B82"/>
    <w:rsid w:val="00295C78"/>
    <w:rsid w:val="00296E43"/>
    <w:rsid w:val="002D2BB4"/>
    <w:rsid w:val="00303D07"/>
    <w:rsid w:val="00316B1B"/>
    <w:rsid w:val="003205F8"/>
    <w:rsid w:val="0036052A"/>
    <w:rsid w:val="00365017"/>
    <w:rsid w:val="003817A2"/>
    <w:rsid w:val="003949A2"/>
    <w:rsid w:val="003C3200"/>
    <w:rsid w:val="003C7070"/>
    <w:rsid w:val="003E75BA"/>
    <w:rsid w:val="00402D1B"/>
    <w:rsid w:val="00453464"/>
    <w:rsid w:val="00486757"/>
    <w:rsid w:val="00494AC0"/>
    <w:rsid w:val="004A1284"/>
    <w:rsid w:val="004B461D"/>
    <w:rsid w:val="004B7BD9"/>
    <w:rsid w:val="004C57F0"/>
    <w:rsid w:val="004C7A36"/>
    <w:rsid w:val="004F2622"/>
    <w:rsid w:val="00524DA8"/>
    <w:rsid w:val="00533991"/>
    <w:rsid w:val="005B32D1"/>
    <w:rsid w:val="005D69BF"/>
    <w:rsid w:val="005E658A"/>
    <w:rsid w:val="005F2025"/>
    <w:rsid w:val="00622F1C"/>
    <w:rsid w:val="00640D41"/>
    <w:rsid w:val="00693216"/>
    <w:rsid w:val="006C4A95"/>
    <w:rsid w:val="006C4B60"/>
    <w:rsid w:val="006F213B"/>
    <w:rsid w:val="006F763E"/>
    <w:rsid w:val="00725F4C"/>
    <w:rsid w:val="0079281F"/>
    <w:rsid w:val="007B76F7"/>
    <w:rsid w:val="008052AC"/>
    <w:rsid w:val="00805C17"/>
    <w:rsid w:val="00811B1C"/>
    <w:rsid w:val="00860B80"/>
    <w:rsid w:val="008A6321"/>
    <w:rsid w:val="008B1B59"/>
    <w:rsid w:val="008D5405"/>
    <w:rsid w:val="00900A1B"/>
    <w:rsid w:val="0093483E"/>
    <w:rsid w:val="00947B1E"/>
    <w:rsid w:val="009511CD"/>
    <w:rsid w:val="00965E18"/>
    <w:rsid w:val="00995B2E"/>
    <w:rsid w:val="009D5132"/>
    <w:rsid w:val="009F028A"/>
    <w:rsid w:val="00A13682"/>
    <w:rsid w:val="00A55275"/>
    <w:rsid w:val="00A556B8"/>
    <w:rsid w:val="00A644A8"/>
    <w:rsid w:val="00A65185"/>
    <w:rsid w:val="00A66B4B"/>
    <w:rsid w:val="00AC1223"/>
    <w:rsid w:val="00AD6D0A"/>
    <w:rsid w:val="00B16178"/>
    <w:rsid w:val="00B86BD6"/>
    <w:rsid w:val="00BA52EB"/>
    <w:rsid w:val="00BE7F07"/>
    <w:rsid w:val="00C771AE"/>
    <w:rsid w:val="00C84274"/>
    <w:rsid w:val="00CC4B8C"/>
    <w:rsid w:val="00D42236"/>
    <w:rsid w:val="00D63B14"/>
    <w:rsid w:val="00D770CF"/>
    <w:rsid w:val="00DA293D"/>
    <w:rsid w:val="00DA6579"/>
    <w:rsid w:val="00E011F0"/>
    <w:rsid w:val="00E01B92"/>
    <w:rsid w:val="00E54A38"/>
    <w:rsid w:val="00E57D9B"/>
    <w:rsid w:val="00E7597D"/>
    <w:rsid w:val="00E8566A"/>
    <w:rsid w:val="00E90DA1"/>
    <w:rsid w:val="00E9485D"/>
    <w:rsid w:val="00EB71A0"/>
    <w:rsid w:val="00ED0941"/>
    <w:rsid w:val="00ED418E"/>
    <w:rsid w:val="00F00F68"/>
    <w:rsid w:val="00F15738"/>
    <w:rsid w:val="00F27C43"/>
    <w:rsid w:val="00F6772C"/>
    <w:rsid w:val="00F8713A"/>
    <w:rsid w:val="00FA1344"/>
    <w:rsid w:val="00FC5B17"/>
    <w:rsid w:val="00FC6463"/>
    <w:rsid w:val="00FF20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BA048C"/>
  <w15:docId w15:val="{B3EF00A2-67DF-5A47-9865-E6CD208CF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451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51AC"/>
    <w:rPr>
      <w:rFonts w:ascii="Tahoma" w:hAnsi="Tahoma" w:cs="Tahoma"/>
      <w:sz w:val="16"/>
      <w:szCs w:val="16"/>
    </w:rPr>
  </w:style>
  <w:style w:type="character" w:styleId="Hyperlink">
    <w:name w:val="Hyperlink"/>
    <w:basedOn w:val="DefaultParagraphFont"/>
    <w:uiPriority w:val="99"/>
    <w:unhideWhenUsed/>
    <w:rsid w:val="002451AC"/>
    <w:rPr>
      <w:color w:val="0000FF" w:themeColor="hyperlink"/>
      <w:u w:val="single"/>
    </w:rPr>
  </w:style>
  <w:style w:type="paragraph" w:styleId="NormalWeb">
    <w:name w:val="Normal (Web)"/>
    <w:basedOn w:val="Normal"/>
    <w:uiPriority w:val="99"/>
    <w:semiHidden/>
    <w:unhideWhenUsed/>
    <w:rsid w:val="002451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451AC"/>
  </w:style>
  <w:style w:type="paragraph" w:styleId="ListParagraph">
    <w:name w:val="List Paragraph"/>
    <w:basedOn w:val="Normal"/>
    <w:uiPriority w:val="34"/>
    <w:qFormat/>
    <w:rsid w:val="00402D1B"/>
    <w:pPr>
      <w:ind w:left="720"/>
      <w:contextualSpacing/>
    </w:pPr>
  </w:style>
  <w:style w:type="table" w:styleId="TableGrid">
    <w:name w:val="Table Grid"/>
    <w:basedOn w:val="TableNormal"/>
    <w:uiPriority w:val="59"/>
    <w:rsid w:val="003205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2C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CD3"/>
  </w:style>
  <w:style w:type="paragraph" w:styleId="Footer">
    <w:name w:val="footer"/>
    <w:basedOn w:val="Normal"/>
    <w:link w:val="FooterChar"/>
    <w:uiPriority w:val="99"/>
    <w:unhideWhenUsed/>
    <w:rsid w:val="00182C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CD3"/>
  </w:style>
  <w:style w:type="character" w:styleId="PlaceholderText">
    <w:name w:val="Placeholder Text"/>
    <w:basedOn w:val="DefaultParagraphFont"/>
    <w:uiPriority w:val="99"/>
    <w:semiHidden/>
    <w:rsid w:val="00D770CF"/>
    <w:rPr>
      <w:color w:val="808080"/>
    </w:rPr>
  </w:style>
  <w:style w:type="character" w:styleId="UnresolvedMention">
    <w:name w:val="Unresolved Mention"/>
    <w:basedOn w:val="DefaultParagraphFont"/>
    <w:uiPriority w:val="99"/>
    <w:semiHidden/>
    <w:unhideWhenUsed/>
    <w:rsid w:val="001D7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069466">
      <w:bodyDiv w:val="1"/>
      <w:marLeft w:val="0"/>
      <w:marRight w:val="0"/>
      <w:marTop w:val="0"/>
      <w:marBottom w:val="0"/>
      <w:divBdr>
        <w:top w:val="none" w:sz="0" w:space="0" w:color="auto"/>
        <w:left w:val="none" w:sz="0" w:space="0" w:color="auto"/>
        <w:bottom w:val="none" w:sz="0" w:space="0" w:color="auto"/>
        <w:right w:val="none" w:sz="0" w:space="0" w:color="auto"/>
      </w:divBdr>
    </w:div>
    <w:div w:id="239288474">
      <w:bodyDiv w:val="1"/>
      <w:marLeft w:val="0"/>
      <w:marRight w:val="0"/>
      <w:marTop w:val="0"/>
      <w:marBottom w:val="0"/>
      <w:divBdr>
        <w:top w:val="none" w:sz="0" w:space="0" w:color="auto"/>
        <w:left w:val="none" w:sz="0" w:space="0" w:color="auto"/>
        <w:bottom w:val="none" w:sz="0" w:space="0" w:color="auto"/>
        <w:right w:val="none" w:sz="0" w:space="0" w:color="auto"/>
      </w:divBdr>
    </w:div>
    <w:div w:id="943264226">
      <w:bodyDiv w:val="1"/>
      <w:marLeft w:val="0"/>
      <w:marRight w:val="0"/>
      <w:marTop w:val="0"/>
      <w:marBottom w:val="0"/>
      <w:divBdr>
        <w:top w:val="none" w:sz="0" w:space="0" w:color="auto"/>
        <w:left w:val="none" w:sz="0" w:space="0" w:color="auto"/>
        <w:bottom w:val="none" w:sz="0" w:space="0" w:color="auto"/>
        <w:right w:val="none" w:sz="0" w:space="0" w:color="auto"/>
      </w:divBdr>
    </w:div>
    <w:div w:id="1496527843">
      <w:bodyDiv w:val="1"/>
      <w:marLeft w:val="0"/>
      <w:marRight w:val="0"/>
      <w:marTop w:val="0"/>
      <w:marBottom w:val="0"/>
      <w:divBdr>
        <w:top w:val="none" w:sz="0" w:space="0" w:color="auto"/>
        <w:left w:val="none" w:sz="0" w:space="0" w:color="auto"/>
        <w:bottom w:val="none" w:sz="0" w:space="0" w:color="auto"/>
        <w:right w:val="none" w:sz="0" w:space="0" w:color="auto"/>
      </w:divBdr>
      <w:divsChild>
        <w:div w:id="950353943">
          <w:marLeft w:val="0"/>
          <w:marRight w:val="0"/>
          <w:marTop w:val="0"/>
          <w:marBottom w:val="0"/>
          <w:divBdr>
            <w:top w:val="none" w:sz="0" w:space="0" w:color="auto"/>
            <w:left w:val="none" w:sz="0" w:space="0" w:color="auto"/>
            <w:bottom w:val="none" w:sz="0" w:space="0" w:color="auto"/>
            <w:right w:val="none" w:sz="0" w:space="0" w:color="auto"/>
          </w:divBdr>
        </w:div>
      </w:divsChild>
    </w:div>
    <w:div w:id="1594780164">
      <w:bodyDiv w:val="1"/>
      <w:marLeft w:val="0"/>
      <w:marRight w:val="0"/>
      <w:marTop w:val="0"/>
      <w:marBottom w:val="0"/>
      <w:divBdr>
        <w:top w:val="none" w:sz="0" w:space="0" w:color="auto"/>
        <w:left w:val="none" w:sz="0" w:space="0" w:color="auto"/>
        <w:bottom w:val="none" w:sz="0" w:space="0" w:color="auto"/>
        <w:right w:val="none" w:sz="0" w:space="0" w:color="auto"/>
      </w:divBdr>
    </w:div>
    <w:div w:id="1630088564">
      <w:bodyDiv w:val="1"/>
      <w:marLeft w:val="0"/>
      <w:marRight w:val="0"/>
      <w:marTop w:val="0"/>
      <w:marBottom w:val="0"/>
      <w:divBdr>
        <w:top w:val="none" w:sz="0" w:space="0" w:color="auto"/>
        <w:left w:val="none" w:sz="0" w:space="0" w:color="auto"/>
        <w:bottom w:val="none" w:sz="0" w:space="0" w:color="auto"/>
        <w:right w:val="none" w:sz="0" w:space="0" w:color="auto"/>
      </w:divBdr>
    </w:div>
    <w:div w:id="1696031661">
      <w:bodyDiv w:val="1"/>
      <w:marLeft w:val="0"/>
      <w:marRight w:val="0"/>
      <w:marTop w:val="0"/>
      <w:marBottom w:val="0"/>
      <w:divBdr>
        <w:top w:val="none" w:sz="0" w:space="0" w:color="auto"/>
        <w:left w:val="none" w:sz="0" w:space="0" w:color="auto"/>
        <w:bottom w:val="none" w:sz="0" w:space="0" w:color="auto"/>
        <w:right w:val="none" w:sz="0" w:space="0" w:color="auto"/>
      </w:divBdr>
    </w:div>
    <w:div w:id="1828009091">
      <w:bodyDiv w:val="1"/>
      <w:marLeft w:val="0"/>
      <w:marRight w:val="0"/>
      <w:marTop w:val="0"/>
      <w:marBottom w:val="0"/>
      <w:divBdr>
        <w:top w:val="none" w:sz="0" w:space="0" w:color="auto"/>
        <w:left w:val="none" w:sz="0" w:space="0" w:color="auto"/>
        <w:bottom w:val="none" w:sz="0" w:space="0" w:color="auto"/>
        <w:right w:val="none" w:sz="0" w:space="0" w:color="auto"/>
      </w:divBdr>
    </w:div>
    <w:div w:id="1859806825">
      <w:bodyDiv w:val="1"/>
      <w:marLeft w:val="0"/>
      <w:marRight w:val="0"/>
      <w:marTop w:val="0"/>
      <w:marBottom w:val="0"/>
      <w:divBdr>
        <w:top w:val="none" w:sz="0" w:space="0" w:color="auto"/>
        <w:left w:val="none" w:sz="0" w:space="0" w:color="auto"/>
        <w:bottom w:val="none" w:sz="0" w:space="0" w:color="auto"/>
        <w:right w:val="none" w:sz="0" w:space="0" w:color="auto"/>
      </w:divBdr>
    </w:div>
    <w:div w:id="1881161177">
      <w:bodyDiv w:val="1"/>
      <w:marLeft w:val="0"/>
      <w:marRight w:val="0"/>
      <w:marTop w:val="0"/>
      <w:marBottom w:val="0"/>
      <w:divBdr>
        <w:top w:val="none" w:sz="0" w:space="0" w:color="auto"/>
        <w:left w:val="none" w:sz="0" w:space="0" w:color="auto"/>
        <w:bottom w:val="none" w:sz="0" w:space="0" w:color="auto"/>
        <w:right w:val="none" w:sz="0" w:space="0" w:color="auto"/>
      </w:divBdr>
    </w:div>
    <w:div w:id="1902129379">
      <w:bodyDiv w:val="1"/>
      <w:marLeft w:val="0"/>
      <w:marRight w:val="0"/>
      <w:marTop w:val="0"/>
      <w:marBottom w:val="0"/>
      <w:divBdr>
        <w:top w:val="none" w:sz="0" w:space="0" w:color="auto"/>
        <w:left w:val="none" w:sz="0" w:space="0" w:color="auto"/>
        <w:bottom w:val="none" w:sz="0" w:space="0" w:color="auto"/>
        <w:right w:val="none" w:sz="0" w:space="0" w:color="auto"/>
      </w:divBdr>
    </w:div>
    <w:div w:id="1980458147">
      <w:bodyDiv w:val="1"/>
      <w:marLeft w:val="0"/>
      <w:marRight w:val="0"/>
      <w:marTop w:val="0"/>
      <w:marBottom w:val="0"/>
      <w:divBdr>
        <w:top w:val="none" w:sz="0" w:space="0" w:color="auto"/>
        <w:left w:val="none" w:sz="0" w:space="0" w:color="auto"/>
        <w:bottom w:val="none" w:sz="0" w:space="0" w:color="auto"/>
        <w:right w:val="none" w:sz="0" w:space="0" w:color="auto"/>
      </w:divBdr>
    </w:div>
    <w:div w:id="1998217635">
      <w:bodyDiv w:val="1"/>
      <w:marLeft w:val="0"/>
      <w:marRight w:val="0"/>
      <w:marTop w:val="0"/>
      <w:marBottom w:val="0"/>
      <w:divBdr>
        <w:top w:val="none" w:sz="0" w:space="0" w:color="auto"/>
        <w:left w:val="none" w:sz="0" w:space="0" w:color="auto"/>
        <w:bottom w:val="none" w:sz="0" w:space="0" w:color="auto"/>
        <w:right w:val="none" w:sz="0" w:space="0" w:color="auto"/>
      </w:divBdr>
    </w:div>
    <w:div w:id="2133597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loitte.com/nl/en/services/risk-advisory/perspectives/cyber-security-privacy-gdpr-update-the-impact-on-cloud-computing.html" TargetMode="External"/><Relationship Id="rId13" Type="http://schemas.openxmlformats.org/officeDocument/2006/relationships/hyperlink" Target="https://www.techtarget.com/searchstorage/tip/Tips-to-achieve-compliance-with-GDPR-in-cloud-storag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ysdig.com/learn-cloud-native/a-guide-to-gdpr-compliance-for-containers-and-the-cloud/"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tgovernance.eu/blog/en/summary-of-the-gdprs-10-key-requirement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dpr.eu/what-is-gdpr/" TargetMode="External"/><Relationship Id="rId4" Type="http://schemas.openxmlformats.org/officeDocument/2006/relationships/settings" Target="settings.xml"/><Relationship Id="rId9" Type="http://schemas.openxmlformats.org/officeDocument/2006/relationships/hyperlink" Target="https://www.gdpr-advisor.com/gdpr-and-cloud-computing-safeguarding-data-in-the-digital-cloud/"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60DEB2-4836-FC4E-8803-614263DD4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1051</Words>
  <Characters>5995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ASU</Company>
  <LinksUpToDate>false</LinksUpToDate>
  <CharactersWithSpaces>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Ira A. Fulton School of Engineering</dc:creator>
  <cp:lastModifiedBy>Tyler James Vander Mooren</cp:lastModifiedBy>
  <cp:revision>9</cp:revision>
  <cp:lastPrinted>2014-08-20T00:46:00Z</cp:lastPrinted>
  <dcterms:created xsi:type="dcterms:W3CDTF">2024-01-13T20:52:00Z</dcterms:created>
  <dcterms:modified xsi:type="dcterms:W3CDTF">2025-03-02T15:53:00Z</dcterms:modified>
</cp:coreProperties>
</file>