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784D" w14:textId="77777777" w:rsidR="0041389E" w:rsidRDefault="0041389E" w:rsidP="003F543A">
      <w:pPr>
        <w:rPr>
          <w:b/>
          <w:bCs/>
          <w:i/>
          <w:iCs/>
        </w:rPr>
      </w:pPr>
      <w:r w:rsidRPr="0041389E">
        <w:rPr>
          <w:b/>
          <w:bCs/>
          <w:i/>
          <w:iCs/>
        </w:rPr>
        <w:t>What impacts have various national crime commissions, i.e., the Church Commission, Wickersham Commission, and 9/11 Commission, had on law enforcement intelligence activities in the United States?</w:t>
      </w:r>
    </w:p>
    <w:p w14:paraId="0BF7E5DB" w14:textId="5E527BB5" w:rsidR="0041389E" w:rsidRPr="003B349C" w:rsidRDefault="0041389E" w:rsidP="0041389E">
      <w:r w:rsidRPr="003B349C">
        <w:t xml:space="preserve">Throughout history, various national crime commissions, such as the Wickersham Commission (1929-1931), Church Committee (1975-1976), and 9/11 Commission (2002-2004), have significantly influenced law enforcement intelligence operations in the United States. These commissions were established in response to specific concerns regarding crime, intelligence failures, and government overreach. Their findings led to </w:t>
      </w:r>
      <w:r w:rsidR="003B349C">
        <w:t>significant</w:t>
      </w:r>
      <w:r w:rsidRPr="003B349C">
        <w:t xml:space="preserve"> reforms that reshaped </w:t>
      </w:r>
      <w:r w:rsidR="003B349C">
        <w:t>the collection, sharing, and regulation of intelligence.</w:t>
      </w:r>
    </w:p>
    <w:p w14:paraId="4039C219" w14:textId="77777777" w:rsidR="0041389E" w:rsidRPr="0041389E" w:rsidRDefault="0041389E" w:rsidP="0041389E">
      <w:pPr>
        <w:rPr>
          <w:b/>
          <w:bCs/>
        </w:rPr>
      </w:pPr>
      <w:r w:rsidRPr="0041389E">
        <w:rPr>
          <w:b/>
          <w:bCs/>
        </w:rPr>
        <w:t>The Wickersham Commission (1929-1931)</w:t>
      </w:r>
    </w:p>
    <w:p w14:paraId="02D81420" w14:textId="63A33577" w:rsidR="0041389E" w:rsidRPr="003B349C" w:rsidRDefault="0041389E" w:rsidP="0041389E">
      <w:r w:rsidRPr="003B349C">
        <w:t>The Wickersham Commission, created by President Herbert Hoover, was formed to investigate corruption and inefficiency in law enforcement, particularly in response to issues stemming from Prohibition. The commission found that police departments lacked professional standards and relied heavily on coercive tactics, including illegal wiretapping and excessive force (Grana &amp; Windell, 2021). One major recommendation was the professionalization of law enforcement through improved training and education, leading to the establishment of police academies</w:t>
      </w:r>
      <w:r w:rsidR="003B349C">
        <w:t>.</w:t>
      </w:r>
      <w:r w:rsidRPr="003B349C">
        <w:t xml:space="preserve"> </w:t>
      </w:r>
      <w:r w:rsidR="003B349C">
        <w:t>Also, the adoption</w:t>
      </w:r>
      <w:r w:rsidRPr="003B349C">
        <w:t xml:space="preserve"> of scientific methods in crime detection</w:t>
      </w:r>
      <w:r w:rsidR="003B349C">
        <w:t>,</w:t>
      </w:r>
      <w:r w:rsidR="003B349C" w:rsidRPr="003B349C">
        <w:t xml:space="preserve"> such as forensic analysis, ballistics testing, and fingerprinting</w:t>
      </w:r>
      <w:r w:rsidRPr="003B349C">
        <w:t>.</w:t>
      </w:r>
      <w:r w:rsidR="003B349C">
        <w:t xml:space="preserve"> </w:t>
      </w:r>
      <w:r w:rsidRPr="003B349C">
        <w:t>Additionally, the commission's findings helped expand the role of the FBI in crime intelligence gatherin</w:t>
      </w:r>
      <w:r w:rsidR="00A06A39">
        <w:t>g (Carter, 2022).</w:t>
      </w:r>
    </w:p>
    <w:p w14:paraId="3688B757" w14:textId="77777777" w:rsidR="0041389E" w:rsidRPr="0041389E" w:rsidRDefault="0041389E" w:rsidP="0041389E">
      <w:pPr>
        <w:rPr>
          <w:b/>
          <w:bCs/>
        </w:rPr>
      </w:pPr>
      <w:r w:rsidRPr="0041389E">
        <w:rPr>
          <w:b/>
          <w:bCs/>
        </w:rPr>
        <w:t>The Church Committee (1975-1976)</w:t>
      </w:r>
    </w:p>
    <w:p w14:paraId="35EE426D" w14:textId="74AADFBF" w:rsidR="0041389E" w:rsidRPr="003B349C" w:rsidRDefault="003B349C" w:rsidP="0041389E">
      <w:r>
        <w:t>F</w:t>
      </w:r>
      <w:r w:rsidR="0041389E" w:rsidRPr="003B349C">
        <w:t>ollowing public outrage over intelligence abuses linked to the Watergate scandal and Vietnam War-era surveillance</w:t>
      </w:r>
      <w:r>
        <w:t>, the Church Committee was established.</w:t>
      </w:r>
      <w:r w:rsidR="0041389E" w:rsidRPr="003B349C">
        <w:t xml:space="preserve"> (Grana &amp; Windell, 2021). The committee revealed that intelligence agencies, including the FBI’s COINTELPRO program, had illegally monitored civil rights leaders, journalists, and political activists It also exposed the CIA’s involvement in assassination plots and domestic espionage. In response, Congress passed the Foreign Intelligence Surveillance Act (FISA) of 1978, which required judicial approval for wiretaps and established intelligence oversight committees (</w:t>
      </w:r>
      <w:r w:rsidR="007A0EB0">
        <w:t>Carter</w:t>
      </w:r>
      <w:r w:rsidR="0041389E" w:rsidRPr="003B349C">
        <w:t>, 202</w:t>
      </w:r>
      <w:r w:rsidR="00D63054">
        <w:t>2</w:t>
      </w:r>
      <w:r w:rsidR="0041389E" w:rsidRPr="003B349C">
        <w:t>). These reforms significantly impacted local police intelligence units, requiring stricter adherence to legal frameworks and oversight in intelligence operations. However, new limitations on intelligence</w:t>
      </w:r>
      <w:r w:rsidR="001C31EF">
        <w:t xml:space="preserve"> </w:t>
      </w:r>
      <w:r w:rsidR="0041389E" w:rsidRPr="003B349C">
        <w:t>sharing between agencies later became a weakness in preventing the 9/11 terrorist attacks</w:t>
      </w:r>
      <w:r w:rsidR="00ED3345">
        <w:t xml:space="preserve"> </w:t>
      </w:r>
      <w:r w:rsidR="00ED3345" w:rsidRPr="00ED3345">
        <w:t>(Carter, 202</w:t>
      </w:r>
      <w:r w:rsidR="00D63054">
        <w:t>2</w:t>
      </w:r>
      <w:r w:rsidR="00ED3345" w:rsidRPr="00ED3345">
        <w:t>).</w:t>
      </w:r>
    </w:p>
    <w:p w14:paraId="10771476" w14:textId="77777777" w:rsidR="0041389E" w:rsidRPr="0041389E" w:rsidRDefault="0041389E" w:rsidP="0041389E">
      <w:pPr>
        <w:rPr>
          <w:b/>
          <w:bCs/>
        </w:rPr>
      </w:pPr>
      <w:r w:rsidRPr="0041389E">
        <w:rPr>
          <w:b/>
          <w:bCs/>
        </w:rPr>
        <w:t>The 9/11 Commission (2002-2004)</w:t>
      </w:r>
    </w:p>
    <w:p w14:paraId="4358A392" w14:textId="0E52EB05" w:rsidR="0041389E" w:rsidRPr="003B349C" w:rsidRDefault="00713E73" w:rsidP="0041389E">
      <w:r>
        <w:t>After</w:t>
      </w:r>
      <w:r w:rsidR="0041389E" w:rsidRPr="003B349C">
        <w:t xml:space="preserve"> the terrorist attacks of September 11, 2001, the 9/11 Commission was formed to investigate intelligence failures that allowed the attacks to occur. The commission found </w:t>
      </w:r>
      <w:r w:rsidR="0041389E" w:rsidRPr="003B349C">
        <w:lastRenderedPageBreak/>
        <w:t>that agencies such as the FBI and CIA failed to share critical intelligence, leading to missed opportunities to prevent the attacks</w:t>
      </w:r>
      <w:r w:rsidR="002B7BBF">
        <w:t xml:space="preserve"> </w:t>
      </w:r>
      <w:r w:rsidR="002B7BBF" w:rsidRPr="002B7BBF">
        <w:t>(Carter, 202</w:t>
      </w:r>
      <w:r w:rsidR="00D63054">
        <w:t>2</w:t>
      </w:r>
      <w:r w:rsidR="002B7BBF" w:rsidRPr="002B7BBF">
        <w:t>).</w:t>
      </w:r>
      <w:r w:rsidR="0041389E" w:rsidRPr="003B349C">
        <w:t xml:space="preserve"> One of the key recommendations was the creation of the Department of Homeland Security (DHS) to facilitate intelligence</w:t>
      </w:r>
      <w:r w:rsidR="006E0CEE">
        <w:t xml:space="preserve"> </w:t>
      </w:r>
      <w:r w:rsidR="0041389E" w:rsidRPr="003B349C">
        <w:t>sharing between federal, state, and local law enforcement agencies. Additionally, the commission recommended the establishment of fusion centers, which have since played a crucial role in coordinating intelligence efforts across multiple jurisdictions (Grana &amp; Windell, 2021). The USA PATRIOT Act further expanded surveillance capabilities, but its broad reach also raised concerns over civil liberties and privacy</w:t>
      </w:r>
      <w:r w:rsidR="002B7BBF">
        <w:t xml:space="preserve"> </w:t>
      </w:r>
      <w:r w:rsidR="002B7BBF" w:rsidRPr="002B7BBF">
        <w:t>(Carter, 202</w:t>
      </w:r>
      <w:r w:rsidR="00D63054">
        <w:t>2</w:t>
      </w:r>
      <w:r w:rsidR="002B7BBF" w:rsidRPr="002B7BBF">
        <w:t>).</w:t>
      </w:r>
    </w:p>
    <w:p w14:paraId="3A87F46D" w14:textId="77777777" w:rsidR="0041389E" w:rsidRPr="0041389E" w:rsidRDefault="0041389E" w:rsidP="0041389E">
      <w:pPr>
        <w:rPr>
          <w:b/>
          <w:bCs/>
        </w:rPr>
      </w:pPr>
      <w:r w:rsidRPr="0041389E">
        <w:rPr>
          <w:b/>
          <w:bCs/>
        </w:rPr>
        <w:t>The Need for a New Review of Law Enforcement Intelligence</w:t>
      </w:r>
    </w:p>
    <w:p w14:paraId="0CB8D204" w14:textId="6023D06D" w:rsidR="0041389E" w:rsidRPr="003B349C" w:rsidRDefault="0041389E" w:rsidP="0041389E">
      <w:r w:rsidRPr="003B349C">
        <w:t>Given that it has been over 15 years since the 9/11 Commission Report, a new review of law enforcement intelligence operations may be necessary. Emerging threats, including cybercrime, domestic terrorism, and artificial intelligence</w:t>
      </w:r>
      <w:r w:rsidR="006E0CEE">
        <w:t>. Are all</w:t>
      </w:r>
      <w:r w:rsidRPr="003B349C">
        <w:t xml:space="preserve"> new challenges that current policies may not fully address</w:t>
      </w:r>
      <w:r w:rsidR="002B7BBF">
        <w:t xml:space="preserve"> </w:t>
      </w:r>
      <w:r w:rsidR="002B7BBF" w:rsidRPr="002B7BBF">
        <w:t>(Carter, 202</w:t>
      </w:r>
      <w:r w:rsidR="00D63054">
        <w:t>2</w:t>
      </w:r>
      <w:r w:rsidR="002B7BBF" w:rsidRPr="002B7BBF">
        <w:t>)</w:t>
      </w:r>
      <w:r w:rsidR="003B349C" w:rsidRPr="003B349C">
        <w:t xml:space="preserve">. </w:t>
      </w:r>
      <w:r w:rsidRPr="003B349C">
        <w:t>Additionally, increasing concerns over privacy rights and mass data collection highlight the need for a balance between security and civil liberties. While intelligence</w:t>
      </w:r>
      <w:r w:rsidR="006E0CEE">
        <w:t xml:space="preserve"> </w:t>
      </w:r>
      <w:r w:rsidRPr="003B349C">
        <w:t>sharing mechanisms have improved since 9/11, questions</w:t>
      </w:r>
      <w:r w:rsidR="006E0CEE">
        <w:t xml:space="preserve"> remain regarding the</w:t>
      </w:r>
      <w:r w:rsidRPr="003B349C">
        <w:t xml:space="preserve"> transparency, oversight, </w:t>
      </w:r>
      <w:r w:rsidR="006E0CEE">
        <w:t xml:space="preserve">and </w:t>
      </w:r>
      <w:r w:rsidRPr="003B349C">
        <w:t>effectiveness of current policies (Grana &amp; Windell, 2021). A modern review could assess how intelligence units operate in the digital age and ensure that reforms remain aligned with constitutional protections.</w:t>
      </w:r>
    </w:p>
    <w:p w14:paraId="086263E4" w14:textId="77777777" w:rsidR="0041389E" w:rsidRPr="003B349C" w:rsidRDefault="0041389E" w:rsidP="0041389E">
      <w:r w:rsidRPr="003B349C">
        <w:t>The Wickersham Commission, Church Committee, and 9/11 Commission each led to significant reforms in law enforcement intelligence. While these reforms improved professionalism, oversight, and intelligence-sharing, new threats and technological advancements suggest that another review of law enforcement intelligence operations is warranted. The challenge remains in finding the right balance between public safety and individual freedoms as law enforcement adapts to modern security challenges.</w:t>
      </w:r>
    </w:p>
    <w:p w14:paraId="1CA607B7" w14:textId="77777777" w:rsidR="00195299" w:rsidRPr="00195299" w:rsidRDefault="00195299" w:rsidP="00195299">
      <w:r w:rsidRPr="00195299">
        <w:rPr>
          <w:b/>
          <w:bCs/>
        </w:rPr>
        <w:t>References</w:t>
      </w:r>
    </w:p>
    <w:p w14:paraId="76B10B8D" w14:textId="399CA450" w:rsidR="0066251C" w:rsidRPr="0066251C" w:rsidRDefault="0066251C" w:rsidP="003916B5">
      <w:pPr>
        <w:ind w:left="720" w:hanging="720"/>
      </w:pPr>
      <w:r w:rsidRPr="0066251C">
        <w:t>Carter, D. L. (202</w:t>
      </w:r>
      <w:r w:rsidR="00D63054">
        <w:t>2</w:t>
      </w:r>
      <w:r w:rsidRPr="0066251C">
        <w:t xml:space="preserve">). </w:t>
      </w:r>
      <w:r w:rsidRPr="003916B5">
        <w:rPr>
          <w:i/>
          <w:iCs/>
        </w:rPr>
        <w:t>Law enforcement intelligence: A guide for state, local, and tribal law enforcement agencies</w:t>
      </w:r>
      <w:r w:rsidRPr="0066251C">
        <w:t xml:space="preserve"> (3rd ed.).</w:t>
      </w:r>
      <w:r w:rsidR="003916B5">
        <w:t xml:space="preserve"> </w:t>
      </w:r>
      <w:r w:rsidRPr="0066251C">
        <w:t>U.S. Department of Justice.</w:t>
      </w:r>
      <w:r>
        <w:t xml:space="preserve"> </w:t>
      </w:r>
      <w:hyperlink r:id="rId4" w:history="1">
        <w:r w:rsidRPr="000D5791">
          <w:rPr>
            <w:rStyle w:val="Hyperlink"/>
          </w:rPr>
          <w:t>https://www.ojp.gov/library/publications/law-enforcement-intelligence-guide-state-local-and-tribal-law-enforcement</w:t>
        </w:r>
      </w:hyperlink>
      <w:r w:rsidRPr="0066251C">
        <w:t>.</w:t>
      </w:r>
    </w:p>
    <w:p w14:paraId="393F6A77" w14:textId="2FB03A55" w:rsidR="004A2FEC" w:rsidRDefault="0066251C" w:rsidP="003916B5">
      <w:pPr>
        <w:ind w:left="720" w:hanging="720"/>
      </w:pPr>
      <w:r w:rsidRPr="0066251C">
        <w:t xml:space="preserve">Grana, G., &amp; Windell, J. (2021). </w:t>
      </w:r>
      <w:r w:rsidRPr="003916B5">
        <w:rPr>
          <w:i/>
          <w:iCs/>
        </w:rPr>
        <w:t>Crime and intelligence analysis: An integrated real-time approach</w:t>
      </w:r>
      <w:r w:rsidRPr="0066251C">
        <w:t xml:space="preserve"> (2nd Edition). Routledge.</w:t>
      </w:r>
    </w:p>
    <w:sectPr w:rsidR="004A2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EC"/>
    <w:rsid w:val="00195299"/>
    <w:rsid w:val="001C31EF"/>
    <w:rsid w:val="002658A5"/>
    <w:rsid w:val="002B7BBF"/>
    <w:rsid w:val="003916B5"/>
    <w:rsid w:val="003B349C"/>
    <w:rsid w:val="003F543A"/>
    <w:rsid w:val="0041389E"/>
    <w:rsid w:val="004A2FEC"/>
    <w:rsid w:val="00637DB3"/>
    <w:rsid w:val="0066251C"/>
    <w:rsid w:val="006D0B1B"/>
    <w:rsid w:val="006E0CEE"/>
    <w:rsid w:val="00713E73"/>
    <w:rsid w:val="007A0EB0"/>
    <w:rsid w:val="009E502F"/>
    <w:rsid w:val="00A06A39"/>
    <w:rsid w:val="00B10A97"/>
    <w:rsid w:val="00C970F5"/>
    <w:rsid w:val="00D0412E"/>
    <w:rsid w:val="00D05937"/>
    <w:rsid w:val="00D63054"/>
    <w:rsid w:val="00E35B1E"/>
    <w:rsid w:val="00ED3345"/>
    <w:rsid w:val="00F52473"/>
    <w:rsid w:val="00FC6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1951"/>
  <w15:chartTrackingRefBased/>
  <w15:docId w15:val="{D1373F59-E811-44C1-A92A-60FA0882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EC"/>
    <w:rPr>
      <w:rFonts w:eastAsiaTheme="majorEastAsia" w:cstheme="majorBidi"/>
      <w:color w:val="272727" w:themeColor="text1" w:themeTint="D8"/>
    </w:rPr>
  </w:style>
  <w:style w:type="paragraph" w:styleId="Title">
    <w:name w:val="Title"/>
    <w:basedOn w:val="Normal"/>
    <w:next w:val="Normal"/>
    <w:link w:val="TitleChar"/>
    <w:uiPriority w:val="10"/>
    <w:qFormat/>
    <w:rsid w:val="004A2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EC"/>
    <w:pPr>
      <w:spacing w:before="160"/>
      <w:jc w:val="center"/>
    </w:pPr>
    <w:rPr>
      <w:i/>
      <w:iCs/>
      <w:color w:val="404040" w:themeColor="text1" w:themeTint="BF"/>
    </w:rPr>
  </w:style>
  <w:style w:type="character" w:customStyle="1" w:styleId="QuoteChar">
    <w:name w:val="Quote Char"/>
    <w:basedOn w:val="DefaultParagraphFont"/>
    <w:link w:val="Quote"/>
    <w:uiPriority w:val="29"/>
    <w:rsid w:val="004A2FEC"/>
    <w:rPr>
      <w:i/>
      <w:iCs/>
      <w:color w:val="404040" w:themeColor="text1" w:themeTint="BF"/>
    </w:rPr>
  </w:style>
  <w:style w:type="paragraph" w:styleId="ListParagraph">
    <w:name w:val="List Paragraph"/>
    <w:basedOn w:val="Normal"/>
    <w:uiPriority w:val="34"/>
    <w:qFormat/>
    <w:rsid w:val="004A2FEC"/>
    <w:pPr>
      <w:ind w:left="720"/>
      <w:contextualSpacing/>
    </w:pPr>
  </w:style>
  <w:style w:type="character" w:styleId="IntenseEmphasis">
    <w:name w:val="Intense Emphasis"/>
    <w:basedOn w:val="DefaultParagraphFont"/>
    <w:uiPriority w:val="21"/>
    <w:qFormat/>
    <w:rsid w:val="004A2FEC"/>
    <w:rPr>
      <w:i/>
      <w:iCs/>
      <w:color w:val="0F4761" w:themeColor="accent1" w:themeShade="BF"/>
    </w:rPr>
  </w:style>
  <w:style w:type="paragraph" w:styleId="IntenseQuote">
    <w:name w:val="Intense Quote"/>
    <w:basedOn w:val="Normal"/>
    <w:next w:val="Normal"/>
    <w:link w:val="IntenseQuoteChar"/>
    <w:uiPriority w:val="30"/>
    <w:qFormat/>
    <w:rsid w:val="004A2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FEC"/>
    <w:rPr>
      <w:i/>
      <w:iCs/>
      <w:color w:val="0F4761" w:themeColor="accent1" w:themeShade="BF"/>
    </w:rPr>
  </w:style>
  <w:style w:type="character" w:styleId="IntenseReference">
    <w:name w:val="Intense Reference"/>
    <w:basedOn w:val="DefaultParagraphFont"/>
    <w:uiPriority w:val="32"/>
    <w:qFormat/>
    <w:rsid w:val="004A2FEC"/>
    <w:rPr>
      <w:b/>
      <w:bCs/>
      <w:smallCaps/>
      <w:color w:val="0F4761" w:themeColor="accent1" w:themeShade="BF"/>
      <w:spacing w:val="5"/>
    </w:rPr>
  </w:style>
  <w:style w:type="character" w:styleId="Hyperlink">
    <w:name w:val="Hyperlink"/>
    <w:basedOn w:val="DefaultParagraphFont"/>
    <w:uiPriority w:val="99"/>
    <w:unhideWhenUsed/>
    <w:rsid w:val="00E35B1E"/>
    <w:rPr>
      <w:color w:val="467886" w:themeColor="hyperlink"/>
      <w:u w:val="single"/>
    </w:rPr>
  </w:style>
  <w:style w:type="character" w:styleId="UnresolvedMention">
    <w:name w:val="Unresolved Mention"/>
    <w:basedOn w:val="DefaultParagraphFont"/>
    <w:uiPriority w:val="99"/>
    <w:semiHidden/>
    <w:unhideWhenUsed/>
    <w:rsid w:val="00E35B1E"/>
    <w:rPr>
      <w:color w:val="605E5C"/>
      <w:shd w:val="clear" w:color="auto" w:fill="E1DFDD"/>
    </w:rPr>
  </w:style>
  <w:style w:type="character" w:styleId="FollowedHyperlink">
    <w:name w:val="FollowedHyperlink"/>
    <w:basedOn w:val="DefaultParagraphFont"/>
    <w:uiPriority w:val="99"/>
    <w:semiHidden/>
    <w:unhideWhenUsed/>
    <w:rsid w:val="006625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497">
      <w:bodyDiv w:val="1"/>
      <w:marLeft w:val="0"/>
      <w:marRight w:val="0"/>
      <w:marTop w:val="0"/>
      <w:marBottom w:val="0"/>
      <w:divBdr>
        <w:top w:val="none" w:sz="0" w:space="0" w:color="auto"/>
        <w:left w:val="none" w:sz="0" w:space="0" w:color="auto"/>
        <w:bottom w:val="none" w:sz="0" w:space="0" w:color="auto"/>
        <w:right w:val="none" w:sz="0" w:space="0" w:color="auto"/>
      </w:divBdr>
    </w:div>
    <w:div w:id="36439017">
      <w:bodyDiv w:val="1"/>
      <w:marLeft w:val="0"/>
      <w:marRight w:val="0"/>
      <w:marTop w:val="0"/>
      <w:marBottom w:val="0"/>
      <w:divBdr>
        <w:top w:val="none" w:sz="0" w:space="0" w:color="auto"/>
        <w:left w:val="none" w:sz="0" w:space="0" w:color="auto"/>
        <w:bottom w:val="none" w:sz="0" w:space="0" w:color="auto"/>
        <w:right w:val="none" w:sz="0" w:space="0" w:color="auto"/>
      </w:divBdr>
    </w:div>
    <w:div w:id="426274132">
      <w:bodyDiv w:val="1"/>
      <w:marLeft w:val="0"/>
      <w:marRight w:val="0"/>
      <w:marTop w:val="0"/>
      <w:marBottom w:val="0"/>
      <w:divBdr>
        <w:top w:val="none" w:sz="0" w:space="0" w:color="auto"/>
        <w:left w:val="none" w:sz="0" w:space="0" w:color="auto"/>
        <w:bottom w:val="none" w:sz="0" w:space="0" w:color="auto"/>
        <w:right w:val="none" w:sz="0" w:space="0" w:color="auto"/>
      </w:divBdr>
    </w:div>
    <w:div w:id="509367815">
      <w:bodyDiv w:val="1"/>
      <w:marLeft w:val="0"/>
      <w:marRight w:val="0"/>
      <w:marTop w:val="0"/>
      <w:marBottom w:val="0"/>
      <w:divBdr>
        <w:top w:val="none" w:sz="0" w:space="0" w:color="auto"/>
        <w:left w:val="none" w:sz="0" w:space="0" w:color="auto"/>
        <w:bottom w:val="none" w:sz="0" w:space="0" w:color="auto"/>
        <w:right w:val="none" w:sz="0" w:space="0" w:color="auto"/>
      </w:divBdr>
    </w:div>
    <w:div w:id="632903489">
      <w:bodyDiv w:val="1"/>
      <w:marLeft w:val="0"/>
      <w:marRight w:val="0"/>
      <w:marTop w:val="0"/>
      <w:marBottom w:val="0"/>
      <w:divBdr>
        <w:top w:val="none" w:sz="0" w:space="0" w:color="auto"/>
        <w:left w:val="none" w:sz="0" w:space="0" w:color="auto"/>
        <w:bottom w:val="none" w:sz="0" w:space="0" w:color="auto"/>
        <w:right w:val="none" w:sz="0" w:space="0" w:color="auto"/>
      </w:divBdr>
    </w:div>
    <w:div w:id="794636624">
      <w:bodyDiv w:val="1"/>
      <w:marLeft w:val="0"/>
      <w:marRight w:val="0"/>
      <w:marTop w:val="0"/>
      <w:marBottom w:val="0"/>
      <w:divBdr>
        <w:top w:val="none" w:sz="0" w:space="0" w:color="auto"/>
        <w:left w:val="none" w:sz="0" w:space="0" w:color="auto"/>
        <w:bottom w:val="none" w:sz="0" w:space="0" w:color="auto"/>
        <w:right w:val="none" w:sz="0" w:space="0" w:color="auto"/>
      </w:divBdr>
    </w:div>
    <w:div w:id="814182894">
      <w:bodyDiv w:val="1"/>
      <w:marLeft w:val="0"/>
      <w:marRight w:val="0"/>
      <w:marTop w:val="0"/>
      <w:marBottom w:val="0"/>
      <w:divBdr>
        <w:top w:val="none" w:sz="0" w:space="0" w:color="auto"/>
        <w:left w:val="none" w:sz="0" w:space="0" w:color="auto"/>
        <w:bottom w:val="none" w:sz="0" w:space="0" w:color="auto"/>
        <w:right w:val="none" w:sz="0" w:space="0" w:color="auto"/>
      </w:divBdr>
    </w:div>
    <w:div w:id="824274603">
      <w:bodyDiv w:val="1"/>
      <w:marLeft w:val="0"/>
      <w:marRight w:val="0"/>
      <w:marTop w:val="0"/>
      <w:marBottom w:val="0"/>
      <w:divBdr>
        <w:top w:val="none" w:sz="0" w:space="0" w:color="auto"/>
        <w:left w:val="none" w:sz="0" w:space="0" w:color="auto"/>
        <w:bottom w:val="none" w:sz="0" w:space="0" w:color="auto"/>
        <w:right w:val="none" w:sz="0" w:space="0" w:color="auto"/>
      </w:divBdr>
    </w:div>
    <w:div w:id="1405183105">
      <w:bodyDiv w:val="1"/>
      <w:marLeft w:val="0"/>
      <w:marRight w:val="0"/>
      <w:marTop w:val="0"/>
      <w:marBottom w:val="0"/>
      <w:divBdr>
        <w:top w:val="none" w:sz="0" w:space="0" w:color="auto"/>
        <w:left w:val="none" w:sz="0" w:space="0" w:color="auto"/>
        <w:bottom w:val="none" w:sz="0" w:space="0" w:color="auto"/>
        <w:right w:val="none" w:sz="0" w:space="0" w:color="auto"/>
      </w:divBdr>
    </w:div>
    <w:div w:id="1621647471">
      <w:bodyDiv w:val="1"/>
      <w:marLeft w:val="0"/>
      <w:marRight w:val="0"/>
      <w:marTop w:val="0"/>
      <w:marBottom w:val="0"/>
      <w:divBdr>
        <w:top w:val="none" w:sz="0" w:space="0" w:color="auto"/>
        <w:left w:val="none" w:sz="0" w:space="0" w:color="auto"/>
        <w:bottom w:val="none" w:sz="0" w:space="0" w:color="auto"/>
        <w:right w:val="none" w:sz="0" w:space="0" w:color="auto"/>
      </w:divBdr>
    </w:div>
    <w:div w:id="1676493946">
      <w:bodyDiv w:val="1"/>
      <w:marLeft w:val="0"/>
      <w:marRight w:val="0"/>
      <w:marTop w:val="0"/>
      <w:marBottom w:val="0"/>
      <w:divBdr>
        <w:top w:val="none" w:sz="0" w:space="0" w:color="auto"/>
        <w:left w:val="none" w:sz="0" w:space="0" w:color="auto"/>
        <w:bottom w:val="none" w:sz="0" w:space="0" w:color="auto"/>
        <w:right w:val="none" w:sz="0" w:space="0" w:color="auto"/>
      </w:divBdr>
    </w:div>
    <w:div w:id="1677532897">
      <w:bodyDiv w:val="1"/>
      <w:marLeft w:val="0"/>
      <w:marRight w:val="0"/>
      <w:marTop w:val="0"/>
      <w:marBottom w:val="0"/>
      <w:divBdr>
        <w:top w:val="none" w:sz="0" w:space="0" w:color="auto"/>
        <w:left w:val="none" w:sz="0" w:space="0" w:color="auto"/>
        <w:bottom w:val="none" w:sz="0" w:space="0" w:color="auto"/>
        <w:right w:val="none" w:sz="0" w:space="0" w:color="auto"/>
      </w:divBdr>
    </w:div>
    <w:div w:id="1817797457">
      <w:bodyDiv w:val="1"/>
      <w:marLeft w:val="0"/>
      <w:marRight w:val="0"/>
      <w:marTop w:val="0"/>
      <w:marBottom w:val="0"/>
      <w:divBdr>
        <w:top w:val="none" w:sz="0" w:space="0" w:color="auto"/>
        <w:left w:val="none" w:sz="0" w:space="0" w:color="auto"/>
        <w:bottom w:val="none" w:sz="0" w:space="0" w:color="auto"/>
        <w:right w:val="none" w:sz="0" w:space="0" w:color="auto"/>
      </w:divBdr>
    </w:div>
    <w:div w:id="207824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jp.gov/library/publications/law-enforcement-intelligence-guide-state-local-and-tribal-law-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18</cp:revision>
  <dcterms:created xsi:type="dcterms:W3CDTF">2025-03-21T23:58:00Z</dcterms:created>
  <dcterms:modified xsi:type="dcterms:W3CDTF">2025-03-29T01:39:00Z</dcterms:modified>
</cp:coreProperties>
</file>