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E0A3D" w14:textId="77777777" w:rsidR="004A25A3" w:rsidRPr="003E7C23" w:rsidRDefault="004A25A3" w:rsidP="004A25A3">
      <w:pPr>
        <w:rPr>
          <w:rFonts w:ascii="Times New Roman" w:hAnsi="Times New Roman" w:cs="Times New Roman"/>
          <w:b/>
          <w:bCs/>
          <w:i/>
          <w:iCs/>
        </w:rPr>
      </w:pPr>
      <w:r w:rsidRPr="003E7C23">
        <w:rPr>
          <w:rFonts w:ascii="Times New Roman" w:hAnsi="Times New Roman" w:cs="Times New Roman"/>
          <w:b/>
          <w:bCs/>
          <w:i/>
          <w:iCs/>
        </w:rPr>
        <w:t>What is “criminal predicate,” and why is it important in the intelligence process?</w:t>
      </w:r>
    </w:p>
    <w:p w14:paraId="2EDC6406" w14:textId="77777777" w:rsidR="003E7C23" w:rsidRPr="003E7C23" w:rsidRDefault="003E7C23" w:rsidP="001548F2">
      <w:pPr>
        <w:rPr>
          <w:rFonts w:ascii="Times New Roman" w:hAnsi="Times New Roman" w:cs="Times New Roman"/>
        </w:rPr>
      </w:pPr>
      <w:r w:rsidRPr="003E7C23">
        <w:rPr>
          <w:rFonts w:ascii="Times New Roman" w:hAnsi="Times New Roman" w:cs="Times New Roman"/>
        </w:rPr>
        <w:t>A criminal predicate refers to the necessary set of facts or evidence that justifies the initiation of an investigation or intelligence operation in a law enforcement or intelligence context. In simpler terms, it's the reason or foundation that law enforcement or intelligence agencies need to start looking into possible criminal activity. This often involves having enough indicators or data suggesting that a crime has been, is being, or will be committed, and that it warrants further scrutiny (Carter, 2005).</w:t>
      </w:r>
    </w:p>
    <w:p w14:paraId="57F60302" w14:textId="607817FA" w:rsidR="003E7C23" w:rsidRPr="003E7C23" w:rsidRDefault="003E7C23" w:rsidP="003E7C23">
      <w:pPr>
        <w:rPr>
          <w:rFonts w:ascii="Times New Roman" w:hAnsi="Times New Roman" w:cs="Times New Roman"/>
        </w:rPr>
      </w:pPr>
      <w:r w:rsidRPr="003E7C23">
        <w:rPr>
          <w:rFonts w:ascii="Times New Roman" w:hAnsi="Times New Roman" w:cs="Times New Roman"/>
        </w:rPr>
        <w:t>C</w:t>
      </w:r>
      <w:r w:rsidRPr="003E7C23">
        <w:rPr>
          <w:rFonts w:ascii="Times New Roman" w:hAnsi="Times New Roman" w:cs="Times New Roman"/>
        </w:rPr>
        <w:t>riminal predicate is important because it ensures that intelligence and law enforcement agencies are acting on legitimate leads. It prevents unnecessary or unlawful investigations by ensuring there is a legitimate basis before proceeding.</w:t>
      </w:r>
    </w:p>
    <w:p w14:paraId="23E7A763" w14:textId="77777777" w:rsidR="003E7C23" w:rsidRPr="003E7C23" w:rsidRDefault="003E7C23" w:rsidP="003E7C23">
      <w:pPr>
        <w:rPr>
          <w:rFonts w:ascii="Times New Roman" w:hAnsi="Times New Roman" w:cs="Times New Roman"/>
          <w:b/>
          <w:bCs/>
        </w:rPr>
      </w:pPr>
      <w:r w:rsidRPr="003E7C23">
        <w:rPr>
          <w:rFonts w:ascii="Times New Roman" w:hAnsi="Times New Roman" w:cs="Times New Roman"/>
          <w:b/>
          <w:bCs/>
        </w:rPr>
        <w:t>Criminal Predicate in the Intelligence Cycle</w:t>
      </w:r>
    </w:p>
    <w:p w14:paraId="090D418F" w14:textId="3024012F" w:rsidR="003E7C23" w:rsidRPr="003E7C23" w:rsidRDefault="003E7C23" w:rsidP="003E7C23">
      <w:pPr>
        <w:rPr>
          <w:rFonts w:ascii="Times New Roman" w:hAnsi="Times New Roman" w:cs="Times New Roman"/>
        </w:rPr>
      </w:pPr>
      <w:r w:rsidRPr="003E7C23">
        <w:rPr>
          <w:rFonts w:ascii="Times New Roman" w:hAnsi="Times New Roman" w:cs="Times New Roman"/>
        </w:rPr>
        <w:t>Criminal predicate plays a crucial role in the intelligence cycle</w:t>
      </w:r>
      <w:r w:rsidR="001548F2">
        <w:rPr>
          <w:rFonts w:ascii="Times New Roman" w:hAnsi="Times New Roman" w:cs="Times New Roman"/>
        </w:rPr>
        <w:t>.</w:t>
      </w:r>
      <w:r w:rsidRPr="003E7C23">
        <w:rPr>
          <w:rFonts w:ascii="Times New Roman" w:hAnsi="Times New Roman" w:cs="Times New Roman"/>
        </w:rPr>
        <w:t xml:space="preserve"> </w:t>
      </w:r>
      <w:r w:rsidR="001548F2">
        <w:rPr>
          <w:rFonts w:ascii="Times New Roman" w:hAnsi="Times New Roman" w:cs="Times New Roman"/>
        </w:rPr>
        <w:t>W</w:t>
      </w:r>
      <w:r w:rsidRPr="003E7C23">
        <w:rPr>
          <w:rFonts w:ascii="Times New Roman" w:hAnsi="Times New Roman" w:cs="Times New Roman"/>
        </w:rPr>
        <w:t>hich involves the steps of planning</w:t>
      </w:r>
      <w:r w:rsidR="001548F2">
        <w:rPr>
          <w:rFonts w:ascii="Times New Roman" w:hAnsi="Times New Roman" w:cs="Times New Roman"/>
        </w:rPr>
        <w:t>/direction, collection, processing/collation, analysis, dissemination, and reevaluation.</w:t>
      </w:r>
      <w:r w:rsidRPr="003E7C23">
        <w:rPr>
          <w:rFonts w:ascii="Times New Roman" w:hAnsi="Times New Roman" w:cs="Times New Roman"/>
        </w:rPr>
        <w:t xml:space="preserve"> It fits into the planning and direction phase of the cycle, where investigators and intelligence officers assess the available information to determine if a formal investigation or intelligence-gathering operation should begin. Without an established criminal predicate, agencies may not be able to gather certain types of intelligence, as there are legal restrictions to protect individuals from unwarranted surveillance or invasion of privacy (Carter, 2005).</w:t>
      </w:r>
    </w:p>
    <w:p w14:paraId="7E094C66" w14:textId="77777777" w:rsidR="003E7C23" w:rsidRPr="003E7C23" w:rsidRDefault="003E7C23" w:rsidP="003E7C23">
      <w:pPr>
        <w:rPr>
          <w:rFonts w:ascii="Times New Roman" w:hAnsi="Times New Roman" w:cs="Times New Roman"/>
          <w:b/>
          <w:bCs/>
        </w:rPr>
      </w:pPr>
      <w:r w:rsidRPr="003E7C23">
        <w:rPr>
          <w:rFonts w:ascii="Times New Roman" w:hAnsi="Times New Roman" w:cs="Times New Roman"/>
          <w:b/>
          <w:bCs/>
        </w:rPr>
        <w:t>Importance in the Process</w:t>
      </w:r>
    </w:p>
    <w:p w14:paraId="45C4E6AE" w14:textId="77777777" w:rsidR="003E7C23" w:rsidRPr="003E7C23" w:rsidRDefault="003E7C23" w:rsidP="003E7C23">
      <w:pPr>
        <w:rPr>
          <w:rFonts w:ascii="Times New Roman" w:hAnsi="Times New Roman" w:cs="Times New Roman"/>
        </w:rPr>
      </w:pPr>
      <w:r w:rsidRPr="003E7C23">
        <w:rPr>
          <w:rFonts w:ascii="Times New Roman" w:hAnsi="Times New Roman" w:cs="Times New Roman"/>
        </w:rPr>
        <w:t>Criminal predicate is an essential part of the intelligence process because it provides a legal and operational foundation for the entire investigation. It ensures that intelligence operations remain focused, justified, and within the bounds of the law. Without this predicate, the intelligence process could be seen as overreaching or unjustified, potentially leading to violations of civil liberties (Carter, 2005).</w:t>
      </w:r>
    </w:p>
    <w:p w14:paraId="0920806C" w14:textId="77777777" w:rsidR="003E7C23" w:rsidRPr="003E7C23" w:rsidRDefault="003E7C23" w:rsidP="003E7C23">
      <w:pPr>
        <w:rPr>
          <w:rFonts w:ascii="Times New Roman" w:hAnsi="Times New Roman" w:cs="Times New Roman"/>
          <w:b/>
          <w:bCs/>
        </w:rPr>
      </w:pPr>
      <w:r w:rsidRPr="003E7C23">
        <w:rPr>
          <w:rFonts w:ascii="Times New Roman" w:hAnsi="Times New Roman" w:cs="Times New Roman"/>
          <w:b/>
          <w:bCs/>
        </w:rPr>
        <w:t>Issues in Establishing Criminal Predicate</w:t>
      </w:r>
    </w:p>
    <w:p w14:paraId="7D46BD23" w14:textId="1C095146" w:rsidR="003E7C23" w:rsidRDefault="003E7C23" w:rsidP="003E7C23">
      <w:pPr>
        <w:rPr>
          <w:rFonts w:ascii="Times New Roman" w:hAnsi="Times New Roman" w:cs="Times New Roman"/>
        </w:rPr>
      </w:pPr>
      <w:r w:rsidRPr="003E7C23">
        <w:rPr>
          <w:rFonts w:ascii="Times New Roman" w:hAnsi="Times New Roman" w:cs="Times New Roman"/>
        </w:rPr>
        <w:t xml:space="preserve">Establishing criminal predicate can be challenging because it requires balancing the need for sufficient evidence to justify an investigation with the protection of individuals' rights. One issue that </w:t>
      </w:r>
      <w:r>
        <w:rPr>
          <w:rFonts w:ascii="Times New Roman" w:hAnsi="Times New Roman" w:cs="Times New Roman"/>
        </w:rPr>
        <w:t>comes up</w:t>
      </w:r>
      <w:r w:rsidRPr="003E7C23">
        <w:rPr>
          <w:rFonts w:ascii="Times New Roman" w:hAnsi="Times New Roman" w:cs="Times New Roman"/>
        </w:rPr>
        <w:t xml:space="preserve"> is insufficient evidence, where the available information may not meet the threshold necessary to initiate an investigation. Additionally, legal and ethical considerations play a significant role</w:t>
      </w:r>
      <w:r>
        <w:rPr>
          <w:rFonts w:ascii="Times New Roman" w:hAnsi="Times New Roman" w:cs="Times New Roman"/>
        </w:rPr>
        <w:t>.</w:t>
      </w:r>
      <w:r w:rsidRPr="003E7C23">
        <w:rPr>
          <w:rFonts w:ascii="Times New Roman" w:hAnsi="Times New Roman" w:cs="Times New Roman"/>
        </w:rPr>
        <w:t xml:space="preserve"> </w:t>
      </w:r>
      <w:r>
        <w:rPr>
          <w:rFonts w:ascii="Times New Roman" w:hAnsi="Times New Roman" w:cs="Times New Roman"/>
        </w:rPr>
        <w:t>P</w:t>
      </w:r>
      <w:r w:rsidRPr="003E7C23">
        <w:rPr>
          <w:rFonts w:ascii="Times New Roman" w:hAnsi="Times New Roman" w:cs="Times New Roman"/>
        </w:rPr>
        <w:t>articularly when it comes to civil liberties and privacy rights, as sensitive or personal data may be involved. Finally, judicial oversight is another important factor, as some investigations may require judicial review or warrants to ensure that they are justified and comply with legal standards (Carter, 2005).</w:t>
      </w:r>
    </w:p>
    <w:p w14:paraId="6553653B" w14:textId="55DC3E16" w:rsidR="003E7C23" w:rsidRPr="003E7C23" w:rsidRDefault="003E7C23" w:rsidP="003E7C23">
      <w:pPr>
        <w:rPr>
          <w:rFonts w:ascii="Times New Roman" w:hAnsi="Times New Roman" w:cs="Times New Roman"/>
          <w:b/>
          <w:bCs/>
        </w:rPr>
      </w:pPr>
      <w:r w:rsidRPr="003E7C23">
        <w:rPr>
          <w:rFonts w:ascii="Times New Roman" w:hAnsi="Times New Roman" w:cs="Times New Roman"/>
          <w:b/>
          <w:bCs/>
        </w:rPr>
        <w:t>Real-Life Examples</w:t>
      </w:r>
    </w:p>
    <w:p w14:paraId="02C242F0" w14:textId="1C8E3ECC" w:rsidR="003E7C23" w:rsidRPr="003E7C23" w:rsidRDefault="003E7C23" w:rsidP="003E7C23">
      <w:pPr>
        <w:rPr>
          <w:rFonts w:ascii="Times New Roman" w:hAnsi="Times New Roman" w:cs="Times New Roman"/>
        </w:rPr>
      </w:pPr>
      <w:r w:rsidRPr="003E7C23">
        <w:rPr>
          <w:rFonts w:ascii="Times New Roman" w:eastAsia="Times New Roman" w:hAnsi="Times New Roman" w:cs="Times New Roman"/>
          <w:kern w:val="0"/>
          <w14:ligatures w14:val="none"/>
        </w:rPr>
        <w:lastRenderedPageBreak/>
        <w:t>Real</w:t>
      </w:r>
      <w:r w:rsidRPr="003E7C23">
        <w:rPr>
          <w:rFonts w:ascii="Times New Roman" w:eastAsia="Times New Roman" w:hAnsi="Times New Roman" w:cs="Times New Roman"/>
          <w:kern w:val="0"/>
          <w14:ligatures w14:val="none"/>
        </w:rPr>
        <w:t xml:space="preserve"> </w:t>
      </w:r>
      <w:r w:rsidRPr="003E7C23">
        <w:rPr>
          <w:rFonts w:ascii="Times New Roman" w:eastAsia="Times New Roman" w:hAnsi="Times New Roman" w:cs="Times New Roman"/>
          <w:kern w:val="0"/>
          <w14:ligatures w14:val="none"/>
        </w:rPr>
        <w:t>life scenarios illustrate how criminal predicate is applied in practice. For instance, in the case of investigating organized crime syndicates, law enforcement agencies may receive a tip</w:t>
      </w:r>
      <w:r>
        <w:rPr>
          <w:rFonts w:ascii="Times New Roman" w:eastAsia="Times New Roman" w:hAnsi="Times New Roman" w:cs="Times New Roman"/>
          <w:kern w:val="0"/>
          <w14:ligatures w14:val="none"/>
        </w:rPr>
        <w:t xml:space="preserve"> </w:t>
      </w:r>
      <w:r w:rsidRPr="003E7C23">
        <w:rPr>
          <w:rFonts w:ascii="Times New Roman" w:eastAsia="Times New Roman" w:hAnsi="Times New Roman" w:cs="Times New Roman"/>
          <w:kern w:val="0"/>
          <w14:ligatures w14:val="none"/>
        </w:rPr>
        <w:t xml:space="preserve">about suspicious financial transactions or </w:t>
      </w:r>
      <w:r>
        <w:rPr>
          <w:rFonts w:ascii="Times New Roman" w:eastAsia="Times New Roman" w:hAnsi="Times New Roman" w:cs="Times New Roman"/>
          <w:kern w:val="0"/>
          <w14:ligatures w14:val="none"/>
        </w:rPr>
        <w:t xml:space="preserve">a </w:t>
      </w:r>
      <w:r w:rsidRPr="003E7C23">
        <w:rPr>
          <w:rFonts w:ascii="Times New Roman" w:eastAsia="Times New Roman" w:hAnsi="Times New Roman" w:cs="Times New Roman"/>
          <w:kern w:val="0"/>
          <w14:ligatures w14:val="none"/>
        </w:rPr>
        <w:t>witness testimony. In such instances a criminal predicate is necessary to justify the initiation of surveillance or intelligence</w:t>
      </w:r>
      <w:r>
        <w:rPr>
          <w:rFonts w:ascii="Times New Roman" w:eastAsia="Times New Roman" w:hAnsi="Times New Roman" w:cs="Times New Roman"/>
          <w:kern w:val="0"/>
          <w14:ligatures w14:val="none"/>
        </w:rPr>
        <w:t xml:space="preserve"> </w:t>
      </w:r>
      <w:r w:rsidRPr="003E7C23">
        <w:rPr>
          <w:rFonts w:ascii="Times New Roman" w:eastAsia="Times New Roman" w:hAnsi="Times New Roman" w:cs="Times New Roman"/>
          <w:kern w:val="0"/>
          <w14:ligatures w14:val="none"/>
        </w:rPr>
        <w:t>gathering operations. For example, patterns of money laundering or fraud could signal criminal behavior</w:t>
      </w:r>
      <w:r>
        <w:rPr>
          <w:rFonts w:ascii="Times New Roman" w:eastAsia="Times New Roman" w:hAnsi="Times New Roman" w:cs="Times New Roman"/>
          <w:kern w:val="0"/>
          <w14:ligatures w14:val="none"/>
        </w:rPr>
        <w:t>.</w:t>
      </w:r>
      <w:r w:rsidRPr="003E7C23">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w:t>
      </w:r>
      <w:r w:rsidRPr="003E7C23">
        <w:rPr>
          <w:rFonts w:ascii="Times New Roman" w:eastAsia="Times New Roman" w:hAnsi="Times New Roman" w:cs="Times New Roman"/>
          <w:kern w:val="0"/>
          <w14:ligatures w14:val="none"/>
        </w:rPr>
        <w:t>hus,</w:t>
      </w:r>
      <w:r w:rsidRPr="003E7C23">
        <w:rPr>
          <w:rFonts w:ascii="Times New Roman" w:eastAsia="Times New Roman" w:hAnsi="Times New Roman" w:cs="Times New Roman"/>
          <w:kern w:val="0"/>
          <w14:ligatures w14:val="none"/>
        </w:rPr>
        <w:t xml:space="preserve"> establishing the need for further investigation (Carter, 2005).</w:t>
      </w:r>
    </w:p>
    <w:p w14:paraId="718EA03D" w14:textId="2FEF046C" w:rsidR="003E7C23" w:rsidRPr="003E7C23" w:rsidRDefault="003E7C23" w:rsidP="003E7C23">
      <w:pPr>
        <w:spacing w:before="100" w:beforeAutospacing="1" w:after="100" w:afterAutospacing="1" w:line="240" w:lineRule="auto"/>
        <w:rPr>
          <w:rFonts w:ascii="Times New Roman" w:eastAsia="Times New Roman" w:hAnsi="Times New Roman" w:cs="Times New Roman"/>
          <w:kern w:val="0"/>
          <w14:ligatures w14:val="none"/>
        </w:rPr>
      </w:pPr>
      <w:r w:rsidRPr="003E7C23">
        <w:rPr>
          <w:rFonts w:ascii="Times New Roman" w:eastAsia="Times New Roman" w:hAnsi="Times New Roman" w:cs="Times New Roman"/>
          <w:kern w:val="0"/>
          <w14:ligatures w14:val="none"/>
        </w:rPr>
        <w:t>Similarly, in counterterrorism efforts intelligence agencies might establish a criminal predicate when credible information surfaces regarding a planned attack. This could involve intercepted communications or surveillance data suggesting suspicious activity or associations with terrorist groups. If such indicators are present</w:t>
      </w:r>
      <w:r>
        <w:rPr>
          <w:rFonts w:ascii="Times New Roman" w:eastAsia="Times New Roman" w:hAnsi="Times New Roman" w:cs="Times New Roman"/>
          <w:kern w:val="0"/>
          <w14:ligatures w14:val="none"/>
        </w:rPr>
        <w:t xml:space="preserve"> </w:t>
      </w:r>
      <w:r w:rsidRPr="003E7C23">
        <w:rPr>
          <w:rFonts w:ascii="Times New Roman" w:eastAsia="Times New Roman" w:hAnsi="Times New Roman" w:cs="Times New Roman"/>
          <w:kern w:val="0"/>
          <w14:ligatures w14:val="none"/>
        </w:rPr>
        <w:t>the agencies can justify further intelligence gathering to preven</w:t>
      </w:r>
      <w:r w:rsidRPr="003E7C23">
        <w:rPr>
          <w:rFonts w:ascii="Times New Roman" w:eastAsia="Times New Roman" w:hAnsi="Times New Roman" w:cs="Times New Roman"/>
          <w:kern w:val="0"/>
          <w14:ligatures w14:val="none"/>
        </w:rPr>
        <w:t>t</w:t>
      </w:r>
      <w:r w:rsidRPr="003E7C23">
        <w:rPr>
          <w:rFonts w:ascii="Times New Roman" w:eastAsia="Times New Roman" w:hAnsi="Times New Roman" w:cs="Times New Roman"/>
          <w:kern w:val="0"/>
          <w14:ligatures w14:val="none"/>
        </w:rPr>
        <w:t xml:space="preserve"> an attack (Carter, 2005).</w:t>
      </w:r>
    </w:p>
    <w:p w14:paraId="04F3FFAC" w14:textId="704E3D6A" w:rsidR="003E7C23" w:rsidRPr="003E7C23" w:rsidRDefault="003E7C23" w:rsidP="001548F2">
      <w:pPr>
        <w:spacing w:before="100" w:beforeAutospacing="1" w:after="100" w:afterAutospacing="1" w:line="240" w:lineRule="auto"/>
        <w:rPr>
          <w:rFonts w:ascii="Times New Roman" w:eastAsia="Times New Roman" w:hAnsi="Times New Roman" w:cs="Times New Roman"/>
          <w:kern w:val="0"/>
          <w14:ligatures w14:val="none"/>
        </w:rPr>
      </w:pPr>
      <w:r w:rsidRPr="003E7C23">
        <w:rPr>
          <w:rFonts w:ascii="Times New Roman" w:eastAsia="Times New Roman" w:hAnsi="Times New Roman" w:cs="Times New Roman"/>
          <w:kern w:val="0"/>
          <w14:ligatures w14:val="none"/>
        </w:rPr>
        <w:t>In both cases, the process of establishing criminal predicate ensures that law enforcement and intelligence agencies act on legitimate</w:t>
      </w:r>
      <w:r>
        <w:rPr>
          <w:rFonts w:ascii="Times New Roman" w:eastAsia="Times New Roman" w:hAnsi="Times New Roman" w:cs="Times New Roman"/>
          <w:kern w:val="0"/>
          <w14:ligatures w14:val="none"/>
        </w:rPr>
        <w:t xml:space="preserve"> and </w:t>
      </w:r>
      <w:r w:rsidRPr="003E7C23">
        <w:rPr>
          <w:rFonts w:ascii="Times New Roman" w:eastAsia="Times New Roman" w:hAnsi="Times New Roman" w:cs="Times New Roman"/>
          <w:kern w:val="0"/>
          <w14:ligatures w14:val="none"/>
        </w:rPr>
        <w:t>evidence</w:t>
      </w:r>
      <w:r>
        <w:rPr>
          <w:rFonts w:ascii="Times New Roman" w:eastAsia="Times New Roman" w:hAnsi="Times New Roman" w:cs="Times New Roman"/>
          <w:kern w:val="0"/>
          <w14:ligatures w14:val="none"/>
        </w:rPr>
        <w:t>-based</w:t>
      </w:r>
      <w:r w:rsidRPr="003E7C23">
        <w:rPr>
          <w:rFonts w:ascii="Times New Roman" w:eastAsia="Times New Roman" w:hAnsi="Times New Roman" w:cs="Times New Roman"/>
          <w:kern w:val="0"/>
          <w14:ligatures w14:val="none"/>
        </w:rPr>
        <w:t xml:space="preserve"> leads</w:t>
      </w:r>
      <w:r>
        <w:rPr>
          <w:rFonts w:ascii="Times New Roman" w:eastAsia="Times New Roman" w:hAnsi="Times New Roman" w:cs="Times New Roman"/>
          <w:kern w:val="0"/>
          <w14:ligatures w14:val="none"/>
        </w:rPr>
        <w:t>.</w:t>
      </w:r>
      <w:r w:rsidRPr="003E7C23">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W</w:t>
      </w:r>
      <w:r w:rsidRPr="003E7C23">
        <w:rPr>
          <w:rFonts w:ascii="Times New Roman" w:eastAsia="Times New Roman" w:hAnsi="Times New Roman" w:cs="Times New Roman"/>
          <w:kern w:val="0"/>
          <w14:ligatures w14:val="none"/>
        </w:rPr>
        <w:t>hile respecting legal frameworks and protecting civil liberties. Criminal predicate helps prevent unlawful investigations,</w:t>
      </w:r>
      <w:r>
        <w:rPr>
          <w:rFonts w:ascii="Times New Roman" w:eastAsia="Times New Roman" w:hAnsi="Times New Roman" w:cs="Times New Roman"/>
          <w:kern w:val="0"/>
          <w14:ligatures w14:val="none"/>
        </w:rPr>
        <w:t xml:space="preserve"> which</w:t>
      </w:r>
      <w:r w:rsidRPr="003E7C23">
        <w:rPr>
          <w:rFonts w:ascii="Times New Roman" w:eastAsia="Times New Roman" w:hAnsi="Times New Roman" w:cs="Times New Roman"/>
          <w:kern w:val="0"/>
          <w14:ligatures w14:val="none"/>
        </w:rPr>
        <w:t xml:space="preserve"> uphold the balance between security and individual rights. It is integral to the intelligence process, providing the necessary foundation for effective and lawful intelligence operations.</w:t>
      </w:r>
    </w:p>
    <w:p w14:paraId="1CA607B7" w14:textId="77777777" w:rsidR="00195299" w:rsidRPr="003E7C23" w:rsidRDefault="00195299" w:rsidP="00195299">
      <w:pPr>
        <w:rPr>
          <w:rFonts w:ascii="Times New Roman" w:hAnsi="Times New Roman" w:cs="Times New Roman"/>
        </w:rPr>
      </w:pPr>
      <w:r w:rsidRPr="003E7C23">
        <w:rPr>
          <w:rFonts w:ascii="Times New Roman" w:hAnsi="Times New Roman" w:cs="Times New Roman"/>
          <w:b/>
          <w:bCs/>
        </w:rPr>
        <w:t>References</w:t>
      </w:r>
    </w:p>
    <w:p w14:paraId="3B0FE635" w14:textId="51EFBFBC" w:rsidR="00195299" w:rsidRPr="003E7C23" w:rsidRDefault="00195299" w:rsidP="00195299">
      <w:pPr>
        <w:rPr>
          <w:rFonts w:ascii="Times New Roman" w:hAnsi="Times New Roman" w:cs="Times New Roman"/>
        </w:rPr>
      </w:pPr>
      <w:r w:rsidRPr="003E7C23">
        <w:rPr>
          <w:rFonts w:ascii="Times New Roman" w:hAnsi="Times New Roman" w:cs="Times New Roman"/>
        </w:rPr>
        <w:t xml:space="preserve">Carter, D. L. (2005). </w:t>
      </w:r>
      <w:r w:rsidRPr="003E7C23">
        <w:rPr>
          <w:rFonts w:ascii="Times New Roman" w:hAnsi="Times New Roman" w:cs="Times New Roman"/>
          <w:i/>
          <w:iCs/>
        </w:rPr>
        <w:t>Law enforcement intelligence: A guide for state, local, and tribal law enforcement agencies</w:t>
      </w:r>
      <w:r w:rsidRPr="003E7C23">
        <w:rPr>
          <w:rFonts w:ascii="Times New Roman" w:hAnsi="Times New Roman" w:cs="Times New Roman"/>
        </w:rPr>
        <w:t xml:space="preserve">. U.S. Department of Justice. </w:t>
      </w:r>
      <w:hyperlink r:id="rId5" w:history="1">
        <w:r w:rsidRPr="003E7C23">
          <w:rPr>
            <w:rStyle w:val="Hyperlink"/>
            <w:rFonts w:ascii="Times New Roman" w:hAnsi="Times New Roman" w:cs="Times New Roman"/>
          </w:rPr>
          <w:t xml:space="preserve">https://cops.usdoj.gov/pdf/e09042536.pdf </w:t>
        </w:r>
      </w:hyperlink>
    </w:p>
    <w:p w14:paraId="393F6A77" w14:textId="731AE569" w:rsidR="004A2FEC" w:rsidRDefault="004A2FEC" w:rsidP="00195299"/>
    <w:sectPr w:rsidR="004A2F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04808"/>
    <w:multiLevelType w:val="multilevel"/>
    <w:tmpl w:val="4B3C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2060B5"/>
    <w:multiLevelType w:val="multilevel"/>
    <w:tmpl w:val="7428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26387">
    <w:abstractNumId w:val="0"/>
  </w:num>
  <w:num w:numId="2" w16cid:durableId="1157453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FEC"/>
    <w:rsid w:val="001548F2"/>
    <w:rsid w:val="00195299"/>
    <w:rsid w:val="002658A5"/>
    <w:rsid w:val="003E7C23"/>
    <w:rsid w:val="003F543A"/>
    <w:rsid w:val="004A25A3"/>
    <w:rsid w:val="004A2FEC"/>
    <w:rsid w:val="005F0C7F"/>
    <w:rsid w:val="005F2253"/>
    <w:rsid w:val="009E502F"/>
    <w:rsid w:val="00D0412E"/>
    <w:rsid w:val="00E35B1E"/>
    <w:rsid w:val="00F52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31951"/>
  <w15:chartTrackingRefBased/>
  <w15:docId w15:val="{D1373F59-E811-44C1-A92A-60FA0882C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2F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F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F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F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F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2F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F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F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FEC"/>
    <w:rPr>
      <w:rFonts w:eastAsiaTheme="majorEastAsia" w:cstheme="majorBidi"/>
      <w:color w:val="272727" w:themeColor="text1" w:themeTint="D8"/>
    </w:rPr>
  </w:style>
  <w:style w:type="paragraph" w:styleId="Title">
    <w:name w:val="Title"/>
    <w:basedOn w:val="Normal"/>
    <w:next w:val="Normal"/>
    <w:link w:val="TitleChar"/>
    <w:uiPriority w:val="10"/>
    <w:qFormat/>
    <w:rsid w:val="004A2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FEC"/>
    <w:pPr>
      <w:spacing w:before="160"/>
      <w:jc w:val="center"/>
    </w:pPr>
    <w:rPr>
      <w:i/>
      <w:iCs/>
      <w:color w:val="404040" w:themeColor="text1" w:themeTint="BF"/>
    </w:rPr>
  </w:style>
  <w:style w:type="character" w:customStyle="1" w:styleId="QuoteChar">
    <w:name w:val="Quote Char"/>
    <w:basedOn w:val="DefaultParagraphFont"/>
    <w:link w:val="Quote"/>
    <w:uiPriority w:val="29"/>
    <w:rsid w:val="004A2FEC"/>
    <w:rPr>
      <w:i/>
      <w:iCs/>
      <w:color w:val="404040" w:themeColor="text1" w:themeTint="BF"/>
    </w:rPr>
  </w:style>
  <w:style w:type="paragraph" w:styleId="ListParagraph">
    <w:name w:val="List Paragraph"/>
    <w:basedOn w:val="Normal"/>
    <w:uiPriority w:val="34"/>
    <w:qFormat/>
    <w:rsid w:val="004A2FEC"/>
    <w:pPr>
      <w:ind w:left="720"/>
      <w:contextualSpacing/>
    </w:pPr>
  </w:style>
  <w:style w:type="character" w:styleId="IntenseEmphasis">
    <w:name w:val="Intense Emphasis"/>
    <w:basedOn w:val="DefaultParagraphFont"/>
    <w:uiPriority w:val="21"/>
    <w:qFormat/>
    <w:rsid w:val="004A2FEC"/>
    <w:rPr>
      <w:i/>
      <w:iCs/>
      <w:color w:val="0F4761" w:themeColor="accent1" w:themeShade="BF"/>
    </w:rPr>
  </w:style>
  <w:style w:type="paragraph" w:styleId="IntenseQuote">
    <w:name w:val="Intense Quote"/>
    <w:basedOn w:val="Normal"/>
    <w:next w:val="Normal"/>
    <w:link w:val="IntenseQuoteChar"/>
    <w:uiPriority w:val="30"/>
    <w:qFormat/>
    <w:rsid w:val="004A2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FEC"/>
    <w:rPr>
      <w:i/>
      <w:iCs/>
      <w:color w:val="0F4761" w:themeColor="accent1" w:themeShade="BF"/>
    </w:rPr>
  </w:style>
  <w:style w:type="character" w:styleId="IntenseReference">
    <w:name w:val="Intense Reference"/>
    <w:basedOn w:val="DefaultParagraphFont"/>
    <w:uiPriority w:val="32"/>
    <w:qFormat/>
    <w:rsid w:val="004A2FEC"/>
    <w:rPr>
      <w:b/>
      <w:bCs/>
      <w:smallCaps/>
      <w:color w:val="0F4761" w:themeColor="accent1" w:themeShade="BF"/>
      <w:spacing w:val="5"/>
    </w:rPr>
  </w:style>
  <w:style w:type="character" w:styleId="Hyperlink">
    <w:name w:val="Hyperlink"/>
    <w:basedOn w:val="DefaultParagraphFont"/>
    <w:uiPriority w:val="99"/>
    <w:unhideWhenUsed/>
    <w:rsid w:val="00E35B1E"/>
    <w:rPr>
      <w:color w:val="467886" w:themeColor="hyperlink"/>
      <w:u w:val="single"/>
    </w:rPr>
  </w:style>
  <w:style w:type="character" w:styleId="UnresolvedMention">
    <w:name w:val="Unresolved Mention"/>
    <w:basedOn w:val="DefaultParagraphFont"/>
    <w:uiPriority w:val="99"/>
    <w:semiHidden/>
    <w:unhideWhenUsed/>
    <w:rsid w:val="00E35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6497">
      <w:bodyDiv w:val="1"/>
      <w:marLeft w:val="0"/>
      <w:marRight w:val="0"/>
      <w:marTop w:val="0"/>
      <w:marBottom w:val="0"/>
      <w:divBdr>
        <w:top w:val="none" w:sz="0" w:space="0" w:color="auto"/>
        <w:left w:val="none" w:sz="0" w:space="0" w:color="auto"/>
        <w:bottom w:val="none" w:sz="0" w:space="0" w:color="auto"/>
        <w:right w:val="none" w:sz="0" w:space="0" w:color="auto"/>
      </w:divBdr>
    </w:div>
    <w:div w:id="36439017">
      <w:bodyDiv w:val="1"/>
      <w:marLeft w:val="0"/>
      <w:marRight w:val="0"/>
      <w:marTop w:val="0"/>
      <w:marBottom w:val="0"/>
      <w:divBdr>
        <w:top w:val="none" w:sz="0" w:space="0" w:color="auto"/>
        <w:left w:val="none" w:sz="0" w:space="0" w:color="auto"/>
        <w:bottom w:val="none" w:sz="0" w:space="0" w:color="auto"/>
        <w:right w:val="none" w:sz="0" w:space="0" w:color="auto"/>
      </w:divBdr>
    </w:div>
    <w:div w:id="240139343">
      <w:bodyDiv w:val="1"/>
      <w:marLeft w:val="0"/>
      <w:marRight w:val="0"/>
      <w:marTop w:val="0"/>
      <w:marBottom w:val="0"/>
      <w:divBdr>
        <w:top w:val="none" w:sz="0" w:space="0" w:color="auto"/>
        <w:left w:val="none" w:sz="0" w:space="0" w:color="auto"/>
        <w:bottom w:val="none" w:sz="0" w:space="0" w:color="auto"/>
        <w:right w:val="none" w:sz="0" w:space="0" w:color="auto"/>
      </w:divBdr>
    </w:div>
    <w:div w:id="426274132">
      <w:bodyDiv w:val="1"/>
      <w:marLeft w:val="0"/>
      <w:marRight w:val="0"/>
      <w:marTop w:val="0"/>
      <w:marBottom w:val="0"/>
      <w:divBdr>
        <w:top w:val="none" w:sz="0" w:space="0" w:color="auto"/>
        <w:left w:val="none" w:sz="0" w:space="0" w:color="auto"/>
        <w:bottom w:val="none" w:sz="0" w:space="0" w:color="auto"/>
        <w:right w:val="none" w:sz="0" w:space="0" w:color="auto"/>
      </w:divBdr>
    </w:div>
    <w:div w:id="481166172">
      <w:bodyDiv w:val="1"/>
      <w:marLeft w:val="0"/>
      <w:marRight w:val="0"/>
      <w:marTop w:val="0"/>
      <w:marBottom w:val="0"/>
      <w:divBdr>
        <w:top w:val="none" w:sz="0" w:space="0" w:color="auto"/>
        <w:left w:val="none" w:sz="0" w:space="0" w:color="auto"/>
        <w:bottom w:val="none" w:sz="0" w:space="0" w:color="auto"/>
        <w:right w:val="none" w:sz="0" w:space="0" w:color="auto"/>
      </w:divBdr>
    </w:div>
    <w:div w:id="509367815">
      <w:bodyDiv w:val="1"/>
      <w:marLeft w:val="0"/>
      <w:marRight w:val="0"/>
      <w:marTop w:val="0"/>
      <w:marBottom w:val="0"/>
      <w:divBdr>
        <w:top w:val="none" w:sz="0" w:space="0" w:color="auto"/>
        <w:left w:val="none" w:sz="0" w:space="0" w:color="auto"/>
        <w:bottom w:val="none" w:sz="0" w:space="0" w:color="auto"/>
        <w:right w:val="none" w:sz="0" w:space="0" w:color="auto"/>
      </w:divBdr>
    </w:div>
    <w:div w:id="632903489">
      <w:bodyDiv w:val="1"/>
      <w:marLeft w:val="0"/>
      <w:marRight w:val="0"/>
      <w:marTop w:val="0"/>
      <w:marBottom w:val="0"/>
      <w:divBdr>
        <w:top w:val="none" w:sz="0" w:space="0" w:color="auto"/>
        <w:left w:val="none" w:sz="0" w:space="0" w:color="auto"/>
        <w:bottom w:val="none" w:sz="0" w:space="0" w:color="auto"/>
        <w:right w:val="none" w:sz="0" w:space="0" w:color="auto"/>
      </w:divBdr>
    </w:div>
    <w:div w:id="697466396">
      <w:bodyDiv w:val="1"/>
      <w:marLeft w:val="0"/>
      <w:marRight w:val="0"/>
      <w:marTop w:val="0"/>
      <w:marBottom w:val="0"/>
      <w:divBdr>
        <w:top w:val="none" w:sz="0" w:space="0" w:color="auto"/>
        <w:left w:val="none" w:sz="0" w:space="0" w:color="auto"/>
        <w:bottom w:val="none" w:sz="0" w:space="0" w:color="auto"/>
        <w:right w:val="none" w:sz="0" w:space="0" w:color="auto"/>
      </w:divBdr>
    </w:div>
    <w:div w:id="814182894">
      <w:bodyDiv w:val="1"/>
      <w:marLeft w:val="0"/>
      <w:marRight w:val="0"/>
      <w:marTop w:val="0"/>
      <w:marBottom w:val="0"/>
      <w:divBdr>
        <w:top w:val="none" w:sz="0" w:space="0" w:color="auto"/>
        <w:left w:val="none" w:sz="0" w:space="0" w:color="auto"/>
        <w:bottom w:val="none" w:sz="0" w:space="0" w:color="auto"/>
        <w:right w:val="none" w:sz="0" w:space="0" w:color="auto"/>
      </w:divBdr>
    </w:div>
    <w:div w:id="833491177">
      <w:bodyDiv w:val="1"/>
      <w:marLeft w:val="0"/>
      <w:marRight w:val="0"/>
      <w:marTop w:val="0"/>
      <w:marBottom w:val="0"/>
      <w:divBdr>
        <w:top w:val="none" w:sz="0" w:space="0" w:color="auto"/>
        <w:left w:val="none" w:sz="0" w:space="0" w:color="auto"/>
        <w:bottom w:val="none" w:sz="0" w:space="0" w:color="auto"/>
        <w:right w:val="none" w:sz="0" w:space="0" w:color="auto"/>
      </w:divBdr>
    </w:div>
    <w:div w:id="1324624832">
      <w:bodyDiv w:val="1"/>
      <w:marLeft w:val="0"/>
      <w:marRight w:val="0"/>
      <w:marTop w:val="0"/>
      <w:marBottom w:val="0"/>
      <w:divBdr>
        <w:top w:val="none" w:sz="0" w:space="0" w:color="auto"/>
        <w:left w:val="none" w:sz="0" w:space="0" w:color="auto"/>
        <w:bottom w:val="none" w:sz="0" w:space="0" w:color="auto"/>
        <w:right w:val="none" w:sz="0" w:space="0" w:color="auto"/>
      </w:divBdr>
    </w:div>
    <w:div w:id="1405183105">
      <w:bodyDiv w:val="1"/>
      <w:marLeft w:val="0"/>
      <w:marRight w:val="0"/>
      <w:marTop w:val="0"/>
      <w:marBottom w:val="0"/>
      <w:divBdr>
        <w:top w:val="none" w:sz="0" w:space="0" w:color="auto"/>
        <w:left w:val="none" w:sz="0" w:space="0" w:color="auto"/>
        <w:bottom w:val="none" w:sz="0" w:space="0" w:color="auto"/>
        <w:right w:val="none" w:sz="0" w:space="0" w:color="auto"/>
      </w:divBdr>
    </w:div>
    <w:div w:id="1474906378">
      <w:bodyDiv w:val="1"/>
      <w:marLeft w:val="0"/>
      <w:marRight w:val="0"/>
      <w:marTop w:val="0"/>
      <w:marBottom w:val="0"/>
      <w:divBdr>
        <w:top w:val="none" w:sz="0" w:space="0" w:color="auto"/>
        <w:left w:val="none" w:sz="0" w:space="0" w:color="auto"/>
        <w:bottom w:val="none" w:sz="0" w:space="0" w:color="auto"/>
        <w:right w:val="none" w:sz="0" w:space="0" w:color="auto"/>
      </w:divBdr>
    </w:div>
    <w:div w:id="1501500237">
      <w:bodyDiv w:val="1"/>
      <w:marLeft w:val="0"/>
      <w:marRight w:val="0"/>
      <w:marTop w:val="0"/>
      <w:marBottom w:val="0"/>
      <w:divBdr>
        <w:top w:val="none" w:sz="0" w:space="0" w:color="auto"/>
        <w:left w:val="none" w:sz="0" w:space="0" w:color="auto"/>
        <w:bottom w:val="none" w:sz="0" w:space="0" w:color="auto"/>
        <w:right w:val="none" w:sz="0" w:space="0" w:color="auto"/>
      </w:divBdr>
    </w:div>
    <w:div w:id="1621647471">
      <w:bodyDiv w:val="1"/>
      <w:marLeft w:val="0"/>
      <w:marRight w:val="0"/>
      <w:marTop w:val="0"/>
      <w:marBottom w:val="0"/>
      <w:divBdr>
        <w:top w:val="none" w:sz="0" w:space="0" w:color="auto"/>
        <w:left w:val="none" w:sz="0" w:space="0" w:color="auto"/>
        <w:bottom w:val="none" w:sz="0" w:space="0" w:color="auto"/>
        <w:right w:val="none" w:sz="0" w:space="0" w:color="auto"/>
      </w:divBdr>
    </w:div>
    <w:div w:id="1676493946">
      <w:bodyDiv w:val="1"/>
      <w:marLeft w:val="0"/>
      <w:marRight w:val="0"/>
      <w:marTop w:val="0"/>
      <w:marBottom w:val="0"/>
      <w:divBdr>
        <w:top w:val="none" w:sz="0" w:space="0" w:color="auto"/>
        <w:left w:val="none" w:sz="0" w:space="0" w:color="auto"/>
        <w:bottom w:val="none" w:sz="0" w:space="0" w:color="auto"/>
        <w:right w:val="none" w:sz="0" w:space="0" w:color="auto"/>
      </w:divBdr>
    </w:div>
    <w:div w:id="1677532897">
      <w:bodyDiv w:val="1"/>
      <w:marLeft w:val="0"/>
      <w:marRight w:val="0"/>
      <w:marTop w:val="0"/>
      <w:marBottom w:val="0"/>
      <w:divBdr>
        <w:top w:val="none" w:sz="0" w:space="0" w:color="auto"/>
        <w:left w:val="none" w:sz="0" w:space="0" w:color="auto"/>
        <w:bottom w:val="none" w:sz="0" w:space="0" w:color="auto"/>
        <w:right w:val="none" w:sz="0" w:space="0" w:color="auto"/>
      </w:divBdr>
    </w:div>
    <w:div w:id="1704864632">
      <w:bodyDiv w:val="1"/>
      <w:marLeft w:val="0"/>
      <w:marRight w:val="0"/>
      <w:marTop w:val="0"/>
      <w:marBottom w:val="0"/>
      <w:divBdr>
        <w:top w:val="none" w:sz="0" w:space="0" w:color="auto"/>
        <w:left w:val="none" w:sz="0" w:space="0" w:color="auto"/>
        <w:bottom w:val="none" w:sz="0" w:space="0" w:color="auto"/>
        <w:right w:val="none" w:sz="0" w:space="0" w:color="auto"/>
      </w:divBdr>
    </w:div>
    <w:div w:id="1912617942">
      <w:bodyDiv w:val="1"/>
      <w:marLeft w:val="0"/>
      <w:marRight w:val="0"/>
      <w:marTop w:val="0"/>
      <w:marBottom w:val="0"/>
      <w:divBdr>
        <w:top w:val="none" w:sz="0" w:space="0" w:color="auto"/>
        <w:left w:val="none" w:sz="0" w:space="0" w:color="auto"/>
        <w:bottom w:val="none" w:sz="0" w:space="0" w:color="auto"/>
        <w:right w:val="none" w:sz="0" w:space="0" w:color="auto"/>
      </w:divBdr>
    </w:div>
    <w:div w:id="1977758645">
      <w:bodyDiv w:val="1"/>
      <w:marLeft w:val="0"/>
      <w:marRight w:val="0"/>
      <w:marTop w:val="0"/>
      <w:marBottom w:val="0"/>
      <w:divBdr>
        <w:top w:val="none" w:sz="0" w:space="0" w:color="auto"/>
        <w:left w:val="none" w:sz="0" w:space="0" w:color="auto"/>
        <w:bottom w:val="none" w:sz="0" w:space="0" w:color="auto"/>
        <w:right w:val="none" w:sz="0" w:space="0" w:color="auto"/>
      </w:divBdr>
    </w:div>
    <w:div w:id="2027636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ps.usdoj.gov/pdf/e09042536.pdf%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665</Words>
  <Characters>3795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8</cp:revision>
  <dcterms:created xsi:type="dcterms:W3CDTF">2025-03-21T23:58:00Z</dcterms:created>
  <dcterms:modified xsi:type="dcterms:W3CDTF">2025-04-04T02:19:00Z</dcterms:modified>
</cp:coreProperties>
</file>