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149B2" w14:textId="26E4FF24" w:rsidR="00FC1A01" w:rsidRDefault="00D24973" w:rsidP="003F543A">
      <w:pPr>
        <w:rPr>
          <w:b/>
          <w:bCs/>
          <w:i/>
          <w:iCs/>
        </w:rPr>
      </w:pPr>
      <w:r w:rsidRPr="00D24973">
        <w:rPr>
          <w:b/>
          <w:bCs/>
          <w:i/>
          <w:iCs/>
        </w:rPr>
        <w:t>Compare and contrast Intelligence-Led Policing to CompStat. Why are both concepts important to law enforcement?</w:t>
      </w:r>
    </w:p>
    <w:p w14:paraId="04E2E247" w14:textId="77777777" w:rsidR="00FC1A01" w:rsidRPr="00FC1A01" w:rsidRDefault="00FC1A01" w:rsidP="00FC1A01">
      <w:r w:rsidRPr="00FC1A01">
        <w:rPr>
          <w:b/>
          <w:bCs/>
        </w:rPr>
        <w:t>Definitions</w:t>
      </w:r>
    </w:p>
    <w:p w14:paraId="0F0F831B" w14:textId="3E611984" w:rsidR="00FC1A01" w:rsidRPr="00FC1A01" w:rsidRDefault="00FC1A01" w:rsidP="00FC1A01">
      <w:r w:rsidRPr="005A37F2">
        <w:t>Intelligence-Led Policing (ILP)</w:t>
      </w:r>
      <w:r w:rsidRPr="00FC1A01">
        <w:t xml:space="preserve"> is a strategic, data</w:t>
      </w:r>
      <w:r w:rsidR="005068DA">
        <w:t xml:space="preserve"> </w:t>
      </w:r>
      <w:r w:rsidRPr="00FC1A01">
        <w:t>driven law enforcement approach that prioritizes the use of criminal intelligence to guide operational decisions and resource allocation. It emphasizes the identification and disruption of prolific offenders, criminal organizations, and threats</w:t>
      </w:r>
      <w:r w:rsidR="005068DA">
        <w:t>.</w:t>
      </w:r>
      <w:r w:rsidRPr="00FC1A01">
        <w:t xml:space="preserve"> </w:t>
      </w:r>
      <w:r w:rsidR="005068DA">
        <w:t>B</w:t>
      </w:r>
      <w:r w:rsidRPr="00FC1A01">
        <w:t>y focusing on analysis, risk assessment, and collaboration among agencies (Carter, 2022).</w:t>
      </w:r>
    </w:p>
    <w:p w14:paraId="612556F5" w14:textId="6CEE1CE2" w:rsidR="00FC1A01" w:rsidRPr="00FC1A01" w:rsidRDefault="00FC1A01" w:rsidP="00FC1A01">
      <w:r w:rsidRPr="005A37F2">
        <w:t>CompStat</w:t>
      </w:r>
      <w:r w:rsidRPr="00FC1A01">
        <w:t xml:space="preserve">, short for </w:t>
      </w:r>
      <w:r w:rsidRPr="00FC1A01">
        <w:rPr>
          <w:i/>
          <w:iCs/>
        </w:rPr>
        <w:t>Comparative Statistics</w:t>
      </w:r>
      <w:r w:rsidRPr="00FC1A01">
        <w:t xml:space="preserve"> is a performance management system that uses timely crime data to track patterns, measure effectiveness, and hold police leaders accountable for crime reduction in their jurisdictions. It involves regular meetings where law enforcement leaders review crime data and formulate strategies to address emerging issues (Grana &amp; Windell, 2021).</w:t>
      </w:r>
    </w:p>
    <w:p w14:paraId="7085DF06" w14:textId="77777777" w:rsidR="00FC1A01" w:rsidRPr="00FC1A01" w:rsidRDefault="00FC1A01" w:rsidP="00FC1A01">
      <w:r w:rsidRPr="00FC1A01">
        <w:rPr>
          <w:b/>
          <w:bCs/>
        </w:rPr>
        <w:t>Similarities and Differences</w:t>
      </w:r>
    </w:p>
    <w:p w14:paraId="7C54B7F9" w14:textId="2343FB04" w:rsidR="005068DA" w:rsidRDefault="005068DA" w:rsidP="00FC1A01">
      <w:r w:rsidRPr="005068DA">
        <w:t>Both ILP and CompStat are data</w:t>
      </w:r>
      <w:r>
        <w:t xml:space="preserve"> </w:t>
      </w:r>
      <w:r w:rsidRPr="005068DA">
        <w:t>driven models aimed at improving policing effectiveness through analysis and decision</w:t>
      </w:r>
      <w:r>
        <w:t xml:space="preserve"> </w:t>
      </w:r>
      <w:r w:rsidRPr="005068DA">
        <w:t>making. They share an emphasis on using crime data to identify patterns, allocate resources, and evaluate performance (Grana &amp; Windell, 2021). However, their core philosophies and methods differ. ILP takes a more proactive and strategic approach, emphasizing long</w:t>
      </w:r>
      <w:r>
        <w:t xml:space="preserve"> </w:t>
      </w:r>
      <w:r w:rsidRPr="005068DA">
        <w:t>term threats such as organized crime and terrorism</w:t>
      </w:r>
      <w:r>
        <w:t>.</w:t>
      </w:r>
      <w:r w:rsidRPr="005068DA">
        <w:t xml:space="preserve"> </w:t>
      </w:r>
      <w:r>
        <w:t>A</w:t>
      </w:r>
      <w:r w:rsidRPr="005068DA">
        <w:t>nd it relies heavily on criminal intelligence and in-depth analysis (Carter, 2022).</w:t>
      </w:r>
      <w:r>
        <w:t xml:space="preserve"> </w:t>
      </w:r>
      <w:r w:rsidRPr="005068DA">
        <w:t>In contrast, CompStat is more tactical and short-term often focused on immediate crime trends and neighborhood</w:t>
      </w:r>
      <w:r>
        <w:t xml:space="preserve"> </w:t>
      </w:r>
      <w:r w:rsidRPr="005068DA">
        <w:t>level incidents</w:t>
      </w:r>
      <w:r>
        <w:t xml:space="preserve">. </w:t>
      </w:r>
      <w:r w:rsidRPr="005068DA">
        <w:t>ILP also stresses inter</w:t>
      </w:r>
      <w:r>
        <w:t xml:space="preserve"> </w:t>
      </w:r>
      <w:r w:rsidRPr="005068DA">
        <w:t xml:space="preserve">agency collaboration and fusing intelligence from multiple sources, including </w:t>
      </w:r>
      <w:r w:rsidRPr="005068DA">
        <w:t>non</w:t>
      </w:r>
      <w:r>
        <w:t>-</w:t>
      </w:r>
      <w:r w:rsidRPr="005068DA">
        <w:t>law</w:t>
      </w:r>
      <w:r w:rsidRPr="005068DA">
        <w:t xml:space="preserve"> enforcement entities</w:t>
      </w:r>
      <w:r>
        <w:t>. W</w:t>
      </w:r>
      <w:r w:rsidRPr="005068DA">
        <w:t>hile CompStat tends to be more internally focused within a police department, with its success dependent on strong leadership and accountability structures (Carter, 2022; Grana &amp; Windell, 2021).</w:t>
      </w:r>
    </w:p>
    <w:p w14:paraId="4F0DA086" w14:textId="660F8456" w:rsidR="00FC1A01" w:rsidRPr="00FC1A01" w:rsidRDefault="00FC1A01" w:rsidP="00FC1A01">
      <w:r w:rsidRPr="00FC1A01">
        <w:rPr>
          <w:b/>
          <w:bCs/>
        </w:rPr>
        <w:t>Pros and Cons</w:t>
      </w:r>
    </w:p>
    <w:p w14:paraId="24B58557" w14:textId="4071E92A" w:rsidR="005068DA" w:rsidRDefault="00FC1A01" w:rsidP="00FC1A01">
      <w:r w:rsidRPr="00FC1A01">
        <w:t>One of the strengths of ILP is its ability to prevent crime by identifying emerging threats and targeting high</w:t>
      </w:r>
      <w:r w:rsidR="005068DA">
        <w:t xml:space="preserve"> </w:t>
      </w:r>
      <w:r w:rsidRPr="00FC1A01">
        <w:t>risk offenders</w:t>
      </w:r>
      <w:r w:rsidR="005068DA">
        <w:t>.</w:t>
      </w:r>
      <w:r w:rsidRPr="00FC1A01">
        <w:t xml:space="preserve"> </w:t>
      </w:r>
      <w:r w:rsidR="005068DA">
        <w:t>R</w:t>
      </w:r>
      <w:r w:rsidRPr="00FC1A01">
        <w:t xml:space="preserve">ather than simply reacting to crime after it happens. </w:t>
      </w:r>
      <w:r w:rsidR="005068DA" w:rsidRPr="005068DA">
        <w:t>It enhances strategic thinking and supports intelligence sharing. This approach is well suited for modern challenges such as gang violence, drug trafficking, and terrorism.</w:t>
      </w:r>
      <w:r w:rsidR="005068DA">
        <w:t xml:space="preserve"> </w:t>
      </w:r>
      <w:r w:rsidR="005068DA" w:rsidRPr="005068DA">
        <w:t>However, ILP can be resource</w:t>
      </w:r>
      <w:r w:rsidR="005068DA">
        <w:t xml:space="preserve"> </w:t>
      </w:r>
      <w:r w:rsidR="005068DA" w:rsidRPr="005068DA">
        <w:t>intensive</w:t>
      </w:r>
      <w:r w:rsidR="005068DA">
        <w:t>.</w:t>
      </w:r>
      <w:r w:rsidR="005068DA" w:rsidRPr="005068DA">
        <w:t xml:space="preserve"> </w:t>
      </w:r>
      <w:r w:rsidR="005068DA">
        <w:t>A</w:t>
      </w:r>
      <w:r w:rsidR="005068DA" w:rsidRPr="005068DA">
        <w:t>s it demands skilled analysts, advanced information systems, and effective cross-agency collaboration, which can be challenging to implement (Carter, 2022).</w:t>
      </w:r>
    </w:p>
    <w:p w14:paraId="5DF26B4F" w14:textId="66043F01" w:rsidR="00FC1A01" w:rsidRPr="00FC1A01" w:rsidRDefault="00FC1A01" w:rsidP="00FC1A01">
      <w:r w:rsidRPr="00FC1A01">
        <w:lastRenderedPageBreak/>
        <w:t>CompStat’s strengths lie in its clarity, accountability, and ability to respond quickly to crime spikes. It encourages innovation at the local level and improves managerial oversight. A</w:t>
      </w:r>
      <w:r w:rsidR="005068DA">
        <w:t>lthough one of its</w:t>
      </w:r>
      <w:r w:rsidRPr="00FC1A01">
        <w:t xml:space="preserve"> key </w:t>
      </w:r>
      <w:r w:rsidR="005068DA" w:rsidRPr="00FC1A01">
        <w:t>downsides</w:t>
      </w:r>
      <w:r w:rsidR="005068DA">
        <w:t xml:space="preserve"> </w:t>
      </w:r>
      <w:r w:rsidRPr="00FC1A01">
        <w:t>is that it may promote “numbers-driven” policing</w:t>
      </w:r>
      <w:r w:rsidR="005068DA">
        <w:t>. L</w:t>
      </w:r>
      <w:r w:rsidRPr="00FC1A01">
        <w:t>eading to potential manipulation of data, over</w:t>
      </w:r>
      <w:r w:rsidR="005068DA">
        <w:t xml:space="preserve"> </w:t>
      </w:r>
      <w:r w:rsidRPr="00FC1A01">
        <w:t>policing, or focusing only on easily measurable crimes while neglecting broader community concerns (Grana &amp; Windell, 2021).</w:t>
      </w:r>
    </w:p>
    <w:p w14:paraId="380BA438" w14:textId="77777777" w:rsidR="00FC1A01" w:rsidRPr="00FC1A01" w:rsidRDefault="00FC1A01" w:rsidP="00FC1A01">
      <w:r w:rsidRPr="00FC1A01">
        <w:rPr>
          <w:b/>
          <w:bCs/>
        </w:rPr>
        <w:t>Examples in Action</w:t>
      </w:r>
    </w:p>
    <w:p w14:paraId="0DC14C0D" w14:textId="3C73E0F6" w:rsidR="00FC1A01" w:rsidRPr="00FC1A01" w:rsidRDefault="00FC1A01" w:rsidP="00FC1A01">
      <w:r w:rsidRPr="00FC1A01">
        <w:t>An example of ILP in action is the use of fusion centers, where multiple agencies collaborate to collect and analyze intelligence related to organized crime or homeland security threats. These centers embody the ILP philosophy by promoting information sharing and focusing on criminal networks rather than isolated incidents (Carter, 2022).</w:t>
      </w:r>
      <w:r w:rsidR="005A37F2">
        <w:t xml:space="preserve"> </w:t>
      </w:r>
      <w:r w:rsidRPr="00FC1A01">
        <w:t>A classic example of CompStat is its implementation by the New York Police Department in the 1990s. Through regular meetings and crime mapping, precinct commanders were held accountable for crime trends in their areas. This model was widely credited with contributing to significant drops in crime during that period and was replicated in various cities across the U.S. (Grana &amp; Windell, 2021).</w:t>
      </w:r>
    </w:p>
    <w:p w14:paraId="542D3634" w14:textId="1D685861" w:rsidR="00FC1A01" w:rsidRPr="00FC1A01" w:rsidRDefault="00FC1A01" w:rsidP="00FC1A01">
      <w:r w:rsidRPr="00FC1A01">
        <w:t xml:space="preserve">Both Intelligence-Led Policing and CompStat play critical roles in modern law enforcement. While ILP provides a </w:t>
      </w:r>
      <w:proofErr w:type="gramStart"/>
      <w:r w:rsidRPr="00FC1A01">
        <w:t>forward</w:t>
      </w:r>
      <w:r w:rsidR="005068DA">
        <w:t xml:space="preserve"> </w:t>
      </w:r>
      <w:r w:rsidRPr="00FC1A01">
        <w:t>looking</w:t>
      </w:r>
      <w:proofErr w:type="gramEnd"/>
      <w:r w:rsidRPr="00FC1A01">
        <w:t xml:space="preserve"> strategy to disrupt crime networks and emerging threats</w:t>
      </w:r>
      <w:r w:rsidR="005068DA">
        <w:t xml:space="preserve">. </w:t>
      </w:r>
      <w:r w:rsidRPr="00FC1A01">
        <w:t>CompStat offers a structured, reactive tool for addressing immediate crime trends and organizational performance. Together, they represent complementary approaches that when used effectively can greatly enhance a department’s ability to reduce crime and improve public safety.</w:t>
      </w:r>
    </w:p>
    <w:p w14:paraId="1CA607B7" w14:textId="77777777" w:rsidR="00195299" w:rsidRPr="00195299" w:rsidRDefault="00195299" w:rsidP="00195299">
      <w:r w:rsidRPr="00195299">
        <w:rPr>
          <w:b/>
          <w:bCs/>
        </w:rPr>
        <w:t>References</w:t>
      </w:r>
    </w:p>
    <w:p w14:paraId="136D2D93" w14:textId="77777777" w:rsidR="005E4E0E" w:rsidRPr="0066251C" w:rsidRDefault="005E4E0E" w:rsidP="005E4E0E">
      <w:pPr>
        <w:ind w:left="720" w:hanging="720"/>
      </w:pPr>
      <w:r w:rsidRPr="0066251C">
        <w:t>Carter, D. L. (202</w:t>
      </w:r>
      <w:r>
        <w:t>2</w:t>
      </w:r>
      <w:r w:rsidRPr="0066251C">
        <w:t xml:space="preserve">). </w:t>
      </w:r>
      <w:r w:rsidRPr="003916B5">
        <w:rPr>
          <w:i/>
          <w:iCs/>
        </w:rPr>
        <w:t>Law enforcement intelligence: A guide for state, local, and tribal law enforcement agencies</w:t>
      </w:r>
      <w:r w:rsidRPr="0066251C">
        <w:t xml:space="preserve"> (3rd ed.).</w:t>
      </w:r>
      <w:r>
        <w:t xml:space="preserve"> </w:t>
      </w:r>
      <w:r w:rsidRPr="0066251C">
        <w:t>U.S. Department of Justice.</w:t>
      </w:r>
      <w:r>
        <w:t xml:space="preserve"> </w:t>
      </w:r>
      <w:hyperlink r:id="rId5" w:history="1">
        <w:r w:rsidRPr="000D5791">
          <w:rPr>
            <w:rStyle w:val="Hyperlink"/>
          </w:rPr>
          <w:t>https://www.ojp.gov/library/publications/law-enforcement-intelligence-guide-state-local-and-tribal-law-enforcement</w:t>
        </w:r>
      </w:hyperlink>
      <w:r w:rsidRPr="0066251C">
        <w:t>.</w:t>
      </w:r>
    </w:p>
    <w:p w14:paraId="6BFF4D67" w14:textId="77777777" w:rsidR="00195299" w:rsidRPr="00195299" w:rsidRDefault="00195299" w:rsidP="00195299">
      <w:r w:rsidRPr="00195299">
        <w:t xml:space="preserve">Grana, G., &amp; Windell, J. O. (2021). </w:t>
      </w:r>
      <w:r w:rsidRPr="00195299">
        <w:rPr>
          <w:i/>
          <w:iCs/>
        </w:rPr>
        <w:t>Crime and intelligence analysis: An integrated real-time approach</w:t>
      </w:r>
      <w:r w:rsidRPr="00195299">
        <w:t>. Routledge.</w:t>
      </w:r>
    </w:p>
    <w:p w14:paraId="393F6A77" w14:textId="731AE569" w:rsidR="004A2FEC" w:rsidRDefault="004A2FEC" w:rsidP="00195299"/>
    <w:sectPr w:rsidR="004A2F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B5DEF"/>
    <w:multiLevelType w:val="multilevel"/>
    <w:tmpl w:val="C26E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984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EC"/>
    <w:rsid w:val="00195299"/>
    <w:rsid w:val="002257E2"/>
    <w:rsid w:val="002658A5"/>
    <w:rsid w:val="003F543A"/>
    <w:rsid w:val="004A2FEC"/>
    <w:rsid w:val="005068DA"/>
    <w:rsid w:val="005A37F2"/>
    <w:rsid w:val="005E4E0E"/>
    <w:rsid w:val="009E502F"/>
    <w:rsid w:val="00A70534"/>
    <w:rsid w:val="00D0412E"/>
    <w:rsid w:val="00D24973"/>
    <w:rsid w:val="00DC2311"/>
    <w:rsid w:val="00E35B1E"/>
    <w:rsid w:val="00F36F74"/>
    <w:rsid w:val="00F52473"/>
    <w:rsid w:val="00FC1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31951"/>
  <w15:chartTrackingRefBased/>
  <w15:docId w15:val="{D1373F59-E811-44C1-A92A-60FA0882C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FEC"/>
    <w:rPr>
      <w:rFonts w:eastAsiaTheme="majorEastAsia" w:cstheme="majorBidi"/>
      <w:color w:val="272727" w:themeColor="text1" w:themeTint="D8"/>
    </w:rPr>
  </w:style>
  <w:style w:type="paragraph" w:styleId="Title">
    <w:name w:val="Title"/>
    <w:basedOn w:val="Normal"/>
    <w:next w:val="Normal"/>
    <w:link w:val="TitleChar"/>
    <w:uiPriority w:val="10"/>
    <w:qFormat/>
    <w:rsid w:val="004A2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FEC"/>
    <w:pPr>
      <w:spacing w:before="160"/>
      <w:jc w:val="center"/>
    </w:pPr>
    <w:rPr>
      <w:i/>
      <w:iCs/>
      <w:color w:val="404040" w:themeColor="text1" w:themeTint="BF"/>
    </w:rPr>
  </w:style>
  <w:style w:type="character" w:customStyle="1" w:styleId="QuoteChar">
    <w:name w:val="Quote Char"/>
    <w:basedOn w:val="DefaultParagraphFont"/>
    <w:link w:val="Quote"/>
    <w:uiPriority w:val="29"/>
    <w:rsid w:val="004A2FEC"/>
    <w:rPr>
      <w:i/>
      <w:iCs/>
      <w:color w:val="404040" w:themeColor="text1" w:themeTint="BF"/>
    </w:rPr>
  </w:style>
  <w:style w:type="paragraph" w:styleId="ListParagraph">
    <w:name w:val="List Paragraph"/>
    <w:basedOn w:val="Normal"/>
    <w:uiPriority w:val="34"/>
    <w:qFormat/>
    <w:rsid w:val="004A2FEC"/>
    <w:pPr>
      <w:ind w:left="720"/>
      <w:contextualSpacing/>
    </w:pPr>
  </w:style>
  <w:style w:type="character" w:styleId="IntenseEmphasis">
    <w:name w:val="Intense Emphasis"/>
    <w:basedOn w:val="DefaultParagraphFont"/>
    <w:uiPriority w:val="21"/>
    <w:qFormat/>
    <w:rsid w:val="004A2FEC"/>
    <w:rPr>
      <w:i/>
      <w:iCs/>
      <w:color w:val="0F4761" w:themeColor="accent1" w:themeShade="BF"/>
    </w:rPr>
  </w:style>
  <w:style w:type="paragraph" w:styleId="IntenseQuote">
    <w:name w:val="Intense Quote"/>
    <w:basedOn w:val="Normal"/>
    <w:next w:val="Normal"/>
    <w:link w:val="IntenseQuoteChar"/>
    <w:uiPriority w:val="30"/>
    <w:qFormat/>
    <w:rsid w:val="004A2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FEC"/>
    <w:rPr>
      <w:i/>
      <w:iCs/>
      <w:color w:val="0F4761" w:themeColor="accent1" w:themeShade="BF"/>
    </w:rPr>
  </w:style>
  <w:style w:type="character" w:styleId="IntenseReference">
    <w:name w:val="Intense Reference"/>
    <w:basedOn w:val="DefaultParagraphFont"/>
    <w:uiPriority w:val="32"/>
    <w:qFormat/>
    <w:rsid w:val="004A2FEC"/>
    <w:rPr>
      <w:b/>
      <w:bCs/>
      <w:smallCaps/>
      <w:color w:val="0F4761" w:themeColor="accent1" w:themeShade="BF"/>
      <w:spacing w:val="5"/>
    </w:rPr>
  </w:style>
  <w:style w:type="character" w:styleId="Hyperlink">
    <w:name w:val="Hyperlink"/>
    <w:basedOn w:val="DefaultParagraphFont"/>
    <w:uiPriority w:val="99"/>
    <w:unhideWhenUsed/>
    <w:rsid w:val="00E35B1E"/>
    <w:rPr>
      <w:color w:val="467886" w:themeColor="hyperlink"/>
      <w:u w:val="single"/>
    </w:rPr>
  </w:style>
  <w:style w:type="character" w:styleId="UnresolvedMention">
    <w:name w:val="Unresolved Mention"/>
    <w:basedOn w:val="DefaultParagraphFont"/>
    <w:uiPriority w:val="99"/>
    <w:semiHidden/>
    <w:unhideWhenUsed/>
    <w:rsid w:val="00E35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6497">
      <w:bodyDiv w:val="1"/>
      <w:marLeft w:val="0"/>
      <w:marRight w:val="0"/>
      <w:marTop w:val="0"/>
      <w:marBottom w:val="0"/>
      <w:divBdr>
        <w:top w:val="none" w:sz="0" w:space="0" w:color="auto"/>
        <w:left w:val="none" w:sz="0" w:space="0" w:color="auto"/>
        <w:bottom w:val="none" w:sz="0" w:space="0" w:color="auto"/>
        <w:right w:val="none" w:sz="0" w:space="0" w:color="auto"/>
      </w:divBdr>
    </w:div>
    <w:div w:id="36439017">
      <w:bodyDiv w:val="1"/>
      <w:marLeft w:val="0"/>
      <w:marRight w:val="0"/>
      <w:marTop w:val="0"/>
      <w:marBottom w:val="0"/>
      <w:divBdr>
        <w:top w:val="none" w:sz="0" w:space="0" w:color="auto"/>
        <w:left w:val="none" w:sz="0" w:space="0" w:color="auto"/>
        <w:bottom w:val="none" w:sz="0" w:space="0" w:color="auto"/>
        <w:right w:val="none" w:sz="0" w:space="0" w:color="auto"/>
      </w:divBdr>
    </w:div>
    <w:div w:id="426274132">
      <w:bodyDiv w:val="1"/>
      <w:marLeft w:val="0"/>
      <w:marRight w:val="0"/>
      <w:marTop w:val="0"/>
      <w:marBottom w:val="0"/>
      <w:divBdr>
        <w:top w:val="none" w:sz="0" w:space="0" w:color="auto"/>
        <w:left w:val="none" w:sz="0" w:space="0" w:color="auto"/>
        <w:bottom w:val="none" w:sz="0" w:space="0" w:color="auto"/>
        <w:right w:val="none" w:sz="0" w:space="0" w:color="auto"/>
      </w:divBdr>
    </w:div>
    <w:div w:id="509367815">
      <w:bodyDiv w:val="1"/>
      <w:marLeft w:val="0"/>
      <w:marRight w:val="0"/>
      <w:marTop w:val="0"/>
      <w:marBottom w:val="0"/>
      <w:divBdr>
        <w:top w:val="none" w:sz="0" w:space="0" w:color="auto"/>
        <w:left w:val="none" w:sz="0" w:space="0" w:color="auto"/>
        <w:bottom w:val="none" w:sz="0" w:space="0" w:color="auto"/>
        <w:right w:val="none" w:sz="0" w:space="0" w:color="auto"/>
      </w:divBdr>
    </w:div>
    <w:div w:id="632903489">
      <w:bodyDiv w:val="1"/>
      <w:marLeft w:val="0"/>
      <w:marRight w:val="0"/>
      <w:marTop w:val="0"/>
      <w:marBottom w:val="0"/>
      <w:divBdr>
        <w:top w:val="none" w:sz="0" w:space="0" w:color="auto"/>
        <w:left w:val="none" w:sz="0" w:space="0" w:color="auto"/>
        <w:bottom w:val="none" w:sz="0" w:space="0" w:color="auto"/>
        <w:right w:val="none" w:sz="0" w:space="0" w:color="auto"/>
      </w:divBdr>
    </w:div>
    <w:div w:id="697320710">
      <w:bodyDiv w:val="1"/>
      <w:marLeft w:val="0"/>
      <w:marRight w:val="0"/>
      <w:marTop w:val="0"/>
      <w:marBottom w:val="0"/>
      <w:divBdr>
        <w:top w:val="none" w:sz="0" w:space="0" w:color="auto"/>
        <w:left w:val="none" w:sz="0" w:space="0" w:color="auto"/>
        <w:bottom w:val="none" w:sz="0" w:space="0" w:color="auto"/>
        <w:right w:val="none" w:sz="0" w:space="0" w:color="auto"/>
      </w:divBdr>
    </w:div>
    <w:div w:id="814182894">
      <w:bodyDiv w:val="1"/>
      <w:marLeft w:val="0"/>
      <w:marRight w:val="0"/>
      <w:marTop w:val="0"/>
      <w:marBottom w:val="0"/>
      <w:divBdr>
        <w:top w:val="none" w:sz="0" w:space="0" w:color="auto"/>
        <w:left w:val="none" w:sz="0" w:space="0" w:color="auto"/>
        <w:bottom w:val="none" w:sz="0" w:space="0" w:color="auto"/>
        <w:right w:val="none" w:sz="0" w:space="0" w:color="auto"/>
      </w:divBdr>
    </w:div>
    <w:div w:id="1405183105">
      <w:bodyDiv w:val="1"/>
      <w:marLeft w:val="0"/>
      <w:marRight w:val="0"/>
      <w:marTop w:val="0"/>
      <w:marBottom w:val="0"/>
      <w:divBdr>
        <w:top w:val="none" w:sz="0" w:space="0" w:color="auto"/>
        <w:left w:val="none" w:sz="0" w:space="0" w:color="auto"/>
        <w:bottom w:val="none" w:sz="0" w:space="0" w:color="auto"/>
        <w:right w:val="none" w:sz="0" w:space="0" w:color="auto"/>
      </w:divBdr>
    </w:div>
    <w:div w:id="1469320127">
      <w:bodyDiv w:val="1"/>
      <w:marLeft w:val="0"/>
      <w:marRight w:val="0"/>
      <w:marTop w:val="0"/>
      <w:marBottom w:val="0"/>
      <w:divBdr>
        <w:top w:val="none" w:sz="0" w:space="0" w:color="auto"/>
        <w:left w:val="none" w:sz="0" w:space="0" w:color="auto"/>
        <w:bottom w:val="none" w:sz="0" w:space="0" w:color="auto"/>
        <w:right w:val="none" w:sz="0" w:space="0" w:color="auto"/>
      </w:divBdr>
    </w:div>
    <w:div w:id="1621647471">
      <w:bodyDiv w:val="1"/>
      <w:marLeft w:val="0"/>
      <w:marRight w:val="0"/>
      <w:marTop w:val="0"/>
      <w:marBottom w:val="0"/>
      <w:divBdr>
        <w:top w:val="none" w:sz="0" w:space="0" w:color="auto"/>
        <w:left w:val="none" w:sz="0" w:space="0" w:color="auto"/>
        <w:bottom w:val="none" w:sz="0" w:space="0" w:color="auto"/>
        <w:right w:val="none" w:sz="0" w:space="0" w:color="auto"/>
      </w:divBdr>
    </w:div>
    <w:div w:id="1676493946">
      <w:bodyDiv w:val="1"/>
      <w:marLeft w:val="0"/>
      <w:marRight w:val="0"/>
      <w:marTop w:val="0"/>
      <w:marBottom w:val="0"/>
      <w:divBdr>
        <w:top w:val="none" w:sz="0" w:space="0" w:color="auto"/>
        <w:left w:val="none" w:sz="0" w:space="0" w:color="auto"/>
        <w:bottom w:val="none" w:sz="0" w:space="0" w:color="auto"/>
        <w:right w:val="none" w:sz="0" w:space="0" w:color="auto"/>
      </w:divBdr>
    </w:div>
    <w:div w:id="1677532897">
      <w:bodyDiv w:val="1"/>
      <w:marLeft w:val="0"/>
      <w:marRight w:val="0"/>
      <w:marTop w:val="0"/>
      <w:marBottom w:val="0"/>
      <w:divBdr>
        <w:top w:val="none" w:sz="0" w:space="0" w:color="auto"/>
        <w:left w:val="none" w:sz="0" w:space="0" w:color="auto"/>
        <w:bottom w:val="none" w:sz="0" w:space="0" w:color="auto"/>
        <w:right w:val="none" w:sz="0" w:space="0" w:color="auto"/>
      </w:divBdr>
    </w:div>
    <w:div w:id="1891961833">
      <w:bodyDiv w:val="1"/>
      <w:marLeft w:val="0"/>
      <w:marRight w:val="0"/>
      <w:marTop w:val="0"/>
      <w:marBottom w:val="0"/>
      <w:divBdr>
        <w:top w:val="none" w:sz="0" w:space="0" w:color="auto"/>
        <w:left w:val="none" w:sz="0" w:space="0" w:color="auto"/>
        <w:bottom w:val="none" w:sz="0" w:space="0" w:color="auto"/>
        <w:right w:val="none" w:sz="0" w:space="0" w:color="auto"/>
      </w:divBdr>
    </w:div>
    <w:div w:id="2086798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jp.gov/library/publications/law-enforcement-intelligence-guide-state-local-and-tribal-law-enforc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693</Words>
  <Characters>3955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11</cp:revision>
  <dcterms:created xsi:type="dcterms:W3CDTF">2025-03-21T23:58:00Z</dcterms:created>
  <dcterms:modified xsi:type="dcterms:W3CDTF">2025-04-12T03:21:00Z</dcterms:modified>
</cp:coreProperties>
</file>