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AD5C" w14:textId="77777777" w:rsidR="000A5A4E" w:rsidRDefault="00000000" w:rsidP="000A5A4E">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Based on your readings, is the U.S. Congress and the Executive Branch effective in creating and enforcing intelligence laws?</w:t>
      </w:r>
    </w:p>
    <w:p w14:paraId="2A0B7B37" w14:textId="14822867" w:rsidR="000A5A4E" w:rsidRDefault="00000000" w:rsidP="000A5A4E">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U.S. Congress and the Executive branch are not effective in creating and enforcing intelligence laws. This stems from the results of having mixed effectiveness in the creation and enforcement of these laws. Often the effectiveness is dependent on periods of heightened threat, which allow for the rapid deployment of executive power but limits opportunities for sustained legislative review (Rosenbach &amp; Peritz, 2010). If these laws are dependent on the events of heightened threat, then there must be something wrong with the general procedure of creating these laws under normal circumstances. For </w:t>
      </w:r>
      <w:r w:rsidR="000A5A4E">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while the Congress provides the statutory framework for intelligence activities, the actual oversight mechanisms frequently </w:t>
      </w:r>
      <w:proofErr w:type="gramStart"/>
      <w:r>
        <w:rPr>
          <w:rFonts w:ascii="Times New Roman" w:eastAsia="Times New Roman" w:hAnsi="Times New Roman" w:cs="Times New Roman"/>
          <w:sz w:val="24"/>
          <w:szCs w:val="24"/>
        </w:rPr>
        <w:t>lag behind</w:t>
      </w:r>
      <w:proofErr w:type="gramEnd"/>
      <w:r>
        <w:rPr>
          <w:rFonts w:ascii="Times New Roman" w:eastAsia="Times New Roman" w:hAnsi="Times New Roman" w:cs="Times New Roman"/>
          <w:sz w:val="24"/>
          <w:szCs w:val="24"/>
        </w:rPr>
        <w:t xml:space="preserve"> the operational realities of intelligence agencies. This imbalance is why intelligence laws tend to function effectively in addressing immediate security threats while remaining less effective in long term governance. </w:t>
      </w:r>
    </w:p>
    <w:p w14:paraId="41750EEE" w14:textId="77777777" w:rsidR="000A5A4E" w:rsidRDefault="00000000" w:rsidP="000A5A4E">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Based on your readings, do you agree or disagree with the comment there are no laws to protect intelligence whistle-blowers?</w:t>
      </w:r>
    </w:p>
    <w:p w14:paraId="1E5B613B" w14:textId="45EF50CD" w:rsidR="000A5A4E" w:rsidRDefault="00000000" w:rsidP="000A5A4E">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 completely agree there are no laws to protect intelligence whistle-blowers. The existing oversight structures rely heavily on classified internal reporting that prioritize secrecy rather than individual </w:t>
      </w:r>
      <w:r w:rsidR="000A5A4E">
        <w:rPr>
          <w:rFonts w:ascii="Times New Roman" w:eastAsia="Times New Roman" w:hAnsi="Times New Roman" w:cs="Times New Roman"/>
          <w:sz w:val="24"/>
          <w:szCs w:val="24"/>
        </w:rPr>
        <w:t xml:space="preserve">protection </w:t>
      </w:r>
      <w:r>
        <w:rPr>
          <w:rFonts w:ascii="Times New Roman" w:eastAsia="Times New Roman" w:hAnsi="Times New Roman" w:cs="Times New Roman"/>
          <w:sz w:val="24"/>
          <w:szCs w:val="24"/>
        </w:rPr>
        <w:t xml:space="preserve">(Rosenbach &amp; Peritz, 2010). And the legal consequences for unauthorized disclosures are extremely severe, even when these disclosures raise ethical or legal issues. Until these consequences are changed to no longer outweigh the protections granted for disclosing this kind of information, it will remain unsafe to act as an </w:t>
      </w:r>
      <w:proofErr w:type="gramStart"/>
      <w:r>
        <w:rPr>
          <w:rFonts w:ascii="Times New Roman" w:eastAsia="Times New Roman" w:hAnsi="Times New Roman" w:cs="Times New Roman"/>
          <w:sz w:val="24"/>
          <w:szCs w:val="24"/>
        </w:rPr>
        <w:t>intelligence</w:t>
      </w:r>
      <w:proofErr w:type="gramEnd"/>
      <w:r>
        <w:rPr>
          <w:rFonts w:ascii="Times New Roman" w:eastAsia="Times New Roman" w:hAnsi="Times New Roman" w:cs="Times New Roman"/>
          <w:sz w:val="24"/>
          <w:szCs w:val="24"/>
        </w:rPr>
        <w:t xml:space="preserve"> whistle-blower. </w:t>
      </w:r>
    </w:p>
    <w:p w14:paraId="5B389F03" w14:textId="77777777" w:rsidR="000A5A4E" w:rsidRDefault="00000000" w:rsidP="000A5A4E">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Do the U.S. Government actions of monitoring American cell phones, e-mails, and text messages have a genuine public interest? If so, based on what law and how should all three branches of government communicate on this issue? </w:t>
      </w:r>
    </w:p>
    <w:p w14:paraId="00000007" w14:textId="5189368D" w:rsidR="0012308B" w:rsidRPr="000A5A4E" w:rsidRDefault="00000000" w:rsidP="000A5A4E">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mass amount of data collection on the monitoring of American technology done by the U.S. Government is very concerning and while it does amount to some protections against foreign threats. At what cost does this come at for the privacy of the common person, most people will chalk it up as “I'm nobody, they can have my data”. But this mindset is a very troubling one to see in most people, they don’t understand the slippery slope they are allowing to form. These surveillance “authorities” claim legal legitimacy from frameworks such as the Foreign Intelligence Surveillance Act that are intended to ensure constitutional compliance (Rosenbach &amp; Peritz, 2010). But public trust relies on the effective communications between the three branches of government, where Congress is clearly defining these authorities, the Executive branch then implements these authorities with consistent legislative </w:t>
      </w:r>
      <w:proofErr w:type="gramStart"/>
      <w:r w:rsidR="000A5A4E">
        <w:rPr>
          <w:rFonts w:ascii="Times New Roman" w:eastAsia="Times New Roman" w:hAnsi="Times New Roman" w:cs="Times New Roman"/>
          <w:sz w:val="24"/>
          <w:szCs w:val="24"/>
        </w:rPr>
        <w:t>intent</w:t>
      </w:r>
      <w:proofErr w:type="gramEnd"/>
      <w:r w:rsidR="000A5A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the Judiciary provides meaningful constitutional review. However, true trust will be earned when these authorities that are put into power become completely transparent about what data they are collecting, how they are using it and to what extent. There is no trust when 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no coordinated communication and oversight on these authorities, </w:t>
      </w:r>
      <w:r w:rsidR="000A5A4E">
        <w:rPr>
          <w:rFonts w:ascii="Times New Roman" w:eastAsia="Times New Roman" w:hAnsi="Times New Roman" w:cs="Times New Roman"/>
          <w:sz w:val="24"/>
          <w:szCs w:val="24"/>
        </w:rPr>
        <w:t xml:space="preserve">these authorities risk </w:t>
      </w:r>
      <w:r>
        <w:rPr>
          <w:rFonts w:ascii="Times New Roman" w:eastAsia="Times New Roman" w:hAnsi="Times New Roman" w:cs="Times New Roman"/>
          <w:sz w:val="24"/>
          <w:szCs w:val="24"/>
        </w:rPr>
        <w:t>undermining public confidence even when they remain legally authorized.</w:t>
      </w:r>
    </w:p>
    <w:p w14:paraId="00000009" w14:textId="437D1389" w:rsidR="0012308B" w:rsidRPr="000A5A4E" w:rsidRDefault="00000000" w:rsidP="008A383C">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45C70CFB" w14:textId="1A64FC12" w:rsidR="008A383C" w:rsidRDefault="008A383C" w:rsidP="008A383C">
      <w:pPr>
        <w:shd w:val="clear" w:color="auto" w:fill="FFFFFF"/>
        <w:spacing w:line="480" w:lineRule="auto"/>
        <w:ind w:left="720" w:hanging="720"/>
        <w:rPr>
          <w:rFonts w:ascii="Times New Roman" w:eastAsia="Times New Roman" w:hAnsi="Times New Roman" w:cs="Times New Roman"/>
          <w:sz w:val="24"/>
          <w:szCs w:val="24"/>
        </w:rPr>
      </w:pPr>
      <w:r w:rsidRPr="008A383C">
        <w:rPr>
          <w:rFonts w:ascii="Times New Roman" w:eastAsia="Times New Roman" w:hAnsi="Times New Roman" w:cs="Times New Roman"/>
          <w:sz w:val="24"/>
          <w:szCs w:val="24"/>
        </w:rPr>
        <w:t>Rosenbach, E. and Peritz, A. (2010). Trials by Fire – Counterterrorism</w:t>
      </w:r>
      <w:r>
        <w:rPr>
          <w:rFonts w:ascii="Times New Roman" w:eastAsia="Times New Roman" w:hAnsi="Times New Roman" w:cs="Times New Roman"/>
          <w:sz w:val="24"/>
          <w:szCs w:val="24"/>
        </w:rPr>
        <w:t xml:space="preserve"> </w:t>
      </w:r>
      <w:r w:rsidRPr="008A383C">
        <w:rPr>
          <w:rFonts w:ascii="Times New Roman" w:eastAsia="Times New Roman" w:hAnsi="Times New Roman" w:cs="Times New Roman"/>
          <w:sz w:val="24"/>
          <w:szCs w:val="24"/>
        </w:rPr>
        <w:t>and the Law. Cambridge,</w:t>
      </w:r>
      <w:r>
        <w:rPr>
          <w:rFonts w:ascii="Times New Roman" w:eastAsia="Times New Roman" w:hAnsi="Times New Roman" w:cs="Times New Roman"/>
          <w:sz w:val="24"/>
          <w:szCs w:val="24"/>
        </w:rPr>
        <w:t xml:space="preserve"> </w:t>
      </w:r>
      <w:r w:rsidRPr="008A383C">
        <w:rPr>
          <w:rFonts w:ascii="Times New Roman" w:eastAsia="Times New Roman" w:hAnsi="Times New Roman" w:cs="Times New Roman"/>
          <w:sz w:val="24"/>
          <w:szCs w:val="24"/>
        </w:rPr>
        <w:t>MA: Report for Belfer Center for Science</w:t>
      </w:r>
      <w:r>
        <w:rPr>
          <w:rFonts w:ascii="Times New Roman" w:eastAsia="Times New Roman" w:hAnsi="Times New Roman" w:cs="Times New Roman"/>
          <w:sz w:val="24"/>
          <w:szCs w:val="24"/>
        </w:rPr>
        <w:t xml:space="preserve"> </w:t>
      </w:r>
      <w:r w:rsidRPr="008A383C">
        <w:rPr>
          <w:rFonts w:ascii="Times New Roman" w:eastAsia="Times New Roman" w:hAnsi="Times New Roman" w:cs="Times New Roman"/>
          <w:sz w:val="24"/>
          <w:szCs w:val="24"/>
        </w:rPr>
        <w:t>and International Affairs, Harvard Kennedy School.</w:t>
      </w:r>
    </w:p>
    <w:p w14:paraId="0000000C" w14:textId="42580510" w:rsidR="0012308B" w:rsidRPr="008A383C" w:rsidRDefault="008A383C" w:rsidP="008A383C">
      <w:pPr>
        <w:shd w:val="clear" w:color="auto" w:fill="FFFFFF"/>
        <w:spacing w:line="480" w:lineRule="auto"/>
        <w:ind w:left="720" w:hanging="720"/>
        <w:rPr>
          <w:rFonts w:ascii="Times New Roman" w:eastAsia="Calibri" w:hAnsi="Times New Roman" w:cs="Times New Roman"/>
          <w:sz w:val="24"/>
          <w:szCs w:val="24"/>
        </w:rPr>
      </w:pPr>
      <w:r w:rsidRPr="008A383C">
        <w:rPr>
          <w:rFonts w:ascii="Times New Roman" w:eastAsia="Calibri" w:hAnsi="Times New Roman" w:cs="Times New Roman"/>
          <w:sz w:val="24"/>
          <w:szCs w:val="24"/>
        </w:rPr>
        <w:lastRenderedPageBreak/>
        <w:t>Rosenbach, E. and Peritz, A. (</w:t>
      </w:r>
      <w:proofErr w:type="gramStart"/>
      <w:r w:rsidRPr="008A383C">
        <w:rPr>
          <w:rFonts w:ascii="Times New Roman" w:eastAsia="Calibri" w:hAnsi="Times New Roman" w:cs="Times New Roman"/>
          <w:sz w:val="24"/>
          <w:szCs w:val="24"/>
        </w:rPr>
        <w:t>July,</w:t>
      </w:r>
      <w:proofErr w:type="gramEnd"/>
      <w:r w:rsidRPr="008A383C">
        <w:rPr>
          <w:rFonts w:ascii="Times New Roman" w:eastAsia="Calibri" w:hAnsi="Times New Roman" w:cs="Times New Roman"/>
          <w:sz w:val="24"/>
          <w:szCs w:val="24"/>
        </w:rPr>
        <w:t xml:space="preserve"> 2009). Confrontation or</w:t>
      </w:r>
      <w:r>
        <w:rPr>
          <w:rFonts w:ascii="Times New Roman" w:eastAsia="Calibri" w:hAnsi="Times New Roman" w:cs="Times New Roman"/>
          <w:sz w:val="24"/>
          <w:szCs w:val="24"/>
        </w:rPr>
        <w:t xml:space="preserve"> </w:t>
      </w:r>
      <w:r w:rsidRPr="008A383C">
        <w:rPr>
          <w:rFonts w:ascii="Times New Roman" w:eastAsia="Calibri" w:hAnsi="Times New Roman" w:cs="Times New Roman"/>
          <w:sz w:val="24"/>
          <w:szCs w:val="24"/>
        </w:rPr>
        <w:t>Collaboration? Congress and the</w:t>
      </w:r>
      <w:r>
        <w:rPr>
          <w:rFonts w:ascii="Times New Roman" w:eastAsia="Calibri" w:hAnsi="Times New Roman" w:cs="Times New Roman"/>
          <w:sz w:val="24"/>
          <w:szCs w:val="24"/>
        </w:rPr>
        <w:t xml:space="preserve"> </w:t>
      </w:r>
      <w:r w:rsidRPr="008A383C">
        <w:rPr>
          <w:rFonts w:ascii="Times New Roman" w:eastAsia="Calibri" w:hAnsi="Times New Roman" w:cs="Times New Roman"/>
          <w:sz w:val="24"/>
          <w:szCs w:val="24"/>
        </w:rPr>
        <w:t>Intelligence Community. Cambridge,</w:t>
      </w:r>
      <w:r>
        <w:rPr>
          <w:rFonts w:ascii="Times New Roman" w:eastAsia="Calibri" w:hAnsi="Times New Roman" w:cs="Times New Roman"/>
          <w:sz w:val="24"/>
          <w:szCs w:val="24"/>
        </w:rPr>
        <w:t xml:space="preserve"> </w:t>
      </w:r>
      <w:r w:rsidRPr="008A383C">
        <w:rPr>
          <w:rFonts w:ascii="Times New Roman" w:eastAsia="Calibri" w:hAnsi="Times New Roman" w:cs="Times New Roman"/>
          <w:sz w:val="24"/>
          <w:szCs w:val="24"/>
        </w:rPr>
        <w:t>MA: Report for Belfer Center for Science and International Affairs,</w:t>
      </w:r>
      <w:r>
        <w:rPr>
          <w:rFonts w:ascii="Times New Roman" w:eastAsia="Calibri" w:hAnsi="Times New Roman" w:cs="Times New Roman"/>
          <w:sz w:val="24"/>
          <w:szCs w:val="24"/>
        </w:rPr>
        <w:t xml:space="preserve"> </w:t>
      </w:r>
      <w:r w:rsidRPr="008A383C">
        <w:rPr>
          <w:rFonts w:ascii="Times New Roman" w:eastAsia="Calibri" w:hAnsi="Times New Roman" w:cs="Times New Roman"/>
          <w:sz w:val="24"/>
          <w:szCs w:val="24"/>
        </w:rPr>
        <w:t>Harvard Kennedy School.</w:t>
      </w:r>
    </w:p>
    <w:p w14:paraId="0000000D" w14:textId="77777777" w:rsidR="0012308B" w:rsidRDefault="00000000">
      <w:pPr>
        <w:shd w:val="clear" w:color="auto" w:fill="FFFFFF"/>
        <w:spacing w:before="240" w:after="240"/>
        <w:rPr>
          <w:rFonts w:ascii="Calibri" w:eastAsia="Calibri" w:hAnsi="Calibri" w:cs="Calibri"/>
        </w:rPr>
      </w:pPr>
      <w:r>
        <w:rPr>
          <w:rFonts w:ascii="Calibri" w:eastAsia="Calibri" w:hAnsi="Calibri" w:cs="Calibri"/>
        </w:rPr>
        <w:t>‌</w:t>
      </w:r>
    </w:p>
    <w:p w14:paraId="0000000E" w14:textId="77777777" w:rsidR="0012308B" w:rsidRDefault="0012308B"/>
    <w:sectPr w:rsidR="001230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342C35-EE6A-4FC3-A74B-C2967997C262}"/>
  </w:font>
  <w:font w:name="Cambria">
    <w:panose1 w:val="02040503050406030204"/>
    <w:charset w:val="00"/>
    <w:family w:val="roman"/>
    <w:pitch w:val="variable"/>
    <w:sig w:usb0="E00006FF" w:usb1="420024FF" w:usb2="02000000" w:usb3="00000000" w:csb0="0000019F" w:csb1="00000000"/>
    <w:embedRegular r:id="rId2" w:fontKey="{0F27C1FB-8D96-42BC-B4C9-F6A0F142D1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8B"/>
    <w:rsid w:val="000A5A4E"/>
    <w:rsid w:val="0012308B"/>
    <w:rsid w:val="006D6230"/>
    <w:rsid w:val="008A383C"/>
    <w:rsid w:val="00CF4C85"/>
    <w:rsid w:val="00D23239"/>
    <w:rsid w:val="00F7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2F6F9"/>
  <w15:docId w15:val="{9AA0E0DF-874D-4BE7-9A50-0DA92385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5</cp:revision>
  <dcterms:created xsi:type="dcterms:W3CDTF">2026-01-15T16:46:00Z</dcterms:created>
  <dcterms:modified xsi:type="dcterms:W3CDTF">2026-01-15T17:36:00Z</dcterms:modified>
</cp:coreProperties>
</file>