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119E" w14:textId="77777777" w:rsidR="00283322" w:rsidRDefault="00000000" w:rsidP="00283322">
      <w:pPr>
        <w:spacing w:line="480" w:lineRule="auto"/>
        <w:rPr>
          <w:rFonts w:ascii="Times New Roman" w:eastAsia="Times New Roman" w:hAnsi="Times New Roman" w:cs="Times New Roman"/>
          <w:b/>
          <w:bCs/>
          <w:sz w:val="24"/>
          <w:szCs w:val="24"/>
        </w:rPr>
      </w:pPr>
      <w:r w:rsidRPr="00BD5D34">
        <w:rPr>
          <w:rFonts w:ascii="Times New Roman" w:eastAsia="Times New Roman" w:hAnsi="Times New Roman" w:cs="Times New Roman"/>
          <w:b/>
          <w:bCs/>
          <w:sz w:val="24"/>
          <w:szCs w:val="24"/>
        </w:rPr>
        <w:t>Scenario 1</w:t>
      </w:r>
    </w:p>
    <w:p w14:paraId="00000002" w14:textId="7FCB95C8" w:rsidR="00835066" w:rsidRPr="00283322" w:rsidRDefault="00000000" w:rsidP="00283322">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 fundamental principle of document databases that addresses the challenge this startup is facing would be schema flexibility paired with entity-centric design. Unlike in relational databases, document databases allow related data to be stored together while also supporting variation between documents. This design will eliminate the need for frequent schema migrations when new product categories or customer features are introduced, allowing development teams to iterate more quickly and with less overhead (Sullivan, 2015). For this scenario particularly, collections should be designed around the major entities such as products, customers, orders and inventory. The single products collection could store books, electronics and clothing together using a shared base structure while embedding type-specific attributes such as ISBNs, technical specifications, size and color options. </w:t>
      </w:r>
      <w:r w:rsidR="00BD5D34">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the customer documents could follow a similar patter</w:t>
      </w:r>
      <w:r w:rsidR="00BD5D34">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with B2B customers embedding corporate account data while individual consumers retain simpler profiles. Inventory data can be addressed either embedding this data within product documents or </w:t>
      </w:r>
      <w:r w:rsidR="00BD5D34">
        <w:rPr>
          <w:rFonts w:ascii="Times New Roman" w:eastAsia="Times New Roman" w:hAnsi="Times New Roman" w:cs="Times New Roman"/>
          <w:sz w:val="24"/>
          <w:szCs w:val="24"/>
        </w:rPr>
        <w:t>stored</w:t>
      </w:r>
      <w:r>
        <w:rPr>
          <w:rFonts w:ascii="Times New Roman" w:eastAsia="Times New Roman" w:hAnsi="Times New Roman" w:cs="Times New Roman"/>
          <w:sz w:val="24"/>
          <w:szCs w:val="24"/>
        </w:rPr>
        <w:t xml:space="preserve"> in a separate collection depending on the update frequency and scale. The primary trade-off for this approach would be reduced enforcement of strict consistency and increased reliance on application logic. However, document databases still provide clear advantages when product diversity is high, system requirements are evolving quickly and horizontal scalability and read performance are prioritized over relational constraints. </w:t>
      </w:r>
    </w:p>
    <w:p w14:paraId="00000003" w14:textId="77777777" w:rsidR="00835066" w:rsidRPr="00BD5D34" w:rsidRDefault="00000000" w:rsidP="00283322">
      <w:pPr>
        <w:spacing w:line="480" w:lineRule="auto"/>
        <w:rPr>
          <w:rFonts w:ascii="Times New Roman" w:eastAsia="Times New Roman" w:hAnsi="Times New Roman" w:cs="Times New Roman"/>
          <w:b/>
          <w:bCs/>
          <w:sz w:val="24"/>
          <w:szCs w:val="24"/>
        </w:rPr>
      </w:pPr>
      <w:r w:rsidRPr="00BD5D34">
        <w:rPr>
          <w:rFonts w:ascii="Times New Roman" w:eastAsia="Times New Roman" w:hAnsi="Times New Roman" w:cs="Times New Roman"/>
          <w:b/>
          <w:bCs/>
          <w:sz w:val="24"/>
          <w:szCs w:val="24"/>
        </w:rPr>
        <w:t>Scenario 2</w:t>
      </w:r>
    </w:p>
    <w:p w14:paraId="00000004" w14:textId="77777777" w:rsidR="00835066" w:rsidRDefault="00000000" w:rsidP="00283322">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document databases differ in that data integrity and consistency are largely enforced by application code rather than the database-level ACID transactions. Relational systems rely on foreign keys and cascading rules to preserve referential integrity, whereas document databases </w:t>
      </w:r>
      <w:r>
        <w:rPr>
          <w:rFonts w:ascii="Times New Roman" w:eastAsia="Times New Roman" w:hAnsi="Times New Roman" w:cs="Times New Roman"/>
          <w:sz w:val="24"/>
          <w:szCs w:val="24"/>
        </w:rPr>
        <w:lastRenderedPageBreak/>
        <w:t xml:space="preserve">typically only guarantee atomicity at the single document level (Sullivan, 2015). This puts the responsibility for maintaining consistency across relation entities, such as orders, customers and products to the application layer. </w:t>
      </w:r>
    </w:p>
    <w:p w14:paraId="00000005" w14:textId="77777777" w:rsidR="00835066" w:rsidRDefault="00000000" w:rsidP="0028332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several strategies to be able to handle scenarios where customer or product documents are deleted while active orders still reference them and one approach is the use of soft deletes. Soft deletes is an approach where records are marked as inactive rather than physically being removed, this would preserve the historical relationships. Another strategy could be embedding snapshot data such as customer names, product SKUs and purchase prices directly into order documents so that orders will remain valid even if referenced documents are changed or removed. Also, application-level validation can prevent deletions when active references exist or redirect references to archived placeholder records. This model is advantageous in high-scale systems where availability and performance are more critical than strict transaction consistency. However, this can be problematic in environments that do require this such as financial systems or compliance driven workflows. </w:t>
      </w:r>
    </w:p>
    <w:p w14:paraId="00000006" w14:textId="77777777" w:rsidR="00835066" w:rsidRPr="00BD5D34" w:rsidRDefault="00000000" w:rsidP="00283322">
      <w:pPr>
        <w:spacing w:line="480" w:lineRule="auto"/>
        <w:rPr>
          <w:rFonts w:ascii="Times New Roman" w:eastAsia="Times New Roman" w:hAnsi="Times New Roman" w:cs="Times New Roman"/>
          <w:b/>
          <w:bCs/>
          <w:sz w:val="24"/>
          <w:szCs w:val="24"/>
        </w:rPr>
      </w:pPr>
      <w:r w:rsidRPr="00BD5D34">
        <w:rPr>
          <w:rFonts w:ascii="Times New Roman" w:eastAsia="Times New Roman" w:hAnsi="Times New Roman" w:cs="Times New Roman"/>
          <w:b/>
          <w:bCs/>
          <w:sz w:val="24"/>
          <w:szCs w:val="24"/>
        </w:rPr>
        <w:t>References</w:t>
      </w:r>
    </w:p>
    <w:p w14:paraId="00000007" w14:textId="77777777" w:rsidR="00835066" w:rsidRDefault="00000000" w:rsidP="00283322">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Sullivan, D. (2015). </w:t>
      </w:r>
      <w:r>
        <w:rPr>
          <w:rFonts w:ascii="Times New Roman" w:eastAsia="Times New Roman" w:hAnsi="Times New Roman" w:cs="Times New Roman"/>
          <w:i/>
          <w:iCs/>
          <w:sz w:val="24"/>
          <w:szCs w:val="24"/>
        </w:rPr>
        <w:t>NoSQL for Mere Mortals</w:t>
      </w:r>
      <w:r>
        <w:rPr>
          <w:rFonts w:ascii="Times New Roman" w:eastAsia="Times New Roman" w:hAnsi="Times New Roman" w:cs="Times New Roman"/>
          <w:sz w:val="24"/>
          <w:szCs w:val="24"/>
        </w:rPr>
        <w:t>. Addison-Wesley Professional.</w:t>
      </w:r>
    </w:p>
    <w:sectPr w:rsidR="008350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079674-B2B4-4675-93BC-F0F8261B2EFB}"/>
  </w:font>
  <w:font w:name="Cambria">
    <w:panose1 w:val="02040503050406030204"/>
    <w:charset w:val="00"/>
    <w:family w:val="roman"/>
    <w:pitch w:val="variable"/>
    <w:sig w:usb0="E00006FF" w:usb1="420024FF" w:usb2="02000000" w:usb3="00000000" w:csb0="0000019F" w:csb1="00000000"/>
    <w:embedRegular r:id="rId2" w:fontKey="{18B46447-08F8-48BF-BC0E-7238953986E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066"/>
    <w:rsid w:val="00281849"/>
    <w:rsid w:val="00283322"/>
    <w:rsid w:val="00835066"/>
    <w:rsid w:val="00BD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64B36"/>
  <w15:docId w15:val="{BC27D120-EB7B-4588-877E-505AA583A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474</Words>
  <Characters>2706</Characters>
  <Application>Microsoft Office Word</Application>
  <DocSecurity>0</DocSecurity>
  <Lines>22</Lines>
  <Paragraphs>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4</cp:revision>
  <dcterms:created xsi:type="dcterms:W3CDTF">2026-01-27T18:38:00Z</dcterms:created>
  <dcterms:modified xsi:type="dcterms:W3CDTF">2026-01-27T18:40:00Z</dcterms:modified>
</cp:coreProperties>
</file>