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1DB" w:rsidRDefault="00533BE3">
      <w:pPr>
        <w:pStyle w:val="Title"/>
      </w:pPr>
      <w:r>
        <w:t>Assignment 9</w:t>
      </w:r>
    </w:p>
    <w:p w:rsidR="00E661DB" w:rsidRDefault="00533BE3">
      <w:pPr>
        <w:pStyle w:val="Author"/>
      </w:pPr>
      <w:r>
        <w:t>Jake Whalen</w:t>
      </w:r>
    </w:p>
    <w:p w:rsidR="003E0BE3" w:rsidRDefault="00533BE3">
      <w:pPr>
        <w:pStyle w:val="Date"/>
      </w:pPr>
      <w:r>
        <w:t>April 18, 2018</w:t>
      </w:r>
    </w:p>
    <w:p w:rsidR="003E0BE3" w:rsidRDefault="003E0BE3" w:rsidP="003E0BE3">
      <w:pPr>
        <w:pStyle w:val="BodyText"/>
      </w:pPr>
      <w:r>
        <w:br w:type="page"/>
      </w:r>
    </w:p>
    <w:p w:rsidR="00E661DB" w:rsidRDefault="00E661DB">
      <w:pPr>
        <w:pStyle w:val="Date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31679503"/>
        <w:docPartObj>
          <w:docPartGallery w:val="Table of Contents"/>
          <w:docPartUnique/>
        </w:docPartObj>
      </w:sdtPr>
      <w:sdtEndPr/>
      <w:sdtContent>
        <w:p w:rsidR="00E661DB" w:rsidRDefault="00533BE3">
          <w:pPr>
            <w:pStyle w:val="TOCHeading"/>
          </w:pPr>
          <w:r>
            <w:t>Table of Contents</w:t>
          </w:r>
        </w:p>
        <w:p w:rsidR="00A0489E" w:rsidRDefault="00533BE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A0489E">
            <w:fldChar w:fldCharType="separate"/>
          </w:r>
          <w:hyperlink w:anchor="_Toc512162205" w:history="1">
            <w:r w:rsidR="00A0489E" w:rsidRPr="00E02068">
              <w:rPr>
                <w:rStyle w:val="Hyperlink"/>
                <w:noProof/>
              </w:rPr>
              <w:t>Problem 1</w:t>
            </w:r>
            <w:r w:rsidR="00A0489E">
              <w:rPr>
                <w:noProof/>
                <w:webHidden/>
              </w:rPr>
              <w:tab/>
            </w:r>
            <w:r w:rsidR="00A0489E">
              <w:rPr>
                <w:noProof/>
                <w:webHidden/>
              </w:rPr>
              <w:fldChar w:fldCharType="begin"/>
            </w:r>
            <w:r w:rsidR="00A0489E">
              <w:rPr>
                <w:noProof/>
                <w:webHidden/>
              </w:rPr>
              <w:instrText xml:space="preserve"> PAGEREF _Toc512162205 \h </w:instrText>
            </w:r>
            <w:r w:rsidR="00A0489E">
              <w:rPr>
                <w:noProof/>
                <w:webHidden/>
              </w:rPr>
            </w:r>
            <w:r w:rsidR="00A0489E">
              <w:rPr>
                <w:noProof/>
                <w:webHidden/>
              </w:rPr>
              <w:fldChar w:fldCharType="separate"/>
            </w:r>
            <w:r w:rsidR="00A0489E">
              <w:rPr>
                <w:noProof/>
                <w:webHidden/>
              </w:rPr>
              <w:t>1</w:t>
            </w:r>
            <w:r w:rsidR="00A0489E">
              <w:rPr>
                <w:noProof/>
                <w:webHidden/>
              </w:rPr>
              <w:fldChar w:fldCharType="end"/>
            </w:r>
          </w:hyperlink>
        </w:p>
        <w:p w:rsidR="00A0489E" w:rsidRDefault="00A048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162206" w:history="1">
            <w:r w:rsidRPr="00E02068">
              <w:rPr>
                <w:rStyle w:val="Hyperlink"/>
                <w:noProof/>
              </w:rPr>
              <w:t>Problem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_Toc512162206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89E" w:rsidRDefault="00A048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162207" w:history="1">
            <w:r w:rsidRPr="00E02068">
              <w:rPr>
                <w:rStyle w:val="Hyperlink"/>
                <w:noProof/>
              </w:rPr>
              <w:t>Problem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_Toc512162207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1DB" w:rsidRDefault="00533BE3">
          <w:r>
            <w:fldChar w:fldCharType="end"/>
          </w:r>
        </w:p>
      </w:sdtContent>
    </w:sdt>
    <w:p w:rsidR="00E661DB" w:rsidRDefault="00533BE3">
      <w:pPr>
        <w:pStyle w:val="SourceCode"/>
      </w:pPr>
      <w:r>
        <w:rPr>
          <w:rStyle w:val="CommentTok"/>
        </w:rPr>
        <w:t>#Packages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(magrittr)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(coda)</w:t>
      </w:r>
    </w:p>
    <w:p w:rsidR="003E0BE3" w:rsidRDefault="003E0BE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0" w:name="problem-1"/>
      <w:bookmarkStart w:id="1" w:name="_Toc512162205"/>
      <w:bookmarkEnd w:id="0"/>
      <w:r>
        <w:br w:type="page"/>
      </w:r>
    </w:p>
    <w:p w:rsidR="00E661DB" w:rsidRDefault="00533BE3">
      <w:pPr>
        <w:pStyle w:val="Heading1"/>
      </w:pPr>
      <w:r>
        <w:lastRenderedPageBreak/>
        <w:t>Problem 1</w:t>
      </w:r>
      <w:bookmarkEnd w:id="1"/>
    </w:p>
    <w:p w:rsidR="00E661DB" w:rsidRDefault="00533BE3">
      <w:pPr>
        <w:pStyle w:val="FirstParagraph"/>
      </w:pPr>
      <w:r>
        <w:t xml:space="preserve">This assignment uses the reaction time data from Assignment 8, taken from the Gelman et al. </w:t>
      </w:r>
      <w:r>
        <w:t xml:space="preserve">reference and found at this url: </w:t>
      </w:r>
      <w:hyperlink r:id="rId7">
        <w:r>
          <w:rPr>
            <w:rStyle w:val="Hyperlink"/>
          </w:rPr>
          <w:t>http://www.stat.columbia.edu/~gelman/book/data/schiz.asc</w:t>
        </w:r>
      </w:hyperlink>
      <w:r>
        <w:t>.</w:t>
      </w:r>
    </w:p>
    <w:p w:rsidR="00E661DB" w:rsidRDefault="00533BE3">
      <w:pPr>
        <w:pStyle w:val="BodyText"/>
      </w:pPr>
      <w:r>
        <w:t>As with Assignment 8, we will consider only the non-schizophrenic subjects (rows 1 to 11)</w:t>
      </w:r>
      <w:r>
        <w:t>.</w:t>
      </w:r>
    </w:p>
    <w:p w:rsidR="00E661DB" w:rsidRDefault="00533BE3">
      <w:pPr>
        <w:pStyle w:val="SourceCode"/>
      </w:pPr>
      <w:r>
        <w:rPr>
          <w:rStyle w:val="CommentTok"/>
        </w:rPr>
        <w:t>#Data URL</w:t>
      </w:r>
      <w:r>
        <w:br/>
      </w:r>
      <w:r>
        <w:rPr>
          <w:rStyle w:val="NormalTok"/>
        </w:rPr>
        <w:t>www &lt;-</w:t>
      </w:r>
      <w:r>
        <w:rPr>
          <w:rStyle w:val="StringTok"/>
        </w:rPr>
        <w:t xml:space="preserve"> "http://www.stat.columbia.edu/~gelman/book/data/schiz.asc"</w:t>
      </w:r>
      <w:r>
        <w:br/>
      </w:r>
      <w:r>
        <w:rPr>
          <w:rStyle w:val="CommentTok"/>
        </w:rPr>
        <w:t>#Read and Wrangle</w:t>
      </w:r>
      <w:r>
        <w:br/>
      </w:r>
      <w:r>
        <w:rPr>
          <w:rStyle w:val="NormalTok"/>
        </w:rPr>
        <w:t>nschiz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 xml:space="preserve">(www,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condition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"non-schizophrenics"</w:t>
      </w:r>
      <w:r>
        <w:rPr>
          <w:rStyle w:val="NormalTok"/>
        </w:rPr>
        <w:t xml:space="preserve">, </w:t>
      </w:r>
      <w:r>
        <w:rPr>
          <w:rStyle w:val="StringTok"/>
        </w:rPr>
        <w:t>"schizophrenics"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 xml:space="preserve">(condition </w:t>
      </w:r>
      <w:r>
        <w:rPr>
          <w:rStyle w:val="OperatorTok"/>
        </w:rPr>
        <w:t>==</w:t>
      </w:r>
      <w:r>
        <w:rPr>
          <w:rStyle w:val="StringTok"/>
        </w:rPr>
        <w:t xml:space="preserve"> '</w:t>
      </w:r>
      <w:r>
        <w:rPr>
          <w:rStyle w:val="StringTok"/>
        </w:rPr>
        <w:t>non-schizophrenics'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condition)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subject =</w:t>
      </w:r>
      <w:r>
        <w:rPr>
          <w:rStyle w:val="NormalTok"/>
        </w:rPr>
        <w:t xml:space="preserve"> 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"p%s"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11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gather</w:t>
      </w:r>
      <w:r>
        <w:rPr>
          <w:rStyle w:val="NormalTok"/>
        </w:rPr>
        <w:t xml:space="preserve">(reaction, ms, </w:t>
      </w:r>
      <w:r>
        <w:rPr>
          <w:rStyle w:val="OperatorTok"/>
        </w:rPr>
        <w:t>-</w:t>
      </w:r>
      <w:r>
        <w:rPr>
          <w:rStyle w:val="NormalTok"/>
        </w:rPr>
        <w:t xml:space="preserve">subject)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lms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(ms))</w:t>
      </w:r>
    </w:p>
    <w:p w:rsidR="00E661DB" w:rsidRDefault="00533BE3">
      <w:pPr>
        <w:pStyle w:val="Compact"/>
        <w:numPr>
          <w:ilvl w:val="0"/>
          <w:numId w:val="3"/>
        </w:numPr>
      </w:pPr>
      <w:r>
        <w:t>As with Assignment 8, assume the logarithms of the response times are independent and ident</w:t>
      </w:r>
      <w:r>
        <w:t xml:space="preserve">ically distributed normal random variables with person-specific mean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=1,…11)</m:t>
        </m:r>
      </m:oMath>
      <w:r>
        <w:t>.</w:t>
      </w:r>
    </w:p>
    <w:p w:rsidR="00E661DB" w:rsidRDefault="00533BE3">
      <w:pPr>
        <w:pStyle w:val="Compact"/>
        <w:numPr>
          <w:ilvl w:val="0"/>
          <w:numId w:val="3"/>
        </w:numPr>
      </w:pPr>
      <w:r>
        <w:t xml:space="preserve">Following Gelman, et al., assume all the observations have the same standard deviation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E661DB" w:rsidRDefault="00533BE3">
      <w:pPr>
        <w:pStyle w:val="Compact"/>
        <w:numPr>
          <w:ilvl w:val="0"/>
          <w:numId w:val="3"/>
        </w:numPr>
      </w:pPr>
      <w:r>
        <w:t xml:space="preserve">The 11 means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=1,…11)</m:t>
        </m:r>
      </m:oMath>
      <w:r>
        <w:t xml:space="preserve"> are independent and identically distributed normal </w:t>
      </w:r>
      <w:r>
        <w:t xml:space="preserve">random variables with mean </w:t>
      </w:r>
      <m:oMath>
        <m:r>
          <w:rPr>
            <w:rFonts w:ascii="Cambria Math" w:hAnsi="Cambria Math"/>
          </w:rPr>
          <m:t>μ</m:t>
        </m:r>
      </m:oMath>
      <w:r>
        <w:t xml:space="preserve"> and standard deviation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E661DB" w:rsidRDefault="00533BE3">
      <w:pPr>
        <w:pStyle w:val="Compact"/>
        <w:numPr>
          <w:ilvl w:val="0"/>
          <w:numId w:val="3"/>
        </w:numPr>
      </w:pPr>
      <w:r>
        <w:t>The unknown mean has a normal distribution with mean 5.52 and standard deviation 0.22. This reflects a prior 95% credible interval of [162, 385] ms for the population average reaction time, which is</w:t>
      </w:r>
      <w:r>
        <w:t xml:space="preserve"> consistent with the literature on reaction times.</w:t>
      </w:r>
    </w:p>
    <w:p w:rsidR="00E661DB" w:rsidRDefault="00533BE3">
      <w:pPr>
        <w:pStyle w:val="Compact"/>
        <w:numPr>
          <w:ilvl w:val="0"/>
          <w:numId w:val="3"/>
        </w:numPr>
      </w:pPr>
      <w:r>
        <w:t xml:space="preserve">The inverse variance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has a gamma distribution with shape 0.5 and scale 50. This reflects weak prior information focused on a value of 25 for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, or 0.2 for </w:t>
      </w:r>
      <m:oMath>
        <m:r>
          <w:rPr>
            <w:rFonts w:ascii="Cambria Math" w:hAnsi="Cambria Math"/>
          </w:rPr>
          <m:t>τ</m:t>
        </m:r>
      </m:oMath>
      <w:r>
        <w:t>.</w:t>
      </w:r>
    </w:p>
    <w:p w:rsidR="00E661DB" w:rsidRDefault="00533BE3">
      <w:pPr>
        <w:pStyle w:val="Compact"/>
        <w:numPr>
          <w:ilvl w:val="0"/>
          <w:numId w:val="3"/>
        </w:numPr>
      </w:pPr>
      <w:r>
        <w:t xml:space="preserve">The inverse variance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has a gamma </w:t>
      </w:r>
      <w:r>
        <w:t xml:space="preserve">distribution with shape 0.5 and scale 50. This reflects weak prior information focused on a value of 25 for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, or 0.2 for </w:t>
      </w:r>
      <m:oMath>
        <m:r>
          <w:rPr>
            <w:rFonts w:ascii="Cambria Math" w:hAnsi="Cambria Math"/>
          </w:rPr>
          <m:t>σ</m:t>
        </m:r>
      </m:oMath>
      <w:r>
        <w:t>.</w:t>
      </w:r>
    </w:p>
    <w:p w:rsidR="00E661DB" w:rsidRDefault="00533BE3">
      <w:pPr>
        <w:pStyle w:val="FirstParagraph"/>
      </w:pPr>
      <w:r>
        <w:t>Note that this model is similar to the math test scores example in Unit 7. Using the formulas in the Unit 7 notes as a model, f</w:t>
      </w:r>
      <w:r>
        <w:t>ind the posterior distribution for each of the unknown parameters given the other parameters.</w:t>
      </w:r>
    </w:p>
    <w:p w:rsidR="00E661DB" w:rsidRDefault="00533BE3">
      <w:pPr>
        <w:pStyle w:val="Compact"/>
        <w:numPr>
          <w:ilvl w:val="0"/>
          <w:numId w:val="4"/>
        </w:numPr>
      </w:pPr>
      <w:r>
        <w:t>Given (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τ</m:t>
        </m:r>
      </m:oMath>
      <w:r>
        <w:t xml:space="preserve">), </w:t>
      </w:r>
      <m:oMath>
        <m:r>
          <w:rPr>
            <w:rFonts w:ascii="Cambria Math" w:hAnsi="Cambria Math"/>
          </w:rPr>
          <m:t>μ</m:t>
        </m:r>
      </m:oMath>
      <w:r>
        <w:t xml:space="preserve"> is normally distributed with:</w:t>
      </w:r>
    </w:p>
    <w:p w:rsidR="00E661DB" w:rsidRDefault="00533BE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ba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ba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5.52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E661DB" w:rsidRDefault="00533BE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SD</m:t>
          </m:r>
          <m:r>
            <w:rPr>
              <w:rFonts w:ascii="Cambria Math" w:hAnsi="Cambria Math"/>
            </w:rPr>
            <m:t>:(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1/2</m:t>
              </m:r>
            </m:sup>
          </m:sSup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0.22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1/2</m:t>
              </m:r>
            </m:sup>
          </m:sSup>
        </m:oMath>
      </m:oMathPara>
    </w:p>
    <w:p w:rsidR="00E661DB" w:rsidRDefault="00533BE3">
      <w:pPr>
        <w:pStyle w:val="Compact"/>
        <w:numPr>
          <w:ilvl w:val="0"/>
          <w:numId w:val="5"/>
        </w:numPr>
      </w:pPr>
      <w:r>
        <w:t>Given (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μ</m:t>
        </m:r>
      </m:oMath>
      <w:r>
        <w:t xml:space="preserve">), </w:t>
      </w:r>
      <m:oMath>
        <m:r>
          <w:rPr>
            <w:rFonts w:ascii="Cambria Math" w:hAnsi="Cambria Math"/>
          </w:rPr>
          <m:t>1/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distributed with a gamma distribution with:</w:t>
      </w:r>
    </w:p>
    <w:p w:rsidR="00E661DB" w:rsidRDefault="00533BE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ape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=6</m:t>
          </m:r>
        </m:oMath>
      </m:oMathPara>
    </w:p>
    <w:p w:rsidR="00E661DB" w:rsidRDefault="00533BE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scale</m:t>
          </m:r>
          <m:r>
            <w:rPr>
              <w:rFonts w:ascii="Cambria Math" w:hAnsi="Cambria Math"/>
            </w:rPr>
            <m:t>:(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E661DB" w:rsidRDefault="00533BE3">
      <w:pPr>
        <w:pStyle w:val="Compact"/>
        <w:numPr>
          <w:ilvl w:val="0"/>
          <w:numId w:val="6"/>
        </w:numPr>
      </w:pPr>
      <w:r>
        <w:t>Given (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θ</m:t>
        </m:r>
      </m:oMath>
      <w:r>
        <w:t xml:space="preserve">), </w:t>
      </w:r>
      <m:oMath>
        <m:r>
          <w:rPr>
            <w:rFonts w:ascii="Cambria Math" w:hAnsi="Cambria Math"/>
          </w:rPr>
          <m:t>1/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distributed with a gamma distribution with:</w:t>
      </w:r>
    </w:p>
    <w:p w:rsidR="00E661DB" w:rsidRDefault="00533BE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ape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so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330</m:t>
          </m:r>
          <m:r>
            <w:rPr>
              <w:rFonts w:ascii="Cambria Math" w:hAnsi="Cambria Math"/>
            </w:rPr>
            <m:t>=165.5</m:t>
          </m:r>
        </m:oMath>
      </m:oMathPara>
    </w:p>
    <w:p w:rsidR="00E661DB" w:rsidRDefault="00533BE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scale</m:t>
          </m:r>
          <m:r>
            <w:rPr>
              <w:rFonts w:ascii="Cambria Math" w:hAnsi="Cambria Math"/>
            </w:rPr>
            <m:t>:(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E661DB" w:rsidRDefault="00533BE3">
      <w:pPr>
        <w:pStyle w:val="Compact"/>
        <w:numPr>
          <w:ilvl w:val="0"/>
          <w:numId w:val="7"/>
        </w:numPr>
      </w:pPr>
      <w:r>
        <w:t>Given (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) 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normally distributed with:</w:t>
      </w:r>
    </w:p>
    <w:p w:rsidR="00E661DB" w:rsidRDefault="00533BE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</m:t>
                          </m:r>
                        </m:sub>
                      </m:sSub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E661DB" w:rsidRDefault="00533BE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SD</m:t>
          </m:r>
          <m:r>
            <w:rPr>
              <w:rFonts w:ascii="Cambria Math" w:hAnsi="Cambria Math"/>
            </w:rPr>
            <m:t>:(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1/2</m:t>
              </m:r>
            </m:sup>
          </m:sSup>
        </m:oMath>
      </m:oMathPara>
    </w:p>
    <w:p w:rsidR="003E0BE3" w:rsidRDefault="003E0BE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" w:name="problem-2"/>
      <w:bookmarkStart w:id="3" w:name="_Toc512162206"/>
      <w:bookmarkEnd w:id="2"/>
      <w:r>
        <w:br w:type="page"/>
      </w:r>
    </w:p>
    <w:p w:rsidR="00E661DB" w:rsidRDefault="00533BE3">
      <w:pPr>
        <w:pStyle w:val="Heading1"/>
      </w:pPr>
      <w:r>
        <w:lastRenderedPageBreak/>
        <w:t>Problem 2</w:t>
      </w:r>
      <w:bookmarkEnd w:id="3"/>
    </w:p>
    <w:p w:rsidR="00E661DB" w:rsidRDefault="00533BE3">
      <w:pPr>
        <w:pStyle w:val="FirstParagraph"/>
      </w:pPr>
      <w:r>
        <w:t xml:space="preserve">Use Gibbs sampling to draw 5000 samples from the posterior distribution of the parameters </w:t>
      </w:r>
      <m:oMath>
        <m:r>
          <w:rPr>
            <w:rFonts w:ascii="Cambria Math" w:hAnsi="Cambria Math"/>
          </w:rPr>
          <m:t>μ</m:t>
        </m:r>
      </m:oMath>
      <w:r>
        <w:t xml:space="preserve">, </w:t>
      </w:r>
      <m:oMath>
        <m:r>
          <w:rPr>
            <w:rFonts w:ascii="Cambria Math" w:hAnsi="Cambria Math"/>
          </w:rPr>
          <m:t>τ</m:t>
        </m:r>
      </m:oMath>
      <w:r>
        <w:t xml:space="preserve">, </w:t>
      </w:r>
      <m:oMath>
        <m:r>
          <w:rPr>
            <w:rFonts w:ascii="Cambria Math" w:hAnsi="Cambria Math"/>
          </w:rPr>
          <m:t>σ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=1,…11)</m:t>
        </m:r>
      </m:oMath>
      <w:r>
        <w:t>. Find posterior credible intervals for each of these parameters.</w:t>
      </w:r>
    </w:p>
    <w:p w:rsidR="00E661DB" w:rsidRDefault="00533BE3">
      <w:pPr>
        <w:pStyle w:val="SourceCode"/>
      </w:pPr>
      <w:r>
        <w:rPr>
          <w:rStyle w:val="NormalTok"/>
        </w:rPr>
        <w:t>init.nschiz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nschiz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 xml:space="preserve">(subject)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yBar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(lms),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ySSQ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(lms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nSub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ySD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(lms))</w:t>
      </w:r>
      <w:r>
        <w:br/>
      </w:r>
      <w:r>
        <w:br/>
      </w:r>
      <w:r>
        <w:rPr>
          <w:rStyle w:val="NormalTok"/>
        </w:rPr>
        <w:t>nSub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(nschiz</w:t>
      </w:r>
      <w:r>
        <w:rPr>
          <w:rStyle w:val="OperatorTok"/>
        </w:rPr>
        <w:t>$</w:t>
      </w:r>
      <w:r>
        <w:rPr>
          <w:rStyle w:val="NormalTok"/>
        </w:rPr>
        <w:t>subject))</w:t>
      </w:r>
      <w:r>
        <w:br/>
      </w:r>
      <w:r>
        <w:rPr>
          <w:rStyle w:val="NormalTok"/>
        </w:rPr>
        <w:t>nSubL &lt;-</w:t>
      </w:r>
      <w:r>
        <w:rPr>
          <w:rStyle w:val="StringTok"/>
        </w:rPr>
        <w:t xml:space="preserve"> </w:t>
      </w:r>
      <w:r>
        <w:rPr>
          <w:rStyle w:val="NormalTok"/>
        </w:rPr>
        <w:t>init.nschiz</w:t>
      </w:r>
      <w:r>
        <w:rPr>
          <w:rStyle w:val="OperatorTok"/>
        </w:rPr>
        <w:t>$</w:t>
      </w:r>
      <w:r>
        <w:rPr>
          <w:rStyle w:val="NormalTok"/>
        </w:rPr>
        <w:t>nSub</w:t>
      </w:r>
      <w:r>
        <w:br/>
      </w:r>
      <w:r>
        <w:rPr>
          <w:rStyle w:val="NormalTok"/>
        </w:rPr>
        <w:t>ySSQ &lt;-</w:t>
      </w:r>
      <w:r>
        <w:rPr>
          <w:rStyle w:val="StringTok"/>
        </w:rPr>
        <w:t xml:space="preserve"> </w:t>
      </w:r>
      <w:r>
        <w:rPr>
          <w:rStyle w:val="NormalTok"/>
        </w:rPr>
        <w:t>init.nschiz</w:t>
      </w:r>
      <w:r>
        <w:rPr>
          <w:rStyle w:val="OperatorTok"/>
        </w:rPr>
        <w:t>$</w:t>
      </w:r>
      <w:r>
        <w:rPr>
          <w:rStyle w:val="NormalTok"/>
        </w:rPr>
        <w:t>ySSQ</w:t>
      </w:r>
      <w:r>
        <w:br/>
      </w:r>
      <w:r>
        <w:rPr>
          <w:rStyle w:val="NormalTok"/>
        </w:rPr>
        <w:t>yBar &lt;-</w:t>
      </w:r>
      <w:r>
        <w:rPr>
          <w:rStyle w:val="StringTok"/>
        </w:rPr>
        <w:t xml:space="preserve"> </w:t>
      </w:r>
      <w:r>
        <w:rPr>
          <w:rStyle w:val="NormalTok"/>
        </w:rPr>
        <w:t>init.nschiz</w:t>
      </w:r>
      <w:r>
        <w:rPr>
          <w:rStyle w:val="OperatorTok"/>
        </w:rPr>
        <w:t>$</w:t>
      </w:r>
      <w:r>
        <w:rPr>
          <w:rStyle w:val="NormalTok"/>
        </w:rPr>
        <w:t>yBar</w:t>
      </w:r>
      <w:r>
        <w:br/>
      </w:r>
      <w:r>
        <w:rPr>
          <w:rStyle w:val="NormalTok"/>
        </w:rPr>
        <w:t>ySD &lt;-</w:t>
      </w:r>
      <w:r>
        <w:rPr>
          <w:rStyle w:val="StringTok"/>
        </w:rPr>
        <w:t xml:space="preserve"> </w:t>
      </w:r>
      <w:r>
        <w:rPr>
          <w:rStyle w:val="NormalTok"/>
        </w:rPr>
        <w:t>init.nschiz</w:t>
      </w:r>
      <w:r>
        <w:rPr>
          <w:rStyle w:val="OperatorTok"/>
        </w:rPr>
        <w:t>$</w:t>
      </w:r>
      <w:r>
        <w:rPr>
          <w:rStyle w:val="NormalTok"/>
        </w:rPr>
        <w:t>ySD</w:t>
      </w:r>
    </w:p>
    <w:p w:rsidR="00E661DB" w:rsidRDefault="00533BE3">
      <w:pPr>
        <w:pStyle w:val="FirstParagraph"/>
      </w:pPr>
      <w:r>
        <w:t>Set the prior hyperparameters:</w:t>
      </w:r>
    </w:p>
    <w:p w:rsidR="00E661DB" w:rsidRDefault="00533BE3">
      <w:pPr>
        <w:pStyle w:val="SourceCode"/>
      </w:pPr>
      <w:r>
        <w:rPr>
          <w:rStyle w:val="NormalTok"/>
        </w:rPr>
        <w:t>mu.mean.</w:t>
      </w:r>
      <w:r>
        <w:rPr>
          <w:rStyle w:val="DecValTok"/>
        </w:rPr>
        <w:t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>5.52</w:t>
      </w:r>
      <w:r>
        <w:br/>
      </w:r>
      <w:r>
        <w:rPr>
          <w:rStyle w:val="NormalTok"/>
        </w:rPr>
        <w:t>mu.SD.</w:t>
      </w:r>
      <w:r>
        <w:rPr>
          <w:rStyle w:val="DecValTok"/>
        </w:rPr>
        <w:t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>0.22</w:t>
      </w:r>
      <w:r>
        <w:br/>
      </w:r>
      <w:r>
        <w:rPr>
          <w:rStyle w:val="NormalTok"/>
        </w:rPr>
        <w:t>tau.sh.</w:t>
      </w:r>
      <w:r>
        <w:rPr>
          <w:rStyle w:val="DecValTok"/>
        </w:rPr>
        <w:t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sig.sh.</w:t>
      </w:r>
      <w:r>
        <w:rPr>
          <w:rStyle w:val="DecValTok"/>
        </w:rPr>
        <w:t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>tau.sc.</w:t>
      </w:r>
      <w:r>
        <w:rPr>
          <w:rStyle w:val="DecValTok"/>
        </w:rPr>
        <w:t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sig.sc.</w:t>
      </w:r>
      <w:r>
        <w:rPr>
          <w:rStyle w:val="DecValTok"/>
        </w:rPr>
        <w:t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</w:p>
    <w:p w:rsidR="00E661DB" w:rsidRDefault="00533BE3">
      <w:pPr>
        <w:pStyle w:val="FirstParagraph"/>
      </w:pPr>
      <w:r>
        <w:t>Initialize Gibbs sample variables:</w:t>
      </w:r>
    </w:p>
    <w:p w:rsidR="00E661DB" w:rsidRDefault="00533BE3">
      <w:pPr>
        <w:pStyle w:val="SourceCode"/>
      </w:pPr>
      <w:r>
        <w:rPr>
          <w:rStyle w:val="NormalTok"/>
        </w:rPr>
        <w:t>numSim =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NormalTok"/>
        </w:rPr>
        <w:t>thetaG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 =</w:t>
      </w:r>
      <w:r>
        <w:rPr>
          <w:rStyle w:val="NormalTok"/>
        </w:rPr>
        <w:t xml:space="preserve"> numSim, </w:t>
      </w:r>
      <w:r>
        <w:rPr>
          <w:rStyle w:val="DataTypeTok"/>
        </w:rPr>
        <w:t>ncol =</w:t>
      </w:r>
      <w:r>
        <w:rPr>
          <w:rStyle w:val="NormalTok"/>
        </w:rPr>
        <w:t xml:space="preserve"> nSub)</w:t>
      </w:r>
      <w:r>
        <w:br/>
      </w:r>
      <w:r>
        <w:rPr>
          <w:rStyle w:val="NormalTok"/>
        </w:rPr>
        <w:t>thetaG[</w:t>
      </w:r>
      <w:r>
        <w:rPr>
          <w:rStyle w:val="DecValTok"/>
        </w:rPr>
        <w:t>1</w:t>
      </w:r>
      <w:r>
        <w:rPr>
          <w:rStyle w:val="NormalTok"/>
        </w:rPr>
        <w:t>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yBar    </w:t>
      </w:r>
      <w:r>
        <w:rPr>
          <w:rStyle w:val="CommentTok"/>
        </w:rPr>
        <w:t># initial value for theta</w:t>
      </w:r>
      <w:r>
        <w:br/>
      </w:r>
      <w:r>
        <w:rPr>
          <w:rStyle w:val="NormalTok"/>
        </w:rPr>
        <w:t>mu</w:t>
      </w:r>
      <w:r>
        <w:rPr>
          <w:rStyle w:val="NormalTok"/>
        </w:rPr>
        <w:t>G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(yBar)    </w:t>
      </w:r>
      <w:r>
        <w:rPr>
          <w:rStyle w:val="CommentTok"/>
        </w:rPr>
        <w:t># initial value for mu</w:t>
      </w:r>
      <w:r>
        <w:br/>
      </w:r>
      <w:r>
        <w:rPr>
          <w:rStyle w:val="NormalTok"/>
        </w:rPr>
        <w:t>tauG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 xml:space="preserve">(yBar)     </w:t>
      </w:r>
      <w:r>
        <w:rPr>
          <w:rStyle w:val="CommentTok"/>
        </w:rPr>
        <w:t># initial value for tau</w:t>
      </w:r>
      <w:r>
        <w:br/>
      </w:r>
      <w:r>
        <w:rPr>
          <w:rStyle w:val="NormalTok"/>
        </w:rPr>
        <w:t>sigG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(ySD)    </w:t>
      </w:r>
      <w:r>
        <w:rPr>
          <w:rStyle w:val="CommentTok"/>
        </w:rPr>
        <w:t># initial value for sigma</w:t>
      </w:r>
    </w:p>
    <w:p w:rsidR="00E661DB" w:rsidRDefault="00533BE3">
      <w:pPr>
        <w:pStyle w:val="FirstParagraph"/>
      </w:pPr>
      <w:r>
        <w:t>Run Gibbs sampler:</w:t>
      </w:r>
    </w:p>
    <w:p w:rsidR="00E661DB" w:rsidRDefault="00533BE3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numSim) {</w:t>
      </w:r>
      <w:r>
        <w:br/>
      </w:r>
      <w:r>
        <w:rPr>
          <w:rStyle w:val="NormalTok"/>
        </w:rPr>
        <w:t xml:space="preserve">    mu.mean.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(mu.mean.</w:t>
      </w:r>
      <w:r>
        <w:rPr>
          <w:rStyle w:val="DecValTok"/>
        </w:rPr>
        <w:t>0</w:t>
      </w:r>
      <w:r>
        <w:rPr>
          <w:rStyle w:val="OperatorTok"/>
        </w:rPr>
        <w:t>/</w:t>
      </w:r>
      <w:r>
        <w:rPr>
          <w:rStyle w:val="NormalTok"/>
        </w:rPr>
        <w:t>mu.SD.</w:t>
      </w:r>
      <w:r>
        <w:rPr>
          <w:rStyle w:val="DecValTok"/>
        </w:rPr>
        <w:t>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(thetaG[k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rPr>
          <w:rStyle w:val="OperatorTok"/>
        </w:rPr>
        <w:t>/</w:t>
      </w:r>
      <w:r>
        <w:rPr>
          <w:rStyle w:val="NormalTok"/>
        </w:rPr>
        <w:t>tauG[k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mu.SD.</w:t>
      </w:r>
      <w:r>
        <w:rPr>
          <w:rStyle w:val="DecValTok"/>
        </w:rPr>
        <w:t>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nSub</w:t>
      </w:r>
      <w:r>
        <w:rPr>
          <w:rStyle w:val="OperatorTok"/>
        </w:rPr>
        <w:t>/</w:t>
      </w:r>
      <w:r>
        <w:rPr>
          <w:rStyle w:val="NormalTok"/>
        </w:rPr>
        <w:t>tauG[k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mu.SD.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mu.SD.</w:t>
      </w:r>
      <w:r>
        <w:rPr>
          <w:rStyle w:val="DecValTok"/>
        </w:rPr>
        <w:t>0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nSub</w:t>
      </w:r>
      <w:r>
        <w:rPr>
          <w:rStyle w:val="OperatorTok"/>
        </w:rPr>
        <w:t>/</w:t>
      </w:r>
      <w:r>
        <w:rPr>
          <w:rStyle w:val="NormalTok"/>
        </w:rPr>
        <w:t>tauG[k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^-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#Sample new mu</w:t>
      </w:r>
      <w:r>
        <w:br/>
      </w:r>
      <w:r>
        <w:rPr>
          <w:rStyle w:val="NormalTok"/>
        </w:rPr>
        <w:t xml:space="preserve">    muG[k]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,mu.mean.</w:t>
      </w:r>
      <w:r>
        <w:rPr>
          <w:rStyle w:val="DecValTok"/>
        </w:rPr>
        <w:t>1</w:t>
      </w:r>
      <w:r>
        <w:rPr>
          <w:rStyle w:val="NormalTok"/>
        </w:rPr>
        <w:t>, mu.SD.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tau.sh.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tau.sh.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 xml:space="preserve">nSub  </w:t>
      </w:r>
      <w:r>
        <w:rPr>
          <w:rStyle w:val="CommentTok"/>
        </w:rPr>
        <w:t># this is the same every iteration</w:t>
      </w:r>
      <w:r>
        <w:br/>
      </w:r>
      <w:r>
        <w:rPr>
          <w:rStyle w:val="NormalTok"/>
        </w:rPr>
        <w:t xml:space="preserve">    tau.sc.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tau.sc.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((thetaG[k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>
          <w:rStyle w:val="OperatorTok"/>
        </w:rPr>
        <w:t>-</w:t>
      </w:r>
      <w:r>
        <w:rPr>
          <w:rStyle w:val="NormalTok"/>
        </w:rPr>
        <w:t>muG[k])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^-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#Sample new tau</w:t>
      </w:r>
      <w:r>
        <w:br/>
      </w:r>
      <w:r>
        <w:rPr>
          <w:rStyle w:val="NormalTok"/>
        </w:rPr>
        <w:t xml:space="preserve">    tauG[k] =</w:t>
      </w:r>
      <w:r>
        <w:rPr>
          <w:rStyle w:val="StringTok"/>
        </w:rPr>
        <w:t xml:space="preserve"> </w:t>
      </w:r>
      <w:r>
        <w:rPr>
          <w:rStyle w:val="KeywordTok"/>
        </w:rPr>
        <w:t>rgamma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NormalTok"/>
        </w:rPr>
        <w:t>tau.sh.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scale=</w:t>
      </w:r>
      <w:r>
        <w:rPr>
          <w:rStyle w:val="NormalTok"/>
        </w:rPr>
        <w:t>tau.sc.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sig.sh.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sig.sh.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 xml:space="preserve">(nSubL)  </w:t>
      </w:r>
      <w:r>
        <w:rPr>
          <w:rStyle w:val="CommentTok"/>
        </w:rPr>
        <w:t># this is the same every iteration</w:t>
      </w:r>
      <w:r>
        <w:br/>
      </w:r>
      <w:r>
        <w:rPr>
          <w:rStyle w:val="NormalTok"/>
        </w:rPr>
        <w:lastRenderedPageBreak/>
        <w:t xml:space="preserve">    sig.sc.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sig.sc.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 xml:space="preserve">(ySSQ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nSubL</w:t>
      </w:r>
      <w:r>
        <w:rPr>
          <w:rStyle w:val="OperatorTok"/>
        </w:rPr>
        <w:t>*</w:t>
      </w:r>
      <w:r>
        <w:rPr>
          <w:rStyle w:val="NormalTok"/>
        </w:rPr>
        <w:t>yBar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nSubL</w:t>
      </w:r>
      <w:r>
        <w:rPr>
          <w:rStyle w:val="OperatorTok"/>
        </w:rPr>
        <w:t>*</w:t>
      </w:r>
      <w:r>
        <w:rPr>
          <w:rStyle w:val="NormalTok"/>
        </w:rPr>
        <w:t xml:space="preserve">(yBar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thetaG[k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^-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#Sample new sigma</w:t>
      </w:r>
      <w:r>
        <w:br/>
      </w:r>
      <w:r>
        <w:rPr>
          <w:rStyle w:val="NormalTok"/>
        </w:rPr>
        <w:t xml:space="preserve">    sigG[k] =</w:t>
      </w:r>
      <w:r>
        <w:rPr>
          <w:rStyle w:val="StringTok"/>
        </w:rPr>
        <w:t xml:space="preserve"> </w:t>
      </w:r>
      <w:r>
        <w:rPr>
          <w:rStyle w:val="KeywordTok"/>
        </w:rPr>
        <w:t>rgamma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shape=</w:t>
      </w:r>
      <w:r>
        <w:rPr>
          <w:rStyle w:val="NormalTok"/>
        </w:rPr>
        <w:t>sig.sh.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scale=</w:t>
      </w:r>
      <w:r>
        <w:rPr>
          <w:rStyle w:val="NormalTok"/>
        </w:rPr>
        <w:t>sig.sc.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mu.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(muG[k]</w:t>
      </w:r>
      <w:r>
        <w:rPr>
          <w:rStyle w:val="OperatorTok"/>
        </w:rPr>
        <w:t>/</w:t>
      </w:r>
      <w:r>
        <w:rPr>
          <w:rStyle w:val="NormalTok"/>
        </w:rPr>
        <w:t>tauG[k]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yBar</w:t>
      </w:r>
      <w:r>
        <w:rPr>
          <w:rStyle w:val="OperatorTok"/>
        </w:rPr>
        <w:t>*</w:t>
      </w:r>
      <w:r>
        <w:rPr>
          <w:rStyle w:val="NormalTok"/>
        </w:rPr>
        <w:t>nSubL</w:t>
      </w:r>
      <w:r>
        <w:rPr>
          <w:rStyle w:val="OperatorTok"/>
        </w:rPr>
        <w:t>/</w:t>
      </w:r>
      <w:r>
        <w:rPr>
          <w:rStyle w:val="NormalTok"/>
        </w:rPr>
        <w:t>sigG[k]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tauG[k]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nSubL</w:t>
      </w:r>
      <w:r>
        <w:rPr>
          <w:rStyle w:val="OperatorTok"/>
        </w:rPr>
        <w:t>/</w:t>
      </w:r>
      <w:r>
        <w:rPr>
          <w:rStyle w:val="NormalTok"/>
        </w:rPr>
        <w:t>sigG[k]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tau.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tauG[k]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nSubL</w:t>
      </w:r>
      <w:r>
        <w:rPr>
          <w:rStyle w:val="OperatorTok"/>
        </w:rPr>
        <w:t>/</w:t>
      </w:r>
      <w:r>
        <w:rPr>
          <w:rStyle w:val="NormalTok"/>
        </w:rPr>
        <w:t>sigG[k]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vector of posterior SDs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#Sample new theta</w:t>
      </w:r>
      <w:r>
        <w:br/>
      </w:r>
      <w:r>
        <w:rPr>
          <w:rStyle w:val="NormalTok"/>
        </w:rPr>
        <w:t xml:space="preserve">    thetaG[k,]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(nSub,mu.</w:t>
      </w:r>
      <w:r>
        <w:rPr>
          <w:rStyle w:val="DecValTok"/>
        </w:rPr>
        <w:t>1</w:t>
      </w:r>
      <w:r>
        <w:rPr>
          <w:rStyle w:val="NormalTok"/>
        </w:rPr>
        <w:t>,tau.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E661DB" w:rsidRDefault="00533BE3">
      <w:pPr>
        <w:pStyle w:val="FirstParagraph"/>
      </w:pPr>
      <w:r>
        <w:t>95% CI on Parameters (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σ</m:t>
        </m:r>
      </m:oMath>
      <w:r>
        <w:t>)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1301"/>
        <w:gridCol w:w="1329"/>
        <w:gridCol w:w="1329"/>
      </w:tblGrid>
      <w:tr w:rsidR="00E661DB" w:rsidTr="00A0489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533BE3">
            <w:pPr>
              <w:pStyle w:val="Compact"/>
              <w:jc w:val="center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533BE3">
            <w:pPr>
              <w:pStyle w:val="Compact"/>
              <w:jc w:val="center"/>
            </w:pPr>
            <w:r>
              <w:t>Lower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533BE3">
            <w:pPr>
              <w:pStyle w:val="Compact"/>
              <w:jc w:val="center"/>
            </w:pPr>
            <w:r>
              <w:t>Upper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Mu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5.6274449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5.7932086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Tau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0.0857699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0.2105276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Sigma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0.1484364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0.1733463</w:t>
            </w:r>
          </w:p>
        </w:tc>
      </w:tr>
    </w:tbl>
    <w:p w:rsidR="00E661DB" w:rsidRDefault="00533BE3">
      <w:pPr>
        <w:pStyle w:val="BodyText"/>
      </w:pPr>
      <w:r>
        <w:t xml:space="preserve">95% CI for person-specific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1,…11)</m:t>
        </m:r>
      </m:oMath>
    </w:p>
    <w:p w:rsidR="00E661DB" w:rsidRDefault="00533BE3">
      <w:pPr>
        <w:pStyle w:val="SourceCode"/>
      </w:pPr>
      <w:r>
        <w:rPr>
          <w:rStyle w:val="NormalTok"/>
        </w:rPr>
        <w:t>theta.hat =</w:t>
      </w:r>
      <w:r>
        <w:rPr>
          <w:rStyle w:val="StringTok"/>
        </w:rPr>
        <w:t xml:space="preserve"> </w:t>
      </w:r>
      <w:r>
        <w:rPr>
          <w:rStyle w:val="KeywordTok"/>
        </w:rPr>
        <w:t>colMeans</w:t>
      </w:r>
      <w:r>
        <w:rPr>
          <w:rStyle w:val="NormalTok"/>
        </w:rPr>
        <w:t>(thetaG)</w:t>
      </w:r>
      <w:r>
        <w:br/>
      </w:r>
      <w:r>
        <w:rPr>
          <w:rStyle w:val="NormalTok"/>
        </w:rPr>
        <w:t>th.lower=th.upper=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nSub) {</w:t>
      </w:r>
      <w:r>
        <w:br/>
      </w:r>
      <w:r>
        <w:rPr>
          <w:rStyle w:val="NormalTok"/>
        </w:rPr>
        <w:t xml:space="preserve">    th.lower[i]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(thetaG[,i],</w:t>
      </w:r>
      <w:r>
        <w:rPr>
          <w:rStyle w:val="FloatTok"/>
        </w:rPr>
        <w:t>0.025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th.upper[i] =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(thetaG[,i],</w:t>
      </w:r>
      <w:r>
        <w:rPr>
          <w:rStyle w:val="FloatTok"/>
        </w:rPr>
        <w:t>0.975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967"/>
        <w:gridCol w:w="1196"/>
        <w:gridCol w:w="1196"/>
        <w:gridCol w:w="1196"/>
      </w:tblGrid>
      <w:tr w:rsidR="00E661DB" w:rsidTr="00A0489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533BE3">
            <w:pPr>
              <w:pStyle w:val="Compact"/>
              <w:jc w:val="center"/>
            </w:pPr>
            <w:r>
              <w:t>Subject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533BE3">
            <w:pPr>
              <w:pStyle w:val="Compact"/>
              <w:jc w:val="center"/>
            </w:pPr>
            <w:r>
              <w:t>Lower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533BE3">
            <w:pPr>
              <w:pStyle w:val="Compact"/>
              <w:jc w:val="center"/>
            </w:pPr>
            <w:r>
              <w:t>Upper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533BE3">
            <w:pPr>
              <w:pStyle w:val="Compact"/>
              <w:jc w:val="center"/>
            </w:pPr>
            <w:r>
              <w:t>Mean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p1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5.675378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5.786607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5.731062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p2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5.829983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5.943383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5.886129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p3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5.654438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5.765291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5.710458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p4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5.649328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5.760658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5.705381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p5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5.521701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5.634008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5.577798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p6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5.738778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5.849968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5.793891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p7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5.803857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5.915108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5.858491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p8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5.530267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5.644245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5.587792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p9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5.495595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5.608370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5.550455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p10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5.718368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5.832081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5.774531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p11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5.660067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5.771438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center"/>
            </w:pPr>
            <w:r>
              <w:t>5.716454</w:t>
            </w:r>
          </w:p>
        </w:tc>
      </w:tr>
    </w:tbl>
    <w:p w:rsidR="00E661DB" w:rsidRDefault="00533BE3">
      <w:pPr>
        <w:pStyle w:val="Heading1"/>
      </w:pPr>
      <w:bookmarkStart w:id="4" w:name="problem-3"/>
      <w:bookmarkStart w:id="5" w:name="_Toc512162207"/>
      <w:bookmarkStart w:id="6" w:name="_GoBack"/>
      <w:bookmarkEnd w:id="4"/>
      <w:bookmarkEnd w:id="6"/>
      <w:r>
        <w:lastRenderedPageBreak/>
        <w:t>Problem 3</w:t>
      </w:r>
      <w:bookmarkEnd w:id="5"/>
    </w:p>
    <w:p w:rsidR="00E661DB" w:rsidRDefault="00533BE3">
      <w:pPr>
        <w:pStyle w:val="FirstParagraph"/>
      </w:pPr>
      <w:r>
        <w:t>D</w:t>
      </w:r>
      <w:r>
        <w:t xml:space="preserve">iscuss your results. Compare your intervals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=1,…11)</m:t>
        </m:r>
      </m:oMath>
      <w:r>
        <w:t xml:space="preserve"> with the results from Assignment 8. The lines in the chart below represent the person-specific credible intervals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from assignment 8</w:t>
      </w:r>
      <w:r>
        <w:t xml:space="preserve"> (pink) and 9 (blue).</w:t>
      </w:r>
    </w:p>
    <w:p w:rsidR="00E661DB" w:rsidRDefault="00533BE3" w:rsidP="00A0489E">
      <w:pPr>
        <w:pStyle w:val="BodyText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repor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1DB" w:rsidRDefault="00533BE3">
      <w:pPr>
        <w:pStyle w:val="BodyText"/>
      </w:pPr>
      <w:r>
        <w:t>Most of the CIs from assignment 8 are narrower then those from assignment 9 but not by much. All of the CIs look to be centered around the same value between both problems.</w:t>
      </w:r>
    </w:p>
    <w:p w:rsidR="00E661DB" w:rsidRDefault="00533BE3">
      <w:pPr>
        <w:pStyle w:val="BodyText"/>
      </w:pPr>
      <w:r>
        <w:t>Since all eleven standard deviations for the log reaction t</w:t>
      </w:r>
      <w:r>
        <w:t xml:space="preserve">imes are equal the widths of the CIs for 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are roughly the same in problem 9. The table below shows the width of the CIs from 8 and 9 for each subject.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951"/>
        <w:gridCol w:w="1329"/>
        <w:gridCol w:w="1329"/>
      </w:tblGrid>
      <w:tr w:rsidR="00E661DB" w:rsidTr="00A0489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533BE3">
            <w:pPr>
              <w:pStyle w:val="Compact"/>
            </w:pPr>
            <w:r>
              <w:t>subject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533BE3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533BE3">
            <w:pPr>
              <w:pStyle w:val="Compact"/>
              <w:jc w:val="right"/>
            </w:pPr>
            <w:r>
              <w:t>9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t>p1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0.0945745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0.1112297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t>p2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0.0979664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0.1133999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t>p3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0.1116778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0.1108530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t>p4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0.1034933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0.1113302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t>p5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0.1032364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0.1123070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t>p6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0.1363198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0.1111908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t>p7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0.1113367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0.1112513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t>p8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0.1063485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0.1139784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t>p9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0.1041249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0.1127749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lastRenderedPageBreak/>
              <w:t>p10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0.0953442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0.1137126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t>p11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0.1211357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0.1113712</w:t>
            </w:r>
          </w:p>
        </w:tc>
      </w:tr>
    </w:tbl>
    <w:p w:rsidR="00E661DB" w:rsidRDefault="00533BE3">
      <w:pPr>
        <w:pStyle w:val="BodyText"/>
      </w:pPr>
      <w:r>
        <w:t>In assignment 9 all of the differences are close to the hundreths place (0.11). In assignment 8 the CI widths vary from subject to subject.</w:t>
      </w:r>
    </w:p>
    <w:p w:rsidR="00E661DB" w:rsidRDefault="00533BE3">
      <w:pPr>
        <w:pStyle w:val="BodyText"/>
      </w:pPr>
      <w:r>
        <w:t xml:space="preserve">The plot below shows the shrinkage for the 11 subjects </w:t>
      </w:r>
      <m:oMath>
        <m:r>
          <w:rPr>
            <w:rFonts w:ascii="Cambria Math" w:hAnsi="Cambria Math"/>
          </w:rPr>
          <m:t>θ</m:t>
        </m:r>
      </m:oMath>
      <w:r>
        <w:t xml:space="preserve"> values.</w:t>
      </w:r>
    </w:p>
    <w:p w:rsidR="00E661DB" w:rsidRDefault="00533BE3" w:rsidP="00A0489E">
      <w:pPr>
        <w:pStyle w:val="BodyText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repor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1DB" w:rsidRDefault="00533BE3">
      <w:pPr>
        <w:pStyle w:val="BodyText"/>
      </w:pPr>
      <w:r>
        <w:t xml:space="preserve">Since the slope of the line is slightly less then 1 we can tell that the lower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correspond to slightly higher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and higher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correspond to slightly lower values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(Hoff, 140).</w:t>
      </w:r>
    </w:p>
    <w:p w:rsidR="00E661DB" w:rsidRDefault="00533BE3">
      <w:pPr>
        <w:pStyle w:val="BodyText"/>
      </w:pPr>
      <w:r>
        <w:t>Effective sample sizes for par</w:t>
      </w:r>
      <w:r>
        <w:t xml:space="preserve">ameters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σ</m:t>
        </m:r>
      </m:oMath>
      <w:r>
        <w:t>: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1068"/>
        <w:gridCol w:w="1063"/>
        <w:gridCol w:w="1063"/>
        <w:gridCol w:w="1063"/>
      </w:tblGrid>
      <w:tr w:rsidR="00E661DB" w:rsidTr="00A0489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533BE3">
            <w:pPr>
              <w:pStyle w:val="Compact"/>
              <w:jc w:val="right"/>
            </w:pPr>
            <w:r>
              <w:t>numSim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533BE3">
            <w:pPr>
              <w:pStyle w:val="Compact"/>
              <w:jc w:val="right"/>
            </w:pPr>
            <w:r>
              <w:t>Mu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533BE3">
            <w:pPr>
              <w:pStyle w:val="Compact"/>
              <w:jc w:val="right"/>
            </w:pPr>
            <w:r>
              <w:t>Tau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533BE3">
            <w:pPr>
              <w:pStyle w:val="Compact"/>
              <w:jc w:val="right"/>
            </w:pPr>
            <w:r>
              <w:t>Sigma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4877.03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3673.13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4583.45</w:t>
            </w:r>
          </w:p>
        </w:tc>
      </w:tr>
    </w:tbl>
    <w:p w:rsidR="00E661DB" w:rsidRDefault="00533BE3">
      <w:pPr>
        <w:pStyle w:val="BodyText"/>
      </w:pPr>
      <w:r>
        <w:t>The effective sample sizes are close the the number of gibbs samples drawn. Thus we effectively have a large sample after using gibbs sampling.</w:t>
      </w:r>
    </w:p>
    <w:p w:rsidR="00E661DB" w:rsidRDefault="00533BE3">
      <w:pPr>
        <w:pStyle w:val="BodyText"/>
      </w:pPr>
      <w:r>
        <w:t xml:space="preserve">Effective sample sizes for person-specific </w:t>
      </w:r>
      <w:r>
        <w:t xml:space="preserve">means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: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967"/>
        <w:gridCol w:w="1068"/>
        <w:gridCol w:w="2371"/>
      </w:tblGrid>
      <w:tr w:rsidR="00E661DB" w:rsidTr="00A0489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533BE3">
            <w:pPr>
              <w:pStyle w:val="Compact"/>
            </w:pPr>
            <w:r>
              <w:t>Subject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533BE3">
            <w:pPr>
              <w:pStyle w:val="Compact"/>
              <w:jc w:val="right"/>
            </w:pPr>
            <w:r>
              <w:t>numSim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61DB" w:rsidRDefault="00533BE3">
            <w:pPr>
              <w:pStyle w:val="Compact"/>
              <w:jc w:val="right"/>
            </w:pPr>
            <w:r>
              <w:t>Effective.Sample.Size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t>p1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5000.00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t>p2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4564.68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lastRenderedPageBreak/>
              <w:t>p3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4700.17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t>p4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5000.00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t>p5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5000.00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t>p6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5000.00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t>p7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4669.96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t>p8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4708.82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t>p9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5000.00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t>p10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5000.00</w:t>
            </w:r>
          </w:p>
        </w:tc>
      </w:tr>
      <w:tr w:rsidR="00E661DB" w:rsidTr="00A0489E">
        <w:trPr>
          <w:jc w:val="center"/>
        </w:trPr>
        <w:tc>
          <w:tcPr>
            <w:tcW w:w="0" w:type="auto"/>
          </w:tcPr>
          <w:p w:rsidR="00E661DB" w:rsidRDefault="00533BE3">
            <w:pPr>
              <w:pStyle w:val="Compact"/>
            </w:pPr>
            <w:r>
              <w:t>p11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5000</w:t>
            </w:r>
          </w:p>
        </w:tc>
        <w:tc>
          <w:tcPr>
            <w:tcW w:w="0" w:type="auto"/>
          </w:tcPr>
          <w:p w:rsidR="00E661DB" w:rsidRDefault="00533BE3">
            <w:pPr>
              <w:pStyle w:val="Compact"/>
              <w:jc w:val="right"/>
            </w:pPr>
            <w:r>
              <w:t>5000.00</w:t>
            </w:r>
          </w:p>
        </w:tc>
      </w:tr>
    </w:tbl>
    <w:p w:rsidR="00E661DB" w:rsidRDefault="00533BE3">
      <w:pPr>
        <w:pStyle w:val="BodyText"/>
      </w:pPr>
      <w:r>
        <w:t>We also get large effective sample sizes for the person-specific means.</w:t>
      </w:r>
    </w:p>
    <w:p w:rsidR="00E661DB" w:rsidRDefault="00533BE3">
      <w:pPr>
        <w:pStyle w:val="BodyText"/>
      </w:pPr>
      <w:r>
        <w:t>Next I review the traceplots for the parameters in gibbs sampling.</w:t>
      </w:r>
    </w:p>
    <w:p w:rsidR="00E661DB" w:rsidRDefault="00533BE3" w:rsidP="00A0489E">
      <w:pPr>
        <w:pStyle w:val="BodyText"/>
        <w:jc w:val="center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repor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1DB" w:rsidRDefault="00533BE3">
      <w:pPr>
        <w:pStyle w:val="BodyText"/>
      </w:pPr>
      <w:r>
        <w:t>All of the parameters traceplots look stationary thus there is no issue with the samples being taken.</w:t>
      </w:r>
    </w:p>
    <w:sectPr w:rsidR="00E661D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BE3" w:rsidRDefault="00533BE3">
      <w:pPr>
        <w:spacing w:after="0"/>
      </w:pPr>
      <w:r>
        <w:separator/>
      </w:r>
    </w:p>
  </w:endnote>
  <w:endnote w:type="continuationSeparator" w:id="0">
    <w:p w:rsidR="00533BE3" w:rsidRDefault="00533B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2271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489E" w:rsidRDefault="00A048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48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0489E" w:rsidRDefault="00A048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BE3" w:rsidRDefault="00533BE3">
      <w:r>
        <w:separator/>
      </w:r>
    </w:p>
  </w:footnote>
  <w:footnote w:type="continuationSeparator" w:id="0">
    <w:p w:rsidR="00533BE3" w:rsidRDefault="00533B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89E" w:rsidRDefault="00A0489E">
    <w:pPr>
      <w:pStyle w:val="Header"/>
    </w:pPr>
    <w:r>
      <w:t>T. Jake Whalen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838644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A24C29"/>
    <w:multiLevelType w:val="multilevel"/>
    <w:tmpl w:val="9BF0C0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9CABE8"/>
    <w:multiLevelType w:val="multilevel"/>
    <w:tmpl w:val="82101B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E0BE3"/>
    <w:rsid w:val="003E4886"/>
    <w:rsid w:val="004E29B3"/>
    <w:rsid w:val="00533BE3"/>
    <w:rsid w:val="00590D07"/>
    <w:rsid w:val="00784D58"/>
    <w:rsid w:val="008A1122"/>
    <w:rsid w:val="008D6863"/>
    <w:rsid w:val="00A0489E"/>
    <w:rsid w:val="00B86B75"/>
    <w:rsid w:val="00BC48D5"/>
    <w:rsid w:val="00C36279"/>
    <w:rsid w:val="00E315A3"/>
    <w:rsid w:val="00E661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E8169E-5FB6-4BD1-B625-661335F1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A0489E"/>
    <w:pPr>
      <w:spacing w:after="100"/>
    </w:pPr>
  </w:style>
  <w:style w:type="paragraph" w:styleId="Header">
    <w:name w:val="header"/>
    <w:basedOn w:val="Normal"/>
    <w:link w:val="HeaderChar"/>
    <w:unhideWhenUsed/>
    <w:rsid w:val="00A0489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0489E"/>
  </w:style>
  <w:style w:type="paragraph" w:styleId="Footer">
    <w:name w:val="footer"/>
    <w:basedOn w:val="Normal"/>
    <w:link w:val="FooterChar"/>
    <w:uiPriority w:val="99"/>
    <w:unhideWhenUsed/>
    <w:rsid w:val="00A0489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t.columbia.edu/~gelman/book/data/schiz.asc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9</vt:lpstr>
    </vt:vector>
  </TitlesOfParts>
  <Company>TASC, Inc.</Company>
  <LinksUpToDate>false</LinksUpToDate>
  <CharactersWithSpaces>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</dc:title>
  <dc:creator>Jake Whalen</dc:creator>
  <cp:lastModifiedBy>Whalen, Timothy @ EngilityCorp</cp:lastModifiedBy>
  <cp:revision>2</cp:revision>
  <dcterms:created xsi:type="dcterms:W3CDTF">2018-04-22T16:10:00Z</dcterms:created>
  <dcterms:modified xsi:type="dcterms:W3CDTF">2018-04-22T16:10:00Z</dcterms:modified>
</cp:coreProperties>
</file>