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全屋定制合同模板（仅供参考）</w:t>
      </w:r>
    </w:p>
    <w:p>
      <w:pPr>
        <w:spacing w:before="120" w:after="120" w:line="288" w:lineRule="auto"/>
        <w:ind w:left="0" w:firstLine="0"/>
        <w:jc w:val="center"/>
      </w:pPr>
      <w:r>
        <w:rPr>
          <w:rFonts w:eastAsia="等线" w:ascii="Arial" w:cs="Arial" w:hAnsi="Arial"/>
          <w:b w:val="true"/>
          <w:sz w:val="22"/>
        </w:rPr>
        <w:t>全屋定制家具合同</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发包方(甲方): _____________________                联系方式:_____________________</w:t>
      </w:r>
    </w:p>
    <w:p>
      <w:pPr>
        <w:spacing w:before="120" w:after="120" w:line="288" w:lineRule="auto"/>
        <w:ind w:left="0" w:firstLine="0"/>
        <w:jc w:val="left"/>
      </w:pPr>
      <w:r>
        <w:rPr>
          <w:rFonts w:eastAsia="等线" w:ascii="Arial" w:cs="Arial" w:hAnsi="Arial"/>
          <w:b w:val="true"/>
          <w:sz w:val="22"/>
        </w:rPr>
        <w:t xml:space="preserve">承包方(乙方): _____________________                联系方式:_____________________ </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sz w:val="22"/>
        </w:rPr>
        <w:t>甲乙双方经友好协商，甲方决定委托乙方进行住房屋内全屋定制，为保护双方的合法权益，现依照《中华人民共和国民典法》以及相关法律法规的规定，甲、乙双方在遵循自愿、平等、公平、诚信的原则基础上，达成协议如下:</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一、承包范围</w:t>
      </w:r>
    </w:p>
    <w:p>
      <w:pPr>
        <w:spacing w:before="120" w:after="120" w:line="288" w:lineRule="auto"/>
        <w:ind w:left="0" w:firstLine="0"/>
        <w:jc w:val="left"/>
      </w:pPr>
      <w:r>
        <w:rPr>
          <w:rFonts w:eastAsia="等线" w:ascii="Arial" w:cs="Arial" w:hAnsi="Arial"/>
          <w:sz w:val="22"/>
        </w:rPr>
        <w:t>乙方按本合同约定的标准，包工包料、包质量、包验收(通过甲方验收)、包供货安装、包工期、包风险、包售后服务等承包方式，按照甲方确认的设计施工图、材料，承包橱柜的制作及安装。</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二、产品约定</w:t>
      </w:r>
    </w:p>
    <w:p>
      <w:pPr>
        <w:spacing w:before="120" w:after="120" w:line="288" w:lineRule="auto"/>
        <w:ind w:left="0" w:firstLine="0"/>
        <w:jc w:val="left"/>
      </w:pPr>
      <w:r>
        <w:rPr>
          <w:rFonts w:eastAsia="等线" w:ascii="Arial" w:cs="Arial" w:hAnsi="Arial"/>
          <w:sz w:val="22"/>
        </w:rPr>
        <w:t>乙方为甲方制作橱柜、衣柜，并负责安装及售后承诺产品规格为:</w:t>
      </w:r>
    </w:p>
    <w:p>
      <w:pPr>
        <w:spacing w:before="120" w:after="120" w:line="288" w:lineRule="auto"/>
        <w:ind w:left="0" w:firstLine="0"/>
        <w:jc w:val="left"/>
      </w:pPr>
      <w:r>
        <w:rPr>
          <w:rFonts w:eastAsia="等线" w:ascii="Arial" w:cs="Arial" w:hAnsi="Arial"/>
          <w:sz w:val="22"/>
        </w:rPr>
        <w:t xml:space="preserve">柜体材质: </w:t>
      </w:r>
    </w:p>
    <w:p>
      <w:pPr>
        <w:spacing w:before="120" w:after="120" w:line="288" w:lineRule="auto"/>
        <w:ind w:left="0" w:firstLine="0"/>
        <w:jc w:val="left"/>
      </w:pPr>
      <w:r>
        <w:rPr>
          <w:rFonts w:eastAsia="等线" w:ascii="Arial" w:cs="Arial" w:hAnsi="Arial"/>
          <w:sz w:val="22"/>
        </w:rPr>
        <w:t>柜门材质:</w:t>
      </w:r>
    </w:p>
    <w:p>
      <w:pPr>
        <w:spacing w:before="120" w:after="120" w:line="288" w:lineRule="auto"/>
        <w:ind w:left="0" w:firstLine="0"/>
        <w:jc w:val="left"/>
      </w:pPr>
      <w:r>
        <w:rPr>
          <w:rFonts w:eastAsia="等线" w:ascii="Arial" w:cs="Arial" w:hAnsi="Arial"/>
          <w:sz w:val="22"/>
        </w:rPr>
        <w:t>封边方式:</w:t>
      </w:r>
    </w:p>
    <w:p>
      <w:pPr>
        <w:spacing w:before="120" w:after="120" w:line="288" w:lineRule="auto"/>
        <w:ind w:left="0" w:firstLine="0"/>
        <w:jc w:val="left"/>
      </w:pPr>
      <w:r>
        <w:rPr>
          <w:rFonts w:eastAsia="等线" w:ascii="Arial" w:cs="Arial" w:hAnsi="Arial"/>
          <w:sz w:val="22"/>
        </w:rPr>
        <w:t>五金规格:</w:t>
      </w:r>
    </w:p>
    <w:p>
      <w:pPr>
        <w:spacing w:before="120" w:after="120" w:line="288" w:lineRule="auto"/>
        <w:ind w:left="0" w:firstLine="0"/>
        <w:jc w:val="left"/>
      </w:pPr>
      <w:r>
        <w:rPr>
          <w:rFonts w:eastAsia="等线" w:ascii="Arial" w:cs="Arial" w:hAnsi="Arial"/>
          <w:sz w:val="22"/>
        </w:rPr>
        <w:t>台面规格:</w:t>
      </w:r>
    </w:p>
    <w:p>
      <w:pPr>
        <w:spacing w:before="120" w:after="120" w:line="288" w:lineRule="auto"/>
        <w:ind w:left="0" w:firstLine="0"/>
        <w:jc w:val="left"/>
      </w:pPr>
      <w:r>
        <w:rPr>
          <w:rFonts w:eastAsia="等线" w:ascii="Arial" w:cs="Arial" w:hAnsi="Arial"/>
          <w:sz w:val="22"/>
        </w:rPr>
        <w:t>甲方确认所定作产品及配套产品的具体项目、数量等详见合同附件一(产品清单明细)甲方确认所定作的产品及配套产品的具体尺寸、安装等详见合同附件二(产品设计图纸)</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三、付款方式与金额</w:t>
      </w:r>
    </w:p>
    <w:p>
      <w:pPr>
        <w:spacing w:before="120" w:after="120" w:line="288" w:lineRule="auto"/>
        <w:ind w:left="0" w:firstLine="0"/>
        <w:jc w:val="left"/>
      </w:pPr>
      <w:r>
        <w:rPr>
          <w:rFonts w:eastAsia="等线" w:ascii="Arial" w:cs="Arial" w:hAnsi="Arial"/>
          <w:sz w:val="22"/>
        </w:rPr>
        <w:t xml:space="preserve">(一)款项约定: </w:t>
      </w:r>
    </w:p>
    <w:p>
      <w:pPr>
        <w:spacing w:before="120" w:after="120" w:line="288" w:lineRule="auto"/>
        <w:ind w:left="0" w:firstLine="0"/>
        <w:jc w:val="left"/>
      </w:pPr>
      <w:r>
        <w:rPr>
          <w:rFonts w:eastAsia="等线" w:ascii="Arial" w:cs="Arial" w:hAnsi="Arial"/>
          <w:sz w:val="22"/>
        </w:rPr>
        <w:t>本合同及附件中的价格，为橱柜、衣柜制作到现场安装调试并达到验收要求的包干价格。结算数量以本合同中确定的为准，单价按合同附件一中的包干单价执行。</w:t>
      </w:r>
    </w:p>
    <w:p>
      <w:pPr>
        <w:numPr>
          <w:numId w:val="1"/>
        </w:numPr>
        <w:spacing w:before="120" w:after="120" w:line="288" w:lineRule="auto"/>
        <w:ind w:left="0"/>
        <w:jc w:val="left"/>
      </w:pPr>
      <w:r>
        <w:rPr>
          <w:rFonts w:eastAsia="等线" w:ascii="Arial" w:cs="Arial" w:hAnsi="Arial"/>
          <w:sz w:val="22"/>
        </w:rPr>
        <w:t>本合同总价款为人民币___________________________元(大写)。</w:t>
      </w:r>
    </w:p>
    <w:p>
      <w:pPr>
        <w:numPr>
          <w:numId w:val="2"/>
        </w:numPr>
        <w:spacing w:before="120" w:after="120" w:line="288" w:lineRule="auto"/>
        <w:ind w:left="0"/>
        <w:jc w:val="left"/>
      </w:pPr>
      <w:r>
        <w:rPr>
          <w:rFonts w:eastAsia="等线" w:ascii="Arial" w:cs="Arial" w:hAnsi="Arial"/>
          <w:sz w:val="22"/>
        </w:rPr>
        <w:t>本合同总价以内的橱柜、衣柜数量及每套价格、上下柜每米单价、台面石每平米单价价格等详见合同附件一(产品清单明细)。</w:t>
      </w:r>
    </w:p>
    <w:p>
      <w:pPr>
        <w:numPr>
          <w:numId w:val="3"/>
        </w:numPr>
        <w:spacing w:before="120" w:after="120" w:line="288" w:lineRule="auto"/>
        <w:ind w:left="0"/>
        <w:jc w:val="left"/>
      </w:pPr>
      <w:r>
        <w:rPr>
          <w:rFonts w:eastAsia="等线" w:ascii="Arial" w:cs="Arial" w:hAnsi="Arial"/>
          <w:sz w:val="22"/>
        </w:rPr>
        <w:t>本合同每套橱柜的实际价格按甲方确认的设计图的长度，以本合同附件二(产品设计图纸)确认的每米单价计算。结算按实际施工长度乘以本合同附件一的每米单价计算。</w:t>
      </w:r>
    </w:p>
    <w:p>
      <w:pPr>
        <w:spacing w:before="120" w:after="120" w:line="288" w:lineRule="auto"/>
        <w:ind w:left="0"/>
        <w:jc w:val="left"/>
      </w:pPr>
      <w:r>
        <w:rPr>
          <w:rFonts w:eastAsia="等线" w:ascii="Arial" w:cs="Arial" w:hAnsi="Arial"/>
          <w:sz w:val="22"/>
        </w:rPr>
        <w:t>（二）付款方式</w:t>
      </w:r>
    </w:p>
    <w:p>
      <w:pPr>
        <w:spacing w:before="120" w:after="120" w:line="288" w:lineRule="auto"/>
        <w:ind w:left="0" w:firstLine="0"/>
        <w:jc w:val="left"/>
      </w:pPr>
      <w:r>
        <w:rPr>
          <w:rFonts w:eastAsia="等线" w:ascii="Arial" w:cs="Arial" w:hAnsi="Arial"/>
          <w:sz w:val="22"/>
        </w:rPr>
        <w:t>甲方根据工程进度和合同履行情况向乙方支付合同款项。</w:t>
      </w:r>
    </w:p>
    <w:p>
      <w:pPr>
        <w:numPr>
          <w:numId w:val="4"/>
        </w:numPr>
        <w:spacing w:before="120" w:after="120" w:line="288" w:lineRule="auto"/>
        <w:ind w:left="0"/>
        <w:jc w:val="left"/>
      </w:pPr>
      <w:r>
        <w:rPr>
          <w:rFonts w:eastAsia="等线" w:ascii="Arial" w:cs="Arial" w:hAnsi="Arial"/>
          <w:sz w:val="22"/>
        </w:rPr>
        <w:t>定金:甲方于_____年_____ 月_____日向乙方支付人民币__________元作为定金。定金于乙方绘制设计图纸起不子返还，其余情况甲方均可向乙方提出返还要求。</w:t>
      </w:r>
    </w:p>
    <w:p>
      <w:pPr>
        <w:numPr>
          <w:numId w:val="5"/>
        </w:numPr>
        <w:spacing w:before="120" w:after="120" w:line="288" w:lineRule="auto"/>
        <w:ind w:left="0"/>
        <w:jc w:val="left"/>
      </w:pPr>
      <w:r>
        <w:rPr>
          <w:rFonts w:eastAsia="等线" w:ascii="Arial" w:cs="Arial" w:hAnsi="Arial"/>
          <w:sz w:val="22"/>
        </w:rPr>
        <w:t>货到现场并经甲方开箱验收后_____个工作日内，甲方向乙方支付至合同总价款的_____%人民币_____元。</w:t>
      </w:r>
    </w:p>
    <w:p>
      <w:pPr>
        <w:numPr>
          <w:numId w:val="6"/>
        </w:numPr>
        <w:spacing w:before="120" w:after="120" w:line="288" w:lineRule="auto"/>
        <w:ind w:left="0"/>
        <w:jc w:val="left"/>
      </w:pPr>
      <w:r>
        <w:rPr>
          <w:rFonts w:eastAsia="等线" w:ascii="Arial" w:cs="Arial" w:hAnsi="Arial"/>
          <w:sz w:val="22"/>
        </w:rPr>
        <w:t>工程完工后_____日内乙方应向甲方提交验收、结算并经甲方确认。甲乙双方办理正式验收后_____个工作日内付至合同结算款的_____%人民币_____元。</w:t>
      </w:r>
    </w:p>
    <w:p>
      <w:pPr>
        <w:spacing w:before="120" w:after="120" w:line="288" w:lineRule="auto"/>
        <w:ind w:left="0" w:firstLine="0"/>
        <w:jc w:val="left"/>
      </w:pPr>
    </w:p>
    <w:p>
      <w:pPr>
        <w:spacing w:before="120" w:after="120" w:line="288" w:lineRule="auto"/>
        <w:ind w:left="0"/>
        <w:jc w:val="left"/>
      </w:pPr>
      <w:r>
        <w:rPr>
          <w:rFonts w:eastAsia="等线" w:ascii="Arial" w:cs="Arial" w:hAnsi="Arial"/>
          <w:sz w:val="22"/>
        </w:rPr>
        <w:t>四、</w:t>
      </w:r>
      <w:r>
        <w:rPr>
          <w:rFonts w:eastAsia="等线" w:ascii="Arial" w:cs="Arial" w:hAnsi="Arial"/>
          <w:b w:val="true"/>
          <w:sz w:val="22"/>
        </w:rPr>
        <w:t>家具交付时间约定</w:t>
      </w:r>
    </w:p>
    <w:p>
      <w:pPr>
        <w:numPr>
          <w:numId w:val="7"/>
        </w:numPr>
        <w:spacing w:before="120" w:after="120" w:line="288" w:lineRule="auto"/>
        <w:ind w:left="0"/>
        <w:jc w:val="left"/>
      </w:pPr>
      <w:r>
        <w:rPr>
          <w:rFonts w:eastAsia="等线" w:ascii="Arial" w:cs="Arial" w:hAnsi="Arial"/>
          <w:sz w:val="22"/>
        </w:rPr>
        <w:t>在甲方确认完图纸、施工项目、双方签订合同基础上，按合同支付方式，乙方应尽快安排生产。约定制作时间不超过__________个自然日。送货上门时间不迟于_____年_____月_____日。</w:t>
      </w:r>
    </w:p>
    <w:p>
      <w:pPr>
        <w:numPr>
          <w:numId w:val="8"/>
        </w:numPr>
        <w:spacing w:before="120" w:after="120" w:line="288" w:lineRule="auto"/>
        <w:ind w:left="0"/>
        <w:jc w:val="left"/>
      </w:pPr>
      <w:r>
        <w:rPr>
          <w:rFonts w:eastAsia="等线" w:ascii="Arial" w:cs="Arial" w:hAnsi="Arial"/>
          <w:sz w:val="22"/>
        </w:rPr>
        <w:t>安装时间不迟于_____年_____月_____日。整个安装耗时不超过__________个自然日。</w:t>
      </w:r>
    </w:p>
    <w:p>
      <w:pPr>
        <w:numPr>
          <w:numId w:val="9"/>
        </w:numPr>
        <w:spacing w:before="120" w:after="120" w:line="288" w:lineRule="auto"/>
        <w:ind w:left="0"/>
        <w:jc w:val="left"/>
      </w:pPr>
      <w:r>
        <w:rPr>
          <w:rFonts w:eastAsia="等线" w:ascii="Arial" w:cs="Arial" w:hAnsi="Arial"/>
          <w:sz w:val="22"/>
        </w:rPr>
        <w:t>如有补货、二次上门调整需要的，乙方需在_____个工作日内调整完成并达到验收标准，若未完成，乙方需要向甲方支付合同总金额1%/天违约金。</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五、成品验收</w:t>
      </w:r>
    </w:p>
    <w:p>
      <w:pPr>
        <w:spacing w:before="120" w:after="120" w:line="288" w:lineRule="auto"/>
        <w:ind w:left="0" w:firstLine="0"/>
        <w:jc w:val="left"/>
      </w:pPr>
      <w:r>
        <w:rPr>
          <w:rFonts w:eastAsia="等线" w:ascii="Arial" w:cs="Arial" w:hAnsi="Arial"/>
          <w:sz w:val="22"/>
        </w:rPr>
        <w:t>安装完毕后，需双方到场一同进行产品验收。乙方所提供的产品必须具备(国际)、国内安全产品认证书和质量合格证书。产品的制作及安装验收必须以甲方认可的产品品牌、规格、型号及施工图纸、设备说明书、有关变更的书面文件、国家颁布的施工及验收规范和质量检验标准为依据。具体需满足以下条件:</w:t>
      </w:r>
    </w:p>
    <w:p>
      <w:pPr>
        <w:spacing w:before="120" w:after="120" w:line="288" w:lineRule="auto"/>
        <w:ind w:left="0" w:firstLine="0"/>
        <w:jc w:val="left"/>
      </w:pPr>
    </w:p>
    <w:p>
      <w:pPr>
        <w:numPr>
          <w:numId w:val="10"/>
        </w:numPr>
        <w:spacing w:before="120" w:after="120" w:line="288" w:lineRule="auto"/>
        <w:ind w:left="0"/>
        <w:jc w:val="left"/>
      </w:pPr>
      <w:r>
        <w:rPr>
          <w:rFonts w:eastAsia="等线" w:ascii="Arial" w:cs="Arial" w:hAnsi="Arial"/>
          <w:sz w:val="22"/>
        </w:rPr>
        <w:t>产品品牌、 规格与附件一、二约定一致。</w:t>
      </w:r>
    </w:p>
    <w:p>
      <w:pPr>
        <w:numPr>
          <w:numId w:val="11"/>
        </w:numPr>
        <w:spacing w:before="120" w:after="120" w:line="288" w:lineRule="auto"/>
        <w:ind w:left="0"/>
        <w:jc w:val="left"/>
      </w:pPr>
      <w:r>
        <w:rPr>
          <w:rFonts w:eastAsia="等线" w:ascii="Arial" w:cs="Arial" w:hAnsi="Arial"/>
          <w:sz w:val="22"/>
        </w:rPr>
        <w:t>质量标准: 执行国家/地方/企业家具产品标准。</w:t>
      </w:r>
    </w:p>
    <w:p>
      <w:pPr>
        <w:numPr>
          <w:numId w:val="12"/>
        </w:numPr>
        <w:spacing w:before="120" w:after="120" w:line="288" w:lineRule="auto"/>
        <w:ind w:left="0"/>
        <w:jc w:val="left"/>
      </w:pPr>
      <w:r>
        <w:rPr>
          <w:rFonts w:eastAsia="等线" w:ascii="Arial" w:cs="Arial" w:hAnsi="Arial"/>
          <w:sz w:val="22"/>
        </w:rPr>
        <w:t>安全标准: 执行GB18584-木家具中有害物质限量标准。</w:t>
      </w:r>
    </w:p>
    <w:p>
      <w:pPr>
        <w:numPr>
          <w:numId w:val="13"/>
        </w:numPr>
        <w:spacing w:before="120" w:after="120" w:line="288" w:lineRule="auto"/>
        <w:ind w:left="0"/>
        <w:jc w:val="left"/>
      </w:pPr>
      <w:r>
        <w:rPr>
          <w:rFonts w:eastAsia="等线" w:ascii="Arial" w:cs="Arial" w:hAnsi="Arial"/>
          <w:sz w:val="22"/>
        </w:rPr>
        <w:t>环保等级:乙方产品使用的全屋定制板材均达到了_____级别板材甲醛释放量&lt;_____mg/m3。</w:t>
      </w:r>
    </w:p>
    <w:p>
      <w:pPr>
        <w:numPr>
          <w:numId w:val="14"/>
        </w:numPr>
        <w:spacing w:before="120" w:after="120" w:line="288" w:lineRule="auto"/>
        <w:ind w:left="0"/>
        <w:jc w:val="left"/>
      </w:pPr>
      <w:r>
        <w:rPr>
          <w:rFonts w:eastAsia="等线" w:ascii="Arial" w:cs="Arial" w:hAnsi="Arial"/>
          <w:sz w:val="22"/>
        </w:rPr>
        <w:t>成品尺寸误差单组柜体高度、宽度，误差在正负_____CM以内。</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六、违约处理</w:t>
      </w:r>
    </w:p>
    <w:p>
      <w:pPr>
        <w:numPr>
          <w:numId w:val="15"/>
        </w:numPr>
        <w:spacing w:before="120" w:after="120" w:line="288" w:lineRule="auto"/>
        <w:ind w:left="0"/>
        <w:jc w:val="left"/>
      </w:pPr>
      <w:r>
        <w:rPr>
          <w:rFonts w:eastAsia="等线" w:ascii="Arial" w:cs="Arial" w:hAnsi="Arial"/>
          <w:sz w:val="22"/>
        </w:rPr>
        <w:t>除不可抗力外，甲乙双方应严格遵守本合同的条款，否则，违约方须承担违约责任。</w:t>
      </w:r>
    </w:p>
    <w:p>
      <w:pPr>
        <w:numPr>
          <w:numId w:val="16"/>
        </w:numPr>
        <w:spacing w:before="120" w:after="120" w:line="288" w:lineRule="auto"/>
        <w:ind w:left="0"/>
        <w:jc w:val="left"/>
      </w:pPr>
      <w:r>
        <w:rPr>
          <w:rFonts w:eastAsia="等线" w:ascii="Arial" w:cs="Arial" w:hAnsi="Arial"/>
          <w:sz w:val="22"/>
        </w:rPr>
        <w:t>甲方未按本合同约定付款，每逾期一天，甲方按应付而未付金额的1%向乙方支付违约金。</w:t>
      </w:r>
    </w:p>
    <w:p>
      <w:pPr>
        <w:numPr>
          <w:numId w:val="17"/>
        </w:numPr>
        <w:spacing w:before="120" w:after="120" w:line="288" w:lineRule="auto"/>
        <w:ind w:left="0"/>
        <w:jc w:val="left"/>
      </w:pPr>
      <w:r>
        <w:rPr>
          <w:rFonts w:eastAsia="等线" w:ascii="Arial" w:cs="Arial" w:hAnsi="Arial"/>
          <w:sz w:val="22"/>
        </w:rPr>
        <w:t>若乙方未能按本合同约定供货或通过验收的，视为乙方违约，每逾期一天， 按本合同总款项的1%向甲方计支付违约金。甲方有权直接在甲方应付未付款中扣除。</w:t>
      </w:r>
    </w:p>
    <w:p>
      <w:pPr>
        <w:numPr>
          <w:numId w:val="18"/>
        </w:numPr>
        <w:spacing w:before="120" w:after="120" w:line="288" w:lineRule="auto"/>
        <w:ind w:left="0"/>
        <w:jc w:val="left"/>
      </w:pPr>
      <w:r>
        <w:rPr>
          <w:rFonts w:eastAsia="等线" w:ascii="Arial" w:cs="Arial" w:hAnsi="Arial"/>
          <w:sz w:val="22"/>
        </w:rPr>
        <w:t>乙方提供的产品的品牌、规格、型号等与本合同约定不符的，视为乙方违约，甲方有权</w:t>
      </w:r>
    </w:p>
    <w:p>
      <w:pPr>
        <w:spacing w:before="120" w:after="120" w:line="288" w:lineRule="auto"/>
        <w:ind w:left="0" w:firstLine="0"/>
        <w:jc w:val="left"/>
      </w:pPr>
      <w:r>
        <w:rPr>
          <w:rFonts w:eastAsia="等线" w:ascii="Arial" w:cs="Arial" w:hAnsi="Arial"/>
          <w:sz w:val="22"/>
        </w:rPr>
        <w:t>拒收。若甲方解除本合同的，乙方按合同终止和解除条款承担责任;若甲方同意乙方继续履</w:t>
      </w:r>
    </w:p>
    <w:p>
      <w:pPr>
        <w:spacing w:before="120" w:after="120" w:line="288" w:lineRule="auto"/>
        <w:ind w:left="0" w:firstLine="0"/>
        <w:jc w:val="left"/>
      </w:pPr>
      <w:r>
        <w:rPr>
          <w:rFonts w:eastAsia="等线" w:ascii="Arial" w:cs="Arial" w:hAnsi="Arial"/>
          <w:sz w:val="22"/>
        </w:rPr>
        <w:t>行合同的，方应在十五天内无偿更换，因此造成逾期交货的,按逾期交货条款承担违约责任。</w:t>
      </w:r>
    </w:p>
    <w:p>
      <w:pPr>
        <w:numPr>
          <w:numId w:val="19"/>
        </w:numPr>
        <w:spacing w:before="120" w:after="120" w:line="288" w:lineRule="auto"/>
        <w:ind w:left="0"/>
        <w:jc w:val="left"/>
      </w:pPr>
      <w:r>
        <w:rPr>
          <w:rFonts w:eastAsia="等线" w:ascii="Arial" w:cs="Arial" w:hAnsi="Arial"/>
          <w:sz w:val="22"/>
        </w:rPr>
        <w:t>乙方提供的产品质量、施工的工程质量、售后服务质量未能达到本合同约定的质量要求和标准的，或进度上不符合甲方要求的，视为乙方违约，甲方有权拒绝验收:若甲方解除本合同的，应退还甲方已支付的所有款项，并按合同终止和解除条款承担责任;若甲方同意乙方继续履行合同的乙方应在甲方同意的期限内进行更换、维修、整改，因此造成逾期的，按逾期交货或逾期通过验收承担违约责任。</w:t>
      </w:r>
    </w:p>
    <w:p>
      <w:pPr>
        <w:numPr>
          <w:numId w:val="20"/>
        </w:numPr>
        <w:spacing w:before="120" w:after="120" w:line="288" w:lineRule="auto"/>
        <w:ind w:left="0"/>
        <w:jc w:val="left"/>
      </w:pPr>
      <w:r>
        <w:rPr>
          <w:rFonts w:eastAsia="等线" w:ascii="Arial" w:cs="Arial" w:hAnsi="Arial"/>
          <w:sz w:val="22"/>
        </w:rPr>
        <w:t>由于乙方违约的情况，甲方有权解除合同，乙方所有人员必须在一个工作日内撤离施工现场。</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七、质保与售后</w:t>
      </w:r>
    </w:p>
    <w:p>
      <w:pPr>
        <w:spacing w:before="120" w:after="120" w:line="288" w:lineRule="auto"/>
        <w:ind w:left="0" w:firstLine="0"/>
        <w:jc w:val="left"/>
      </w:pPr>
      <w:r>
        <w:rPr>
          <w:rFonts w:eastAsia="等线" w:ascii="Arial" w:cs="Arial" w:hAnsi="Arial"/>
          <w:sz w:val="22"/>
        </w:rPr>
        <w:t>合同附件一(产品清单明细)中所列出的所有项目质量保修期为_____年，自验收合格之日起计，在保修期限内，发现工程质量问题，乙方应在_____个工作日内到现场更换或修复。</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八、不可抗逆条款</w:t>
      </w:r>
    </w:p>
    <w:p>
      <w:pPr>
        <w:numPr>
          <w:numId w:val="21"/>
        </w:numPr>
        <w:spacing w:before="120" w:after="120" w:line="288" w:lineRule="auto"/>
        <w:ind w:left="0"/>
        <w:jc w:val="left"/>
      </w:pPr>
      <w:r>
        <w:rPr>
          <w:rFonts w:eastAsia="等线" w:ascii="Arial" w:cs="Arial" w:hAnsi="Arial"/>
          <w:sz w:val="22"/>
        </w:rPr>
        <w:t>由于不能预见、不能避免和不能克服的自然原因或社会原因，致使本合同不能履行或者不能完全履行时，遇到上述不可抗力事件的一方，应立即书面通知合同其他方，并应在不可抗力事件发生后十五天内,向合同其他方提供经不可抗力事件发生地区公证机构出具的证明合同不能履行或需要延期履行、部分履行的有效证明文件,由合同各方按事件对履行合同影响的程度协商决定是否解除合同、或者部分免除履行合同的责任、或者延期履行合同。</w:t>
      </w:r>
    </w:p>
    <w:p>
      <w:pPr>
        <w:numPr>
          <w:numId w:val="22"/>
        </w:numPr>
        <w:spacing w:before="120" w:after="120" w:line="288" w:lineRule="auto"/>
        <w:ind w:left="0"/>
        <w:jc w:val="left"/>
      </w:pPr>
      <w:r>
        <w:rPr>
          <w:rFonts w:eastAsia="等线" w:ascii="Arial" w:cs="Arial" w:hAnsi="Arial"/>
          <w:sz w:val="22"/>
        </w:rPr>
        <w:t>如乙方因地区疫情防控要求无法按时交付，务必及时告知甲方当前项目进度。自封控日</w:t>
      </w:r>
    </w:p>
    <w:p>
      <w:pPr>
        <w:spacing w:before="120" w:after="120" w:line="288" w:lineRule="auto"/>
        <w:ind w:left="0" w:firstLine="0"/>
        <w:jc w:val="left"/>
      </w:pPr>
      <w:r>
        <w:rPr>
          <w:rFonts w:eastAsia="等线" w:ascii="Arial" w:cs="Arial" w:hAnsi="Arial"/>
          <w:sz w:val="22"/>
        </w:rPr>
        <w:t>当天中止时间计算，并在恢复后7个工作日内重启时间计算</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九、转让条款</w:t>
      </w:r>
    </w:p>
    <w:p>
      <w:pPr>
        <w:spacing w:before="120" w:after="120" w:line="288" w:lineRule="auto"/>
        <w:ind w:left="0" w:firstLine="0"/>
        <w:jc w:val="left"/>
      </w:pPr>
      <w:r>
        <w:rPr>
          <w:rFonts w:eastAsia="等线" w:ascii="Arial" w:cs="Arial" w:hAnsi="Arial"/>
          <w:sz w:val="22"/>
        </w:rPr>
        <w:t>避免商家未经同意转让，例如:未经合同双方书面同意，任何一方不得全部或部分转让其在本合同项下的权利和义务</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十、争议解决</w:t>
      </w:r>
    </w:p>
    <w:p>
      <w:pPr>
        <w:spacing w:before="120" w:after="120" w:line="288" w:lineRule="auto"/>
        <w:ind w:left="0" w:firstLine="0"/>
        <w:jc w:val="left"/>
      </w:pPr>
      <w:r>
        <w:rPr>
          <w:rFonts w:eastAsia="等线" w:ascii="Arial" w:cs="Arial" w:hAnsi="Arial"/>
          <w:sz w:val="22"/>
        </w:rPr>
        <w:t>凡因执行本合同所发生的或与本合同有关的一切争议，合同各方应通过友好协商解决;如果协商不能解决，任何一方均可向甲方所在地的人民法院提起诉讼</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附件一:产品清单明细</w:t>
      </w:r>
    </w:p>
    <w:p>
      <w:pPr>
        <w:spacing w:before="120" w:after="120" w:line="288" w:lineRule="auto"/>
        <w:ind w:left="0" w:firstLine="0"/>
        <w:jc w:val="left"/>
      </w:pPr>
      <w:r>
        <w:rPr>
          <w:rFonts w:eastAsia="等线" w:ascii="Arial" w:cs="Arial" w:hAnsi="Arial"/>
          <w:b w:val="true"/>
          <w:sz w:val="22"/>
        </w:rPr>
        <w:t>附件二:产品设计图纸</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83325">
    <w:lvl>
      <w:start w:val="1"/>
      <w:numFmt w:val="decimal"/>
      <w:suff w:val="tab"/>
      <w:lvlText w:val="%1."/>
      <w:rPr>
        <w:color w:val="3370ff"/>
      </w:rPr>
    </w:lvl>
  </w:abstractNum>
  <w:abstractNum w:abstractNumId="1483326">
    <w:lvl>
      <w:start w:val="2"/>
      <w:numFmt w:val="decimal"/>
      <w:suff w:val="tab"/>
      <w:lvlText w:val="%1."/>
      <w:rPr>
        <w:color w:val="3370ff"/>
      </w:rPr>
    </w:lvl>
  </w:abstractNum>
  <w:abstractNum w:abstractNumId="1483327">
    <w:lvl>
      <w:start w:val="3"/>
      <w:numFmt w:val="decimal"/>
      <w:suff w:val="tab"/>
      <w:lvlText w:val="%1."/>
      <w:rPr>
        <w:color w:val="3370ff"/>
      </w:rPr>
    </w:lvl>
  </w:abstractNum>
  <w:abstractNum w:abstractNumId="1483328">
    <w:lvl>
      <w:start w:val="1"/>
      <w:numFmt w:val="decimal"/>
      <w:suff w:val="tab"/>
      <w:lvlText w:val="%1."/>
      <w:rPr>
        <w:color w:val="3370ff"/>
      </w:rPr>
    </w:lvl>
  </w:abstractNum>
  <w:abstractNum w:abstractNumId="1483329">
    <w:lvl>
      <w:start w:val="2"/>
      <w:numFmt w:val="decimal"/>
      <w:suff w:val="tab"/>
      <w:lvlText w:val="%1."/>
      <w:rPr>
        <w:color w:val="3370ff"/>
      </w:rPr>
    </w:lvl>
  </w:abstractNum>
  <w:abstractNum w:abstractNumId="1483330">
    <w:lvl>
      <w:start w:val="3"/>
      <w:numFmt w:val="decimal"/>
      <w:suff w:val="tab"/>
      <w:lvlText w:val="%1."/>
      <w:rPr>
        <w:color w:val="3370ff"/>
      </w:rPr>
    </w:lvl>
  </w:abstractNum>
  <w:abstractNum w:abstractNumId="1483331">
    <w:lvl>
      <w:start w:val="1"/>
      <w:numFmt w:val="decimal"/>
      <w:suff w:val="tab"/>
      <w:lvlText w:val="%1."/>
      <w:rPr>
        <w:color w:val="3370ff"/>
      </w:rPr>
    </w:lvl>
  </w:abstractNum>
  <w:abstractNum w:abstractNumId="1483332">
    <w:lvl>
      <w:start w:val="2"/>
      <w:numFmt w:val="decimal"/>
      <w:suff w:val="tab"/>
      <w:lvlText w:val="%1."/>
      <w:rPr>
        <w:color w:val="3370ff"/>
      </w:rPr>
    </w:lvl>
  </w:abstractNum>
  <w:abstractNum w:abstractNumId="1483333">
    <w:lvl>
      <w:start w:val="3"/>
      <w:numFmt w:val="decimal"/>
      <w:suff w:val="tab"/>
      <w:lvlText w:val="%1."/>
      <w:rPr>
        <w:color w:val="3370ff"/>
      </w:rPr>
    </w:lvl>
  </w:abstractNum>
  <w:abstractNum w:abstractNumId="1483334">
    <w:lvl>
      <w:start w:val="1"/>
      <w:numFmt w:val="decimal"/>
      <w:suff w:val="tab"/>
      <w:lvlText w:val="%1."/>
      <w:rPr>
        <w:color w:val="3370ff"/>
      </w:rPr>
    </w:lvl>
  </w:abstractNum>
  <w:abstractNum w:abstractNumId="1483335">
    <w:lvl>
      <w:start w:val="2"/>
      <w:numFmt w:val="decimal"/>
      <w:suff w:val="tab"/>
      <w:lvlText w:val="%1."/>
      <w:rPr>
        <w:color w:val="3370ff"/>
      </w:rPr>
    </w:lvl>
  </w:abstractNum>
  <w:abstractNum w:abstractNumId="1483336">
    <w:lvl>
      <w:start w:val="3"/>
      <w:numFmt w:val="decimal"/>
      <w:suff w:val="tab"/>
      <w:lvlText w:val="%1."/>
      <w:rPr>
        <w:color w:val="3370ff"/>
      </w:rPr>
    </w:lvl>
  </w:abstractNum>
  <w:abstractNum w:abstractNumId="1483337">
    <w:lvl>
      <w:start w:val="4"/>
      <w:numFmt w:val="decimal"/>
      <w:suff w:val="tab"/>
      <w:lvlText w:val="%1."/>
      <w:rPr>
        <w:color w:val="3370ff"/>
      </w:rPr>
    </w:lvl>
  </w:abstractNum>
  <w:abstractNum w:abstractNumId="1483338">
    <w:lvl>
      <w:start w:val="5"/>
      <w:numFmt w:val="decimal"/>
      <w:suff w:val="tab"/>
      <w:lvlText w:val="%1."/>
      <w:rPr>
        <w:color w:val="3370ff"/>
      </w:rPr>
    </w:lvl>
  </w:abstractNum>
  <w:abstractNum w:abstractNumId="1483339">
    <w:lvl>
      <w:start w:val="1"/>
      <w:numFmt w:val="decimal"/>
      <w:suff w:val="tab"/>
      <w:lvlText w:val="%1."/>
      <w:rPr>
        <w:color w:val="3370ff"/>
      </w:rPr>
    </w:lvl>
  </w:abstractNum>
  <w:abstractNum w:abstractNumId="1483340">
    <w:lvl>
      <w:start w:val="2"/>
      <w:numFmt w:val="decimal"/>
      <w:suff w:val="tab"/>
      <w:lvlText w:val="%1."/>
      <w:rPr>
        <w:color w:val="3370ff"/>
      </w:rPr>
    </w:lvl>
  </w:abstractNum>
  <w:abstractNum w:abstractNumId="1483341">
    <w:lvl>
      <w:start w:val="3"/>
      <w:numFmt w:val="decimal"/>
      <w:suff w:val="tab"/>
      <w:lvlText w:val="%1."/>
      <w:rPr>
        <w:color w:val="3370ff"/>
      </w:rPr>
    </w:lvl>
  </w:abstractNum>
  <w:abstractNum w:abstractNumId="1483342">
    <w:lvl>
      <w:start w:val="4"/>
      <w:numFmt w:val="decimal"/>
      <w:suff w:val="tab"/>
      <w:lvlText w:val="%1."/>
      <w:rPr>
        <w:color w:val="3370ff"/>
      </w:rPr>
    </w:lvl>
  </w:abstractNum>
  <w:abstractNum w:abstractNumId="1483343">
    <w:lvl>
      <w:start w:val="5"/>
      <w:numFmt w:val="decimal"/>
      <w:suff w:val="tab"/>
      <w:lvlText w:val="%1."/>
      <w:rPr>
        <w:color w:val="3370ff"/>
      </w:rPr>
    </w:lvl>
  </w:abstractNum>
  <w:abstractNum w:abstractNumId="1483344">
    <w:lvl>
      <w:start w:val="6"/>
      <w:numFmt w:val="decimal"/>
      <w:suff w:val="tab"/>
      <w:lvlText w:val="%1."/>
      <w:rPr>
        <w:color w:val="3370ff"/>
      </w:rPr>
    </w:lvl>
  </w:abstractNum>
  <w:abstractNum w:abstractNumId="1483345">
    <w:lvl>
      <w:start w:val="1"/>
      <w:numFmt w:val="decimal"/>
      <w:suff w:val="tab"/>
      <w:lvlText w:val="%1."/>
      <w:rPr>
        <w:color w:val="3370ff"/>
      </w:rPr>
    </w:lvl>
  </w:abstractNum>
  <w:abstractNum w:abstractNumId="1483346">
    <w:lvl>
      <w:start w:val="2"/>
      <w:numFmt w:val="decimal"/>
      <w:suff w:val="tab"/>
      <w:lvlText w:val="%1."/>
      <w:rPr>
        <w:color w:val="3370ff"/>
      </w:rPr>
    </w:lvl>
  </w:abstractNum>
  <w:num w:numId="1">
    <w:abstractNumId w:val="1483325"/>
  </w:num>
  <w:num w:numId="2">
    <w:abstractNumId w:val="1483326"/>
  </w:num>
  <w:num w:numId="3">
    <w:abstractNumId w:val="1483327"/>
  </w:num>
  <w:num w:numId="4">
    <w:abstractNumId w:val="1483328"/>
  </w:num>
  <w:num w:numId="5">
    <w:abstractNumId w:val="1483329"/>
  </w:num>
  <w:num w:numId="6">
    <w:abstractNumId w:val="1483330"/>
  </w:num>
  <w:num w:numId="7">
    <w:abstractNumId w:val="1483331"/>
  </w:num>
  <w:num w:numId="8">
    <w:abstractNumId w:val="1483332"/>
  </w:num>
  <w:num w:numId="9">
    <w:abstractNumId w:val="1483333"/>
  </w:num>
  <w:num w:numId="10">
    <w:abstractNumId w:val="1483334"/>
  </w:num>
  <w:num w:numId="11">
    <w:abstractNumId w:val="1483335"/>
  </w:num>
  <w:num w:numId="12">
    <w:abstractNumId w:val="1483336"/>
  </w:num>
  <w:num w:numId="13">
    <w:abstractNumId w:val="1483337"/>
  </w:num>
  <w:num w:numId="14">
    <w:abstractNumId w:val="1483338"/>
  </w:num>
  <w:num w:numId="15">
    <w:abstractNumId w:val="1483339"/>
  </w:num>
  <w:num w:numId="16">
    <w:abstractNumId w:val="1483340"/>
  </w:num>
  <w:num w:numId="17">
    <w:abstractNumId w:val="1483341"/>
  </w:num>
  <w:num w:numId="18">
    <w:abstractNumId w:val="1483342"/>
  </w:num>
  <w:num w:numId="19">
    <w:abstractNumId w:val="1483343"/>
  </w:num>
  <w:num w:numId="20">
    <w:abstractNumId w:val="1483344"/>
  </w:num>
  <w:num w:numId="21">
    <w:abstractNumId w:val="1483345"/>
  </w:num>
  <w:num w:numId="22">
    <w:abstractNumId w:val="148334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2025-03-17T15:11:28Z</dcterms:created>
  <dc:creator>Apache POI</dc:creator>
</cp:coreProperties>
</file>