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2BBA4" w14:textId="5BB58B46" w:rsidR="00C62C4B" w:rsidRDefault="00C62C4B" w:rsidP="00743143">
      <w:pPr>
        <w:spacing w:before="120" w:after="360"/>
        <w:jc w:val="center"/>
        <w:rPr>
          <w:rFonts w:ascii="Palatino Linotype" w:hAnsi="Palatino Linotype" w:cs="Palatino Linotype"/>
          <w:b/>
          <w:bCs/>
          <w:sz w:val="24"/>
          <w:szCs w:val="24"/>
        </w:rPr>
      </w:pPr>
      <w:r w:rsidRPr="003903AF">
        <w:rPr>
          <w:rFonts w:ascii="Times New Roman" w:eastAsia="宋体" w:hAnsi="Times New Roman" w:cs="Times New Roman" w:hint="eastAsia"/>
          <w:b/>
          <w:noProof/>
          <w:color w:val="353C3F"/>
          <w:sz w:val="32"/>
          <w:szCs w:val="20"/>
        </w:rPr>
        <w:drawing>
          <wp:anchor distT="0" distB="0" distL="114300" distR="114300" simplePos="0" relativeHeight="251659264" behindDoc="0" locked="0" layoutInCell="1" allowOverlap="1" wp14:anchorId="64A2E548" wp14:editId="4B80A381">
            <wp:simplePos x="0" y="0"/>
            <wp:positionH relativeFrom="column">
              <wp:posOffset>9525</wp:posOffset>
            </wp:positionH>
            <wp:positionV relativeFrom="paragraph">
              <wp:posOffset>-208597</wp:posOffset>
            </wp:positionV>
            <wp:extent cx="1802130" cy="6648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313" t="16574" r="13145" b="21745"/>
                    <a:stretch/>
                  </pic:blipFill>
                  <pic:spPr bwMode="auto">
                    <a:xfrm>
                      <a:off x="0" y="0"/>
                      <a:ext cx="1802130" cy="664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3A3228" w14:textId="027F1E86" w:rsidR="00C97B3A" w:rsidRPr="00743143" w:rsidRDefault="005B478F" w:rsidP="00743143">
      <w:pPr>
        <w:spacing w:beforeLines="180" w:before="432" w:after="360"/>
        <w:jc w:val="center"/>
        <w:rPr>
          <w:rFonts w:ascii="Palatino Linotype" w:hAnsi="Palatino Linotype" w:cs="Palatino Linotype"/>
          <w:b/>
          <w:bCs/>
          <w:sz w:val="28"/>
          <w:szCs w:val="28"/>
        </w:rPr>
      </w:pPr>
      <w:bookmarkStart w:id="0" w:name="_Hlk99867971"/>
      <w:r w:rsidRPr="00743143">
        <w:rPr>
          <w:rFonts w:ascii="Palatino Linotype" w:hAnsi="Palatino Linotype" w:cs="Palatino Linotype"/>
          <w:b/>
          <w:bCs/>
          <w:sz w:val="28"/>
          <w:szCs w:val="28"/>
        </w:rPr>
        <w:t>Replication package explanatory file</w:t>
      </w:r>
    </w:p>
    <w:p w:rsidR="001B7005" w:rsidRDefault="001B7005">
      <w:pPr>
        <w:spacing w:after="240"/>
        <w:jc w:val="both"/>
        <w:rPr>
          <w:rFonts w:ascii="Palatino Linotype" w:hAnsi="Palatino Linotype" w:cs="Palatino Linotype"/>
          <w:b/>
          <w:bCs/>
          <w:sz w:val="24"/>
          <w:szCs w:val="24"/>
        </w:rPr>
        <w:widowControl/>
        <w:keepLines/>
      </w:pPr>
      <w:r>
        <w:rPr>
          <w:rFonts w:ascii="Palatino Linotype" w:hAnsi="Palatino Linotype" w:cs="Palatino Linotype"/>
          <w:sz w:val="24"/>
          <w:szCs w:val="24"/>
          <w:b/>
          <w:bCs/>
        </w:rPr>
        <w:t xml:space="preserve">Journal title: </w:t>
      </w:r>
      <w:r>
        <w:rPr>
          <w:rFonts w:ascii="Palatino Linotype" w:hAnsi="Palatino Linotype" w:cs="Palatino Linotype"/>
          <w:sz w:val="24"/>
          <w:szCs w:val="24"/>
        </w:rPr>
        <w:t xml:space="preserve">Communications in Transportation Research</w:t>
      </w:r>
    </w:p>
    <w:p w:rsidR="00C97B3A" w:rsidRDefault="005B478F">
      <w:pPr>
        <w:spacing w:after="240"/>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Manuscript title: </w:t>
      </w:r>
      <w:r>
        <w:rPr>
          <w:rFonts w:ascii="Palatino Linotype" w:hAnsi="Palatino Linotype" w:cs="Palatino Linotype"/>
          <w:sz w:val="24"/>
          <w:szCs w:val="24"/>
        </w:rPr>
        <w:t xml:space="preserve">Capacity Drop as a Phase Transition: An Analytical Model via Stochastic Disturbance Propagation</w:t>
      </w:r>
    </w:p>
    <w:p w:rsidR="00C97B3A" w:rsidRDefault="005B478F">
      <w:pPr>
        <w:spacing w:after="240"/>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Manuscript ID: </w:t>
      </w:r>
      <w:r>
        <w:rPr>
          <w:rFonts w:ascii="Palatino Linotype" w:hAnsi="Palatino Linotype" w:cs="Palatino Linotype"/>
          <w:sz w:val="24"/>
          <w:szCs w:val="24"/>
        </w:rPr>
        <w:t xml:space="preserve">COMMTR-2026-0158.R2; preparing R3. Confirm the revision suffix assigned by ScholarOne.</w:t>
      </w:r>
    </w:p>
    <w:p w:rsidR="00C97B3A" w:rsidRDefault="005B478F">
      <w:pPr>
        <w:spacing w:after="240"/>
        <w:jc w:val="both"/>
        <w:rPr>
          <w:rFonts w:ascii="Palatino Linotype" w:hAnsi="Palatino Linotype" w:cs="Palatino Linotype"/>
          <w:b/>
          <w:bCs/>
          <w:sz w:val="24"/>
          <w:szCs w:val="24"/>
        </w:rPr>
        <w:widowControl/>
        <w:keepLines/>
      </w:pPr>
      <w:r>
        <w:rPr>
          <w:rFonts w:ascii="Palatino Linotype" w:hAnsi="Palatino Linotype" w:cs="Palatino Linotype"/>
          <w:sz w:val="24"/>
          <w:szCs w:val="24"/>
          <w:b/>
          <w:bCs/>
        </w:rPr>
        <w:t xml:space="preserve">Authors: </w:t>
      </w:r>
      <w:r>
        <w:rPr>
          <w:rFonts w:ascii="Palatino Linotype" w:hAnsi="Palatino Linotype" w:cs="Palatino Linotype"/>
          <w:sz w:val="24"/>
          <w:szCs w:val="24"/>
        </w:rPr>
        <w:t xml:space="preserve">Xiaohui Zhang¹˒²˒³, Jie Sun², Jian Sun² and Yunpeng Wang⁴. Proposed R3 order; the last-author addition is subject to editorial approval.</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Affiliations: </w:t>
      </w:r>
      <w:r>
        <w:rPr>
          <w:rFonts w:ascii="Palatino Linotype" w:hAnsi="Palatino Linotype" w:cs="Palatino Linotype"/>
          <w:sz w:val="24"/>
          <w:szCs w:val="24"/>
        </w:rPr>
        <w:t xml:space="preserve">¹ Institute of Smart City and Intelligent Transportation, Institute of Urban Rail Transportation, Southwest Jiaotong University, Chengdu 611756, China.</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rPr>
        <w:t xml:space="preserve">² Department of Traffic Engineering &amp; Key Laboratory of Road and Traffic Engineering of Ministry of Education, Tongji University, Shanghai 201804, China.</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rPr>
        <w:t xml:space="preserve">³ National Engineering Research Center of Road Safety Control Technology, Beijing 100176, China.</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rPr>
        <w:t xml:space="preserve">⁴ School of Transportation Science and Engineering, Beihang University, Changping District, Beijing 102206, China.</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Correspondence: </w:t>
      </w:r>
      <w:r>
        <w:rPr>
          <w:rFonts w:ascii="Palatino Linotype" w:hAnsi="Palatino Linotype" w:cs="Palatino Linotype"/>
          <w:sz w:val="24"/>
          <w:szCs w:val="24"/>
        </w:rPr>
        <w:t xml:space="preserve">Jian Sun, sunjian@tongji.edu.cn. Confirm the actual dataset creators and supply their individual emails; the manuscript author list is not automatically a dataset creator list.</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Proposed package title: </w:t>
      </w:r>
      <w:r>
        <w:rPr>
          <w:rFonts w:ascii="Palatino Linotype" w:hAnsi="Palatino Linotype" w:cs="Palatino Linotype"/>
          <w:sz w:val="24"/>
          <w:szCs w:val="24"/>
        </w:rPr>
        <w:t xml:space="preserve">Traffic Data and Code for Stochastic Capacity Drop Modeling.</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Keywords: </w:t>
      </w:r>
      <w:r>
        <w:rPr>
          <w:rFonts w:ascii="Palatino Linotype" w:hAnsi="Palatino Linotype" w:cs="Palatino Linotype"/>
          <w:sz w:val="24"/>
          <w:szCs w:val="24"/>
        </w:rPr>
        <w:t xml:space="preserve">capacity drop; phase transition; stochastic traffic flow; disturbance propagation; correlation length; car following; freeway bottleneck.</w:t>
      </w:r>
    </w:p>
    <w:p w14:paraId="64B16280" w14:textId="77777777" w:rsidR="00997FCF" w:rsidRDefault="00997FCF">
      <w:pPr>
        <w:jc w:val="both"/>
        <w:rPr>
          <w:rFonts w:ascii="Palatino Linotype" w:hAnsi="Palatino Linotype" w:cs="Palatino Linotype" w:hint="eastAsia"/>
          <w:sz w:val="24"/>
          <w:szCs w:val="24"/>
        </w:rPr>
      </w:pPr>
      <w:bookmarkStart w:id="1" w:name="_Hlk99868140"/>
    </w:p>
    <w:p w14:paraId="5B27C2C8" w14:textId="2BC5F940" w:rsidR="00997FCF" w:rsidRDefault="00D97F2A">
      <w:pPr>
        <w:jc w:val="both"/>
        <w:rPr>
          <w:rFonts w:ascii="Palatino Linotype" w:hAnsi="Palatino Linotype" w:cs="Palatino Linotype"/>
          <w:sz w:val="24"/>
          <w:szCs w:val="24"/>
        </w:rPr>
      </w:pPr>
      <w:r>
        <w:rPr>
          <w:rFonts w:ascii="Palatino Linotype" w:hAnsi="Palatino Linotype" w:cs="Palatino Linotype"/>
          <w:b/>
          <w:bCs/>
          <w:sz w:val="24"/>
          <w:szCs w:val="24"/>
        </w:rPr>
        <w:t xml:space="preserve">For </w:t>
      </w:r>
      <w:r w:rsidRPr="00997FCF">
        <w:rPr>
          <w:rFonts w:ascii="Palatino Linotype" w:hAnsi="Palatino Linotype" w:cs="Palatino Linotype"/>
          <w:b/>
          <w:bCs/>
          <w:sz w:val="24"/>
          <w:szCs w:val="24"/>
        </w:rPr>
        <w:t>COMMTR</w:t>
      </w:r>
      <w:r w:rsidRPr="001B7005">
        <w:rPr>
          <w:rFonts w:ascii="Palatino Linotype" w:hAnsi="Palatino Linotype" w:cs="Palatino Linotype"/>
          <w:sz w:val="24"/>
          <w:szCs w:val="24"/>
        </w:rPr>
        <w:t xml:space="preserve"> or </w:t>
      </w:r>
      <w:r w:rsidRPr="00997FCF">
        <w:rPr>
          <w:rFonts w:ascii="Palatino Linotype" w:hAnsi="Palatino Linotype" w:cs="Palatino Linotype"/>
          <w:b/>
          <w:bCs/>
          <w:sz w:val="24"/>
          <w:szCs w:val="24"/>
        </w:rPr>
        <w:t>JICV</w:t>
      </w:r>
      <w:r>
        <w:rPr>
          <w:rFonts w:ascii="Palatino Linotype" w:hAnsi="Palatino Linotype" w:cs="Palatino Linotype"/>
          <w:b/>
          <w:bCs/>
          <w:sz w:val="24"/>
          <w:szCs w:val="24"/>
        </w:rPr>
        <w:t xml:space="preserve"> </w:t>
      </w:r>
      <w:r w:rsidR="00F1677D">
        <w:rPr>
          <w:rFonts w:ascii="Palatino Linotype" w:hAnsi="Palatino Linotype" w:cs="Palatino Linotype"/>
          <w:b/>
          <w:bCs/>
          <w:sz w:val="24"/>
          <w:szCs w:val="24"/>
        </w:rPr>
        <w:t>a</w:t>
      </w:r>
      <w:r>
        <w:rPr>
          <w:rFonts w:ascii="Palatino Linotype" w:hAnsi="Palatino Linotype" w:cs="Palatino Linotype"/>
          <w:b/>
          <w:bCs/>
          <w:sz w:val="24"/>
          <w:szCs w:val="24"/>
        </w:rPr>
        <w:t>rticle</w:t>
      </w:r>
    </w:p>
    <w:p w:rsidR="00C97B3A" w:rsidRDefault="001B7005">
      <w:pPr>
        <w:jc w:val="both"/>
        <w:rPr>
          <w:rFonts w:ascii="Palatino Linotype" w:hAnsi="Palatino Linotype" w:cs="Palatino Linotype"/>
          <w:sz w:val="24"/>
          <w:szCs w:val="24"/>
        </w:rPr>
        <w:widowControl/>
        <w:keepLines/>
      </w:pPr>
      <w:r>
        <w:rPr>
          <w:rFonts w:ascii="Palatino Linotype" w:hAnsi="Palatino Linotype" w:cs="Palatino Linotype"/>
          <w:sz w:val="24"/>
          <w:szCs w:val="24"/>
        </w:rPr>
        <w:t xml:space="preserve">Prepared on 20 October 2026 using the supplied ETS-DATA template. This draft describes the available code and processed data, the checks completed and the remaining requirements for full replication. The accompanying README.md provides the file inventory, data dictionary, checksums, detailed commands and manuscript-result map. Full replication and ETS-DATA deposit are pending; replication-editor approval has not been obtained.</w:t>
      </w:r>
    </w:p>
    <w:bookmarkEnd w:id="1"/>
    <w:p w:rsidR="00C97B3A" w:rsidRDefault="005B478F">
      <w:pPr>
        <w:jc w:val="both"/>
        <w:rPr>
          <w:rFonts w:ascii="Palatino Linotype" w:hAnsi="Palatino Linotype" w:cs="Palatino Linotype"/>
          <w:sz w:val="24"/>
          <w:szCs w:val="24"/>
        </w:rPr>
        <w:widowControl/>
        <w:keepLines/>
        <w:keepNext/>
      </w:pPr>
      <w:r>
        <w:rPr>
          <w:rFonts w:ascii="Palatino Linotype" w:hAnsi="Palatino Linotype" w:cs="Palatino Linotype"/>
          <w:sz w:val="24"/>
          <w:szCs w:val="24"/>
          <w:b/>
          <w:bCs/>
        </w:rPr>
        <w:t xml:space="preserve">Replication package access: </w:t>
      </w:r>
      <w:r>
        <w:rPr>
          <w:rFonts w:ascii="Palatino Linotype" w:hAnsi="Palatino Linotype" w:cs="Palatino Linotype"/>
          <w:sz w:val="24"/>
          <w:szCs w:val="24"/>
        </w:rPr>
        <w:t xml:space="preserve">The public code and processed Parquet subsets are available from the </w:t>
      </w:r>
      <w:hyperlink r:id="rIdReplication1">
        <w:r>
          <w:rPr>
            <w:rFonts w:ascii="Palatino Linotype" w:hAnsi="Palatino Linotype" w:cs="Palatino Linotype"/>
            <w:sz w:val="24"/>
            <w:szCs w:val="24"/>
            <w:u w:val="single"/>
          </w:rPr>
          <w:t xml:space="preserve">GitHub repository</w:t>
        </w:r>
      </w:hyperlink>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rPr>
        <w:t xml:space="preserve">The documented version is commit be47d33318549287baae5a12146d52de9bec785c, confirmed as the main-branch version on 20 October 2026. Select that commit to obtain the exact code described here; download the archive or clone the repository and check out the commit.</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ETS-DATA DOI: </w:t>
      </w:r>
      <w:r>
        <w:rPr>
          <w:rFonts w:ascii="Palatino Linotype" w:hAnsi="Palatino Linotype" w:cs="Palatino Linotype"/>
          <w:sz w:val="24"/>
          <w:szCs w:val="24"/>
        </w:rPr>
        <w:t xml:space="preserve">[PENDING DEPOSIT]. The final archive should include the frozen data and code, README.md and this completed explanatory file. No dataset DOI or public-release date is claimed in this draft.</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Data description: </w:t>
      </w:r>
      <w:r>
        <w:rPr>
          <w:rFonts w:ascii="Palatino Linotype" w:hAnsi="Palatino Linotype" w:cs="Palatino Linotype"/>
          <w:sz w:val="24"/>
          <w:szCs w:val="24"/>
        </w:rPr>
        <w:t xml:space="preserve">The repository contains processed observations from the I-24 MOTION and Zen traffic datasets. I-24 covers westbound lane 2, mile markers 58.8–59.2, 06:00–10:00 on 22 November 2022. Zen covers the right passing lane of Hanshin Expressway Route 11 Ikeda Line, Japan, KP 4.20–3.65, 10:00–11:00. The Zen collection date, exact source releases and original dataset identifiers remain to be supplied.</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Included files: </w:t>
      </w:r>
      <w:r>
        <w:rPr>
          <w:rFonts w:ascii="Palatino Linotype" w:hAnsi="Palatino Linotype" w:cs="Palatino Linotype"/>
          <w:sz w:val="24"/>
          <w:szCs w:val="24"/>
        </w:rPr>
        <w:t xml:space="preserve">I-24Motion/data/I24_lane2_homo_data.parquet contains 170,660 rows and 11 columns (7,775,733 bytes). Zen/data/Zen_homo_data.parquet contains 294,512 rows and 11 columns (3,773,281 bytes). Both were read successfully; no null values were found in these columns.</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rPr>
        <w:t xml:space="preserve">Each row is a processed leader–follower observation. Fields describe temporal identifiers, subject/leader speeds, speed difference, spacing, vehicle classes, vehicle length, aggregate speed, subject vehicle identifier and net spacing. The complete field/type table and SHA-256 hashes are in README.md, Sections 2–3.</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Units and processing: </w:t>
      </w:r>
      <w:r>
        <w:rPr>
          <w:rFonts w:ascii="Palatino Linotype" w:hAnsi="Palatino Linotype" w:cs="Palatino Linotype"/>
          <w:sz w:val="24"/>
          <w:szCs w:val="24"/>
        </w:rPr>
        <w:t xml:space="preserve">The supplied I-24 file stores speeds in ft/s and distances in ft; multiply by 0.3048 for SI units. Its generator defines speedDiff as subject minus leader speed, and net_spacing as spacing minus subject vehicle length. The Zen homogeneous-file generator is absent, so its units, time encoding and pairing conventions require confirmation.</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Completeness: </w:t>
      </w:r>
      <w:r>
        <w:rPr>
          <w:rFonts w:ascii="Palatino Linotype" w:hAnsi="Palatino Linotype" w:cs="Palatino Linotype"/>
          <w:sz w:val="24"/>
          <w:szCs w:val="24"/>
        </w:rPr>
        <w:t xml:space="preserve">These homogeneous subsets do not replace the macro trajectory inputs I-24Motion/data/I24_data_lane2.parquet and Zen/data/Zen_data.parquet, which are absent. Full empirical capacity-drop, correlation and disturbance analyses cannot currently be reproduced. The I-24 generator comment records 912,917 homogeneous rows, inconsistent with the uploaded 170,660-row subset; its definitive selection history must be documented.</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Provenance and rights: </w:t>
      </w:r>
      <w:r>
        <w:rPr>
          <w:rFonts w:ascii="Palatino Linotype" w:hAnsi="Palatino Linotype" w:cs="Palatino Linotype"/>
          <w:sz w:val="24"/>
          <w:szCs w:val="24"/>
        </w:rPr>
        <w:t xml:space="preserve">Provide the original I-24 and Zen source records, exact versions/files, collection metadata and redistribution terms. No code/data licence is present in the documented repository. If licensed inputs cannot be deposited, supply their lawful acquisition procedure and executable reconstruction code. This draft does not assert that the available partial data reproduce all key results.</w:t>
      </w:r>
    </w:p>
    <w:p w:rsidR="00C97B3A" w:rsidRDefault="005B478F">
      <w:pPr>
        <w:jc w:val="both"/>
        <w:rPr>
          <w:rFonts w:ascii="Palatino Linotype" w:hAnsi="Palatino Linotype" w:cs="Palatino Linotype"/>
          <w:sz w:val="24"/>
          <w:szCs w:val="24"/>
        </w:rPr>
        <w:widowControl/>
        <w:keepLines/>
        <w:keepNext/>
      </w:pPr>
      <w:r>
        <w:rPr>
          <w:rFonts w:ascii="Palatino Linotype" w:hAnsi="Palatino Linotype" w:cs="Palatino Linotype"/>
          <w:sz w:val="24"/>
          <w:szCs w:val="24"/>
          <w:b/>
          <w:bCs/>
        </w:rPr>
        <w:t xml:space="preserve">Code description: </w:t>
      </w:r>
      <w:r>
        <w:rPr>
          <w:rFonts w:ascii="Palatino Linotype" w:hAnsi="Palatino Linotype" w:cs="Palatino Linotype"/>
          <w:sz w:val="24"/>
          <w:szCs w:val="24"/>
        </w:rPr>
        <w:t xml:space="preserve">The repository contains 19 Python scripts for preprocessing, I-24 microscopic calibration, traffic-state identification, empirical capacity/QDF, fundamental-diagram fitting, correlation length, disturbance propagation and analytical capacity-drop prediction. README.md, Sections 4–7, describes each script, working directory, input, output and result mapping.</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Environment: </w:t>
      </w:r>
      <w:r>
        <w:rPr>
          <w:rFonts w:ascii="Palatino Linotype" w:hAnsi="Palatino Linotype" w:cs="Palatino Linotype"/>
          <w:sz w:val="24"/>
          <w:szCs w:val="24"/>
        </w:rPr>
        <w:t xml:space="preserve">The two stored-parameter theoretical calculations were executed on Windows with Python 3.13.12, NumPy 2.4.4 and Matplotlib 3.10.9. Polars 1.40.1 was used to inspect the Parquet files. Other scripts import pandas, SciPy, scikit-learn, lmfit and statsmodels and need compatible Excel engines. The pinned environment for a complete analysis run remains to be validated.</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rPr>
        <w:t xml:space="preserve">Both breakdown scripts use legacy scipy.signal.cwt/ricker calls. Their compatibility must be resolved in the final environment. Most plots use plt.show() and are not exported automatically. Full calibration runtime, peak memory, hardware requirements and numerical tolerances have not been measured.</w:t>
      </w:r>
    </w:p>
    <w:p w:rsidR="00C97B3A" w:rsidRDefault="005B478F">
      <w:pPr>
        <w:jc w:val="both"/>
        <w:rPr>
          <w:rFonts w:ascii="Palatino Linotype" w:hAnsi="Palatino Linotype" w:cs="Palatino Linotype"/>
          <w:sz w:val="24"/>
          <w:szCs w:val="24"/>
        </w:rPr>
        <w:widowControl/>
        <w:keepLines/>
        <w:keepNext/>
      </w:pPr>
      <w:r>
        <w:rPr>
          <w:rFonts w:ascii="Palatino Linotype" w:hAnsi="Palatino Linotype" w:cs="Palatino Linotype"/>
          <w:sz w:val="24"/>
          <w:szCs w:val="24"/>
          <w:b/>
          <w:bCs/>
        </w:rPr>
        <w:t xml:space="preserve">Verified commands: </w:t>
      </w:r>
      <w:r>
        <w:rPr>
          <w:rFonts w:ascii="Palatino Linotype" w:hAnsi="Palatino Linotype" w:cs="Palatino Linotype"/>
          <w:sz w:val="24"/>
          <w:szCs w:val="24"/>
        </w:rPr>
        <w:t xml:space="preserve">From the repository root, run the following in an environment containing the two required packages:</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rPr>
        <w:t xml:space="preserve">python I-24Motion/Macro_calib/theory_capacity_drop.py</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rPr>
        <w:t xml:space="preserve">python Zen/Macro_calib/theory_capacity_drop.py</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Verified outputs: </w:t>
      </w:r>
      <w:r>
        <w:rPr>
          <w:rFonts w:ascii="Palatino Linotype" w:hAnsi="Palatino Linotype" w:cs="Palatino Linotype"/>
          <w:sz w:val="24"/>
          <w:szCs w:val="24"/>
        </w:rPr>
        <w:t xml:space="preserve">I-24: theoretical drop 15.255217481982896%, QDF 1467.1130420548352 veh/h. Zen: theoretical drop 21.002650176257355%, QDF 1514.5482258105776 veh/h. Both scripts exited successfully. Local elapsed times were approximately 4.9 s and 1.7 s, respectively, including startup.</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rPr>
        <w:t xml:space="preserve">These checks use stored calibration constants and do not regenerate them from trajectories. Zen’s current output agrees with the manuscript’s rounded 21.0% and approximately 1514 veh/h; older code comments report different results. Empirical capacities/QDFs of 1776/1465 veh/h (I-24) and 1920/1507.2 veh/h (Zen) remain recorded reference values, not newly recomputed results.</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Full workflow: </w:t>
      </w:r>
      <w:r>
        <w:rPr>
          <w:rFonts w:ascii="Palatino Linotype" w:hAnsi="Palatino Linotype" w:cs="Palatino Linotype"/>
          <w:sz w:val="24"/>
          <w:szCs w:val="24"/>
        </w:rPr>
        <w:t xml:space="preserve">After supplying trajectories and a compatible environment, run preprocessing from each case root and macro scripts from its Macro_calib folder: breakdown_idenfication.py; empirical_capacity_drop.py; fd_data.py; fd_fit.py; correlation_length.py; disturb_propagation.py; theory_capacity_drop.py. The latter uses stored constants rather than reading new calibration outputs.</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rPr>
        <w:t xml:space="preserve">Enable the commented correlation-generation call before its first run (max_n 35 for I-24; 40 for Zen), and provide the intended Zen funcs_for_correlation module. For I-24 microscopic regression, set unit_flag = 1 in mle_for_lambda.py to generate the _m.txt file consumed by lambda_spacing_regression.py. These configuration-dependent workflows are documented but have not been fully rerun. Retain original inputs because generated files may be overwritten.</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Simulation software description: </w:t>
      </w:r>
      <w:r>
        <w:rPr>
          <w:rFonts w:ascii="Palatino Linotype" w:hAnsi="Palatino Linotype" w:cs="Palatino Linotype"/>
          <w:sz w:val="24"/>
          <w:szCs w:val="24"/>
        </w:rPr>
        <w:t xml:space="preserve">The inspected package uses Python analytical calculations and observational trajectory analyses. It contains no standalone traffic-simulator project or scenario files. Additional simulation materials should be supplied if they are part of the final manuscript.</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Experiment design description: </w:t>
      </w:r>
      <w:r>
        <w:rPr>
          <w:rFonts w:ascii="Palatino Linotype" w:hAnsi="Palatino Linotype" w:cs="Palatino Linotype"/>
          <w:sz w:val="24"/>
          <w:szCs w:val="24"/>
        </w:rPr>
        <w:t xml:space="preserve">The empirical validation uses two existing freeway trajectory datasets. Selected lanes and road segments are analysed to identify traffic states and capacity/QDF, calibrate model parameters, quantify correlation length and evaluate disturbance propagation. No survey or newly conducted controlled experiment is described by the inspected scripts. Exact source-file identifiers and filtering settings must accompany the final package.</w:t>
      </w:r>
    </w:p>
    <w:p w:rsidR="00C97B3A" w:rsidRDefault="005B478F">
      <w:pPr>
        <w:jc w:val="both"/>
        <w:rPr>
          <w:rFonts w:ascii="Palatino Linotype" w:hAnsi="Palatino Linotype" w:cs="Palatino Linotype"/>
          <w:bCs/>
          <w:sz w:val="24"/>
          <w:szCs w:val="24"/>
        </w:rPr>
        <w:widowControl/>
        <w:keepLines/>
      </w:pPr>
      <w:r>
        <w:rPr>
          <w:rFonts w:ascii="Palatino Linotype" w:hAnsi="Palatino Linotype" w:cs="Palatino Linotype"/>
          <w:sz w:val="24"/>
          <w:szCs w:val="24"/>
          <w:b/>
          <w:bCs/>
        </w:rPr>
        <w:t xml:space="preserve">Others: </w:t>
      </w:r>
      <w:r>
        <w:rPr>
          <w:rFonts w:ascii="Palatino Linotype" w:hAnsi="Palatino Linotype" w:cs="Palatino Linotype"/>
          <w:sz w:val="24"/>
          <w:szCs w:val="24"/>
        </w:rPr>
        <w:t xml:space="preserve">README.md maps the scripts to Zen Figs. 7–9 and Tables 3–4, and I-24 Figs. 11–13 and Tables 5–6. Full sensitivity-analysis workflows for Figs. 14–16, illustration/site sources and any retained supplementary revision analyses also need to be included or explicitly located.</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Funding: </w:t>
      </w:r>
      <w:r>
        <w:rPr>
          <w:rFonts w:ascii="Palatino Linotype" w:hAnsi="Palatino Linotype" w:cs="Palatino Linotype"/>
          <w:sz w:val="24"/>
          <w:szCs w:val="24"/>
        </w:rPr>
        <w:t xml:space="preserve">The R3 manuscript acknowledges the National Natural Science Foundation of China (52602554, 52125208, 52402374, T2588101); the Fundamental Research Funds for the Central Universities; the Fundamental and Interdisciplinary Disciplines Breakthrough Plan of the Ministry of Education of China (JYB2025XDXM123); and the National Engineering Research Center of Road Safety Control Technology (2025GCZXKFKT19A). Confirm which awards supported creation of the deposited resource.</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Before submission: </w:t>
      </w:r>
      <w:r>
        <w:rPr>
          <w:rFonts w:ascii="Palatino Linotype" w:hAnsi="Palatino Linotype" w:cs="Palatino Linotype"/>
          <w:sz w:val="24"/>
          <w:szCs w:val="24"/>
        </w:rPr>
        <w:t xml:space="preserve">Complete creator/contact metadata, data provenance and licences; supply missing inputs and Zen code; reconcile subset/filter and parameter versions; validate a pinned full environment and clean run; include figure/table source outputs and logs; and replace the pending DOI after deposit. The outstanding items are detailed in README.md.</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Packaging and journal submission: </w:t>
      </w:r>
      <w:r>
        <w:rPr>
          <w:rFonts w:ascii="Palatino Linotype" w:hAnsi="Palatino Linotype" w:cs="Palatino Linotype"/>
          <w:sz w:val="24"/>
          <w:szCs w:val="24"/>
        </w:rPr>
        <w:t xml:space="preserve">Following the ETS-DATA guide, place the actual data, code, README and explanatory file in one English, password-free ZIP of no more than 3 GB. Complete the ethical-data and rights checks requested by the guide. Submit this explanatory file with the manuscript as the template directs. Add the assigned DOI under “Replication and Data Sharing” immediately after Conclusions, as requested in the decision email.</w:t>
      </w:r>
    </w:p>
    <w:p w:rsidR="00C97B3A" w:rsidRDefault="005B478F">
      <w:pPr>
        <w:jc w:val="both"/>
        <w:rPr>
          <w:rFonts w:ascii="Palatino Linotype" w:hAnsi="Palatino Linotype" w:cs="Palatino Linotype"/>
          <w:sz w:val="24"/>
          <w:szCs w:val="24"/>
        </w:rPr>
        <w:widowControl/>
        <w:keepLines/>
      </w:pPr>
      <w:r>
        <w:rPr>
          <w:rFonts w:ascii="Palatino Linotype" w:hAnsi="Palatino Linotype" w:cs="Palatino Linotype"/>
          <w:sz w:val="24"/>
          <w:szCs w:val="24"/>
          <w:b/>
          <w:bCs/>
        </w:rPr>
        <w:t xml:space="preserve">Guidance: </w:t>
      </w:r>
      <w:hyperlink r:id="rIdReplication2">
        <w:r>
          <w:rPr>
            <w:rFonts w:ascii="Palatino Linotype" w:hAnsi="Palatino Linotype" w:cs="Palatino Linotype"/>
            <w:sz w:val="24"/>
            <w:szCs w:val="24"/>
            <w:u w:val="single"/>
          </w:rPr>
          <w:t xml:space="preserve">ETS-DATA Guide for Authors</w:t>
        </w:r>
      </w:hyperlink>
      <w:bookmarkEnd w:id="0"/>
    </w:p>
    <w:sectPr w:rsidR="00C97B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4B3A3" w14:textId="77777777" w:rsidR="001B2C6B" w:rsidRDefault="001B2C6B">
      <w:r>
        <w:separator/>
      </w:r>
    </w:p>
  </w:endnote>
  <w:endnote w:type="continuationSeparator" w:id="0">
    <w:p w14:paraId="47ED06C3" w14:textId="77777777" w:rsidR="001B2C6B" w:rsidRDefault="001B2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default"/>
    <w:sig w:usb0="E4002EFF" w:usb1="C000E47F" w:usb2="00000009" w:usb3="00000000" w:csb0="200001FF" w:csb1="00000000"/>
  </w:font>
  <w:font w:name="Palatino Linotype">
    <w:panose1 w:val="02040502050505030304"/>
    <w:charset w:val="00"/>
    <w:family w:val="roman"/>
    <w:pitch w:val="variable"/>
    <w:sig w:usb0="E0000287" w:usb1="4000001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6C226" w14:textId="77777777" w:rsidR="001B2C6B" w:rsidRDefault="001B2C6B">
      <w:pPr>
        <w:spacing w:after="0"/>
      </w:pPr>
      <w:r>
        <w:separator/>
      </w:r>
    </w:p>
  </w:footnote>
  <w:footnote w:type="continuationSeparator" w:id="0">
    <w:p w14:paraId="116CCE98" w14:textId="77777777" w:rsidR="001B2C6B" w:rsidRDefault="001B2C6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cwNzUzMjAwNjA0NTFQ0lEKTi0uzszPAykwqgUArvTuQSwAAAA="/>
  </w:docVars>
  <w:rsids>
    <w:rsidRoot w:val="00A73921"/>
    <w:rsid w:val="000043E8"/>
    <w:rsid w:val="000B7711"/>
    <w:rsid w:val="000D3C0C"/>
    <w:rsid w:val="00117B4B"/>
    <w:rsid w:val="00156E9C"/>
    <w:rsid w:val="001B2C6B"/>
    <w:rsid w:val="001B7005"/>
    <w:rsid w:val="00234B24"/>
    <w:rsid w:val="00243A1B"/>
    <w:rsid w:val="0025719E"/>
    <w:rsid w:val="002E70B2"/>
    <w:rsid w:val="00371B87"/>
    <w:rsid w:val="003807B7"/>
    <w:rsid w:val="003B5272"/>
    <w:rsid w:val="0041185F"/>
    <w:rsid w:val="004A78E1"/>
    <w:rsid w:val="004C1483"/>
    <w:rsid w:val="004C19C5"/>
    <w:rsid w:val="00567123"/>
    <w:rsid w:val="005B478F"/>
    <w:rsid w:val="005D4686"/>
    <w:rsid w:val="00605E94"/>
    <w:rsid w:val="00627591"/>
    <w:rsid w:val="0064624D"/>
    <w:rsid w:val="00646640"/>
    <w:rsid w:val="00651D4A"/>
    <w:rsid w:val="006833BB"/>
    <w:rsid w:val="006B358B"/>
    <w:rsid w:val="006C1390"/>
    <w:rsid w:val="00713994"/>
    <w:rsid w:val="00713A4F"/>
    <w:rsid w:val="00721512"/>
    <w:rsid w:val="00736E2C"/>
    <w:rsid w:val="00743143"/>
    <w:rsid w:val="00752624"/>
    <w:rsid w:val="007B6D79"/>
    <w:rsid w:val="007C42E2"/>
    <w:rsid w:val="007E33E8"/>
    <w:rsid w:val="007F6CB4"/>
    <w:rsid w:val="0088412D"/>
    <w:rsid w:val="008A173F"/>
    <w:rsid w:val="008F3A9C"/>
    <w:rsid w:val="00932253"/>
    <w:rsid w:val="00984D0F"/>
    <w:rsid w:val="00997FCF"/>
    <w:rsid w:val="009B4F0A"/>
    <w:rsid w:val="009E0E0C"/>
    <w:rsid w:val="009E5194"/>
    <w:rsid w:val="00A42DC3"/>
    <w:rsid w:val="00A73921"/>
    <w:rsid w:val="00AA1770"/>
    <w:rsid w:val="00B00151"/>
    <w:rsid w:val="00B26358"/>
    <w:rsid w:val="00B860C2"/>
    <w:rsid w:val="00C454AF"/>
    <w:rsid w:val="00C62C4B"/>
    <w:rsid w:val="00C960CA"/>
    <w:rsid w:val="00C97B3A"/>
    <w:rsid w:val="00D21CC3"/>
    <w:rsid w:val="00D97F2A"/>
    <w:rsid w:val="00E24552"/>
    <w:rsid w:val="00E72DA5"/>
    <w:rsid w:val="00E87395"/>
    <w:rsid w:val="00E95BF6"/>
    <w:rsid w:val="00EA73B0"/>
    <w:rsid w:val="00EB6554"/>
    <w:rsid w:val="00EE475D"/>
    <w:rsid w:val="00F158BF"/>
    <w:rsid w:val="00F1677D"/>
    <w:rsid w:val="00F37714"/>
    <w:rsid w:val="3CF079E6"/>
    <w:rsid w:val="48743127"/>
    <w:rsid w:val="59B87F8D"/>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00E9"/>
  <w15:docId w15:val="{7458BC60-E340-4BFB-B102-28C966EF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pPr>
    <w:rPr>
      <w:rFonts w:ascii="Arial" w:hAnsi="Arial"/>
      <w:sz w:val="22"/>
      <w:szCs w:val="22"/>
    </w:rPr>
  </w:style>
  <w:style w:type="paragraph" w:styleId="1">
    <w:name w:val="heading 1"/>
    <w:basedOn w:val="a"/>
    <w:next w:val="a"/>
    <w:link w:val="10"/>
    <w:uiPriority w:val="9"/>
    <w:qFormat/>
    <w:pPr>
      <w:keepNext/>
      <w:keepLines/>
      <w:spacing w:before="240" w:after="240"/>
      <w:outlineLvl w:val="0"/>
    </w:pPr>
    <w:rPr>
      <w:rFonts w:eastAsiaTheme="majorEastAsia" w:cstheme="majorBidi"/>
      <w:b/>
      <w:sz w:val="24"/>
      <w:szCs w:val="32"/>
    </w:rPr>
  </w:style>
  <w:style w:type="paragraph" w:styleId="2">
    <w:name w:val="heading 2"/>
    <w:basedOn w:val="a"/>
    <w:next w:val="a"/>
    <w:link w:val="20"/>
    <w:uiPriority w:val="9"/>
    <w:unhideWhenUsed/>
    <w:qFormat/>
    <w:pPr>
      <w:keepNext/>
      <w:keepLines/>
      <w:spacing w:before="120" w:after="24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pPr>
    <w:rPr>
      <w:rFonts w:ascii="Segoe UI" w:hAnsi="Segoe UI" w:cs="Segoe UI"/>
      <w:sz w:val="18"/>
      <w:szCs w:val="18"/>
    </w:rPr>
  </w:style>
  <w:style w:type="table" w:styleId="a5">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Pr>
      <w:rFonts w:ascii="Arial" w:hAnsi="Arial"/>
      <w:b/>
      <w:bCs/>
      <w:sz w:val="22"/>
    </w:rPr>
  </w:style>
  <w:style w:type="character" w:styleId="a7">
    <w:name w:val="Hyperlink"/>
    <w:basedOn w:val="a0"/>
    <w:uiPriority w:val="99"/>
    <w:semiHidden/>
    <w:unhideWhenUsed/>
    <w:rPr>
      <w:color w:val="0000FF"/>
      <w:u w:val="single"/>
    </w:rPr>
  </w:style>
  <w:style w:type="character" w:customStyle="1" w:styleId="a4">
    <w:name w:val="批注框文本 字符"/>
    <w:basedOn w:val="a0"/>
    <w:link w:val="a3"/>
    <w:uiPriority w:val="99"/>
    <w:semiHidden/>
    <w:rPr>
      <w:rFonts w:ascii="Segoe UI" w:hAnsi="Segoe UI" w:cs="Segoe UI"/>
      <w:sz w:val="18"/>
      <w:szCs w:val="18"/>
    </w:rPr>
  </w:style>
  <w:style w:type="paragraph" w:styleId="a8">
    <w:name w:val="No Spacing"/>
    <w:uiPriority w:val="1"/>
    <w:qFormat/>
    <w:rPr>
      <w:sz w:val="22"/>
      <w:szCs w:val="22"/>
    </w:rPr>
  </w:style>
  <w:style w:type="paragraph" w:styleId="a9">
    <w:name w:val="List Paragraph"/>
    <w:basedOn w:val="a"/>
    <w:uiPriority w:val="34"/>
    <w:qFormat/>
    <w:pPr>
      <w:ind w:left="720"/>
      <w:contextualSpacing/>
    </w:pPr>
  </w:style>
  <w:style w:type="character" w:customStyle="1" w:styleId="10">
    <w:name w:val="标题 1 字符"/>
    <w:basedOn w:val="a0"/>
    <w:link w:val="1"/>
    <w:uiPriority w:val="9"/>
    <w:qFormat/>
    <w:rPr>
      <w:rFonts w:ascii="Arial" w:eastAsiaTheme="majorEastAsia" w:hAnsi="Arial" w:cstheme="majorBidi"/>
      <w:b/>
      <w:sz w:val="24"/>
      <w:szCs w:val="32"/>
      <w:lang w:val="en-US"/>
    </w:rPr>
  </w:style>
  <w:style w:type="character" w:customStyle="1" w:styleId="20">
    <w:name w:val="标题 2 字符"/>
    <w:basedOn w:val="a0"/>
    <w:link w:val="2"/>
    <w:uiPriority w:val="9"/>
    <w:rPr>
      <w:rFonts w:ascii="Arial" w:eastAsiaTheme="majorEastAsia" w:hAnsi="Arial" w:cstheme="majorBidi"/>
      <w:b/>
      <w:szCs w:val="26"/>
      <w:lang w:val="en-US"/>
    </w:rPr>
  </w:style>
  <w:style w:type="paragraph" w:customStyle="1" w:styleId="Default">
    <w:name w:val="Default"/>
    <w:qFormat/>
    <w:pPr>
      <w:autoSpaceDE w:val="0"/>
      <w:autoSpaceDN w:val="0"/>
      <w:adjustRightInd w:val="0"/>
    </w:pPr>
    <w:rPr>
      <w:rFonts w:ascii="Calibri" w:hAnsi="Calibri" w:cs="Calibri"/>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Replication1" Type="http://schemas.openxmlformats.org/officeDocument/2006/relationships/hyperlink" Target="https://github.com/tjzxh/Capacity-Drop-Modeling-via-Stochastic-Disturbance-Propagation" TargetMode="External"/><Relationship Id="rIdReplication2" Type="http://schemas.openxmlformats.org/officeDocument/2006/relationships/hyperlink" Target="https://ets-data.sciopen.com/guide-for-auth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 Gao</dc:creator>
  <cp:lastModifiedBy>Yolanda Liu</cp:lastModifiedBy>
  <cp:revision>23</cp:revision>
  <dcterms:created xsi:type="dcterms:W3CDTF">2022-01-29T09:41:00Z</dcterms:created>
  <dcterms:modified xsi:type="dcterms:W3CDTF">2025-04-24T03:10:00Z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B430AA19F855460592BF95D12B335A45</vt:lpwstr>
  </property>
</Properties>
</file>