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company’s network services became unresponsive when it was flooded with ICMP packets. The team responded by blocking the incoming ICMP packets and stopping all non-critical network services, and restoring critical network services.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actor(s) launched a DDoS attack by taking advantage of an unconfigured firewall, flooding its network with ICMP pings causing it to become unresponsive. The entire internal network was affected so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implemented the originally unconfigured firewall by limiting the rate of incoming ICMP packets and an IDS/IPS system to filter out some ICMP traffic based on suspicious characteristics.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 team will attempt to restore any critical systems and services that were disrupted by the event. The team will then analyze network logs to look for suspicious and abnormal activity and finally report all incidents to upper management and appropriate authorities.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 DDoS 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 </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