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20" w:after="760"/>
        <w:jc w:val="center"/>
      </w:pPr>
      <w:r>
        <w:drawing>
          <wp:inline xmlns:a="http://schemas.openxmlformats.org/drawingml/2006/main" xmlns:pic="http://schemas.openxmlformats.org/drawingml/2006/picture">
            <wp:extent cx="1920240" cy="853440"/>
            <wp:docPr id="1" name="Picture 1" descr="Living Bliss — Awakening Inner Bliss"/>
            <wp:cNvGraphicFramePr>
              <a:graphicFrameLocks noChangeAspect="1"/>
            </wp:cNvGraphicFramePr>
            <a:graphic>
              <a:graphicData uri="http://schemas.openxmlformats.org/drawingml/2006/picture">
                <pic:pic>
                  <pic:nvPicPr>
                    <pic:cNvPr id="0" name="living-bliss-logo-2026.png"/>
                    <pic:cNvPicPr/>
                  </pic:nvPicPr>
                  <pic:blipFill>
                    <a:blip r:embed="rId11"/>
                    <a:stretch>
                      <a:fillRect/>
                    </a:stretch>
                  </pic:blipFill>
                  <pic:spPr>
                    <a:xfrm>
                      <a:off x="0" y="0"/>
                      <a:ext cx="1920240" cy="853440"/>
                    </a:xfrm>
                    <a:prstGeom prst="rect"/>
                  </pic:spPr>
                </pic:pic>
              </a:graphicData>
            </a:graphic>
          </wp:inline>
        </w:drawing>
      </w:r>
    </w:p>
    <w:p>
      <w:pPr>
        <w:jc w:val="center"/>
      </w:pPr>
      <w:r>
        <w:rPr>
          <w:rFonts w:ascii="Aptos" w:hAnsi="Aptos"/>
          <w:b/>
          <w:i w:val="0"/>
          <w:color w:val="D9832E"/>
          <w:sz w:val="18"/>
        </w:rPr>
        <w:t>PRODUCT DESIGN &amp; DELIVERY BLUEPRINT</w:t>
      </w:r>
    </w:p>
    <w:p>
      <w:pPr>
        <w:pStyle w:val="Title"/>
        <w:jc w:val="center"/>
      </w:pPr>
      <w:r>
        <w:rPr>
          <w:rFonts w:ascii="Aptos Display" w:hAnsi="Aptos Display"/>
          <w:b/>
          <w:i w:val="0"/>
          <w:color w:val="18264F"/>
          <w:sz w:val="58"/>
        </w:rPr>
        <w:t>Bhagavad Gita</w:t>
        <w:br/>
        <w:t>Learning Platform</w:t>
      </w:r>
    </w:p>
    <w:p>
      <w:pPr>
        <w:pStyle w:val="Subtitle"/>
        <w:jc w:val="center"/>
      </w:pPr>
      <w:r>
        <w:rPr>
          <w:rFonts w:ascii="Aptos" w:hAnsi="Aptos"/>
          <w:b w:val="0"/>
          <w:i w:val="0"/>
          <w:color w:val="6D7282"/>
          <w:sz w:val="28"/>
        </w:rPr>
        <w:t>A configurable web and mobile product for spiritual organisations, schools, governments and learners worldwide</w:t>
      </w:r>
    </w:p>
    <w:p>
      <w:pPr>
        <w:jc w:val="center"/>
        <w:pBdr>
          <w:bottom w:val="single" w:sz="18" w:space="8" w:color="D9832E"/>
        </w:pBdr>
      </w:pPr>
    </w:p>
    <w:p>
      <w:pPr>
        <w:spacing w:before="0" w:after="480"/>
        <w:jc w:val="center"/>
      </w:pPr>
      <w:r>
        <w:rPr>
          <w:rFonts w:ascii="Aptos" w:hAnsi="Aptos"/>
          <w:b w:val="0"/>
          <w:i w:val="0"/>
          <w:color w:val="17213A"/>
          <w:sz w:val="21"/>
        </w:rPr>
        <w:t>From the Living Bliss Digital Library prototype to a trusted, multi-organisation learning ecosystem.</w:t>
      </w:r>
    </w:p>
    <w:tbl>
      <w:tblPr>
        <w:tblW w:type="dxa" w:w="9360"/>
        <w:jc w:val="left"/>
        <w:tblLayout w:type="fixed"/>
        <w:tblLook w:firstColumn="1" w:firstRow="1" w:lastColumn="0" w:lastRow="0" w:noHBand="0" w:noVBand="1" w:val="04A0"/>
        <w:tblInd w:w="120" w:type="dxa"/>
        <w:tblBorders>
          <w:top w:val="single" w:sz="6" w:space="0" w:color="DDD3C1"/>
          <w:left w:val="single" w:sz="6" w:space="0" w:color="DDD3C1"/>
          <w:bottom w:val="single" w:sz="6" w:space="0" w:color="DDD3C1"/>
          <w:right w:val="single" w:sz="6" w:space="0" w:color="DDD3C1"/>
          <w:insideH w:val="single" w:sz="6" w:space="0" w:color="DDD3C1"/>
          <w:insideV w:val="single" w:sz="6" w:space="0" w:color="DDD3C1"/>
        </w:tblBorders>
      </w:tblPr>
      <w:tblGrid>
        <w:gridCol w:w="2200"/>
        <w:gridCol w:w="1200"/>
        <w:gridCol w:w="1800"/>
        <w:gridCol w:w="4160"/>
      </w:tblGrid>
      <w:tr>
        <w:trPr>
          <w:tblHeader w:val="true"/>
        </w:trPr>
        <w:tc>
          <w:tcPr>
            <w:tcW w:type="dxa" w:w="2200"/>
            <w:tcMar>
              <w:top w:w="100" w:type="dxa"/>
              <w:start w:w="120" w:type="dxa"/>
              <w:bottom w:w="100" w:type="dxa"/>
              <w:end w:w="120" w:type="dxa"/>
            </w:tcMar>
            <w:shd w:fill="18264F"/>
            <w:vAlign w:val="center"/>
          </w:tcPr>
          <w:p>
            <w:pPr>
              <w:spacing w:after="0"/>
            </w:pPr>
            <w:r>
              <w:rPr>
                <w:rFonts w:ascii="Aptos" w:hAnsi="Aptos"/>
                <w:b/>
                <w:i w:val="0"/>
                <w:color w:val="FFFFFF"/>
                <w:sz w:val="18"/>
              </w:rPr>
              <w:t>Document</w:t>
            </w:r>
          </w:p>
        </w:tc>
        <w:tc>
          <w:tcPr>
            <w:tcW w:type="dxa" w:w="1200"/>
            <w:tcMar>
              <w:top w:w="100" w:type="dxa"/>
              <w:start w:w="120" w:type="dxa"/>
              <w:bottom w:w="100" w:type="dxa"/>
              <w:end w:w="120" w:type="dxa"/>
            </w:tcMar>
            <w:shd w:fill="18264F"/>
            <w:vAlign w:val="center"/>
          </w:tcPr>
          <w:p>
            <w:pPr>
              <w:spacing w:after="0"/>
            </w:pPr>
            <w:r>
              <w:rPr>
                <w:rFonts w:ascii="Aptos" w:hAnsi="Aptos"/>
                <w:b/>
                <w:i w:val="0"/>
                <w:color w:val="FFFFFF"/>
                <w:sz w:val="18"/>
              </w:rPr>
              <w:t>Version</w:t>
            </w:r>
          </w:p>
        </w:tc>
        <w:tc>
          <w:tcPr>
            <w:tcW w:type="dxa" w:w="1800"/>
            <w:tcMar>
              <w:top w:w="100" w:type="dxa"/>
              <w:start w:w="120" w:type="dxa"/>
              <w:bottom w:w="100" w:type="dxa"/>
              <w:end w:w="120" w:type="dxa"/>
            </w:tcMar>
            <w:shd w:fill="18264F"/>
            <w:vAlign w:val="center"/>
          </w:tcPr>
          <w:p>
            <w:pPr>
              <w:spacing w:after="0"/>
            </w:pPr>
            <w:r>
              <w:rPr>
                <w:rFonts w:ascii="Aptos" w:hAnsi="Aptos"/>
                <w:b/>
                <w:i w:val="0"/>
                <w:color w:val="FFFFFF"/>
                <w:sz w:val="18"/>
              </w:rPr>
              <w:t>Date</w:t>
            </w:r>
          </w:p>
        </w:tc>
        <w:tc>
          <w:tcPr>
            <w:tcW w:type="dxa" w:w="4160"/>
            <w:tcMar>
              <w:top w:w="100" w:type="dxa"/>
              <w:start w:w="120" w:type="dxa"/>
              <w:bottom w:w="100" w:type="dxa"/>
              <w:end w:w="120" w:type="dxa"/>
            </w:tcMar>
            <w:shd w:fill="18264F"/>
            <w:vAlign w:val="center"/>
          </w:tcPr>
          <w:p>
            <w:pPr>
              <w:spacing w:after="0"/>
            </w:pPr>
            <w:r>
              <w:rPr>
                <w:rFonts w:ascii="Aptos" w:hAnsi="Aptos"/>
                <w:b/>
                <w:i w:val="0"/>
                <w:color w:val="FFFFFF"/>
                <w:sz w:val="18"/>
              </w:rPr>
              <w:t>Primary audience</w:t>
            </w:r>
          </w:p>
        </w:tc>
      </w:tr>
      <w:tr>
        <w:tc>
          <w:tcPr>
            <w:tcW w:type="dxa" w:w="2200"/>
            <w:vAlign w:val="center"/>
          </w:tcPr>
          <w:p>
            <w:pPr>
              <w:spacing w:after="0" w:line="252" w:lineRule="auto"/>
            </w:pPr>
            <w:r>
              <w:rPr>
                <w:rFonts w:ascii="Aptos" w:hAnsi="Aptos"/>
                <w:b w:val="0"/>
                <w:i w:val="0"/>
                <w:color w:val="17213A"/>
                <w:sz w:val="17"/>
              </w:rPr>
              <w:t>Product design specification</w:t>
            </w:r>
          </w:p>
        </w:tc>
        <w:tc>
          <w:tcPr>
            <w:tcW w:type="dxa" w:w="1200"/>
            <w:vAlign w:val="center"/>
          </w:tcPr>
          <w:p>
            <w:pPr>
              <w:spacing w:after="0" w:line="252" w:lineRule="auto"/>
            </w:pPr>
            <w:r>
              <w:rPr>
                <w:rFonts w:ascii="Aptos" w:hAnsi="Aptos"/>
                <w:b w:val="0"/>
                <w:i w:val="0"/>
                <w:color w:val="17213A"/>
                <w:sz w:val="17"/>
              </w:rPr>
              <w:t>1.0</w:t>
            </w:r>
          </w:p>
        </w:tc>
        <w:tc>
          <w:tcPr>
            <w:tcW w:type="dxa" w:w="1800"/>
            <w:vAlign w:val="center"/>
          </w:tcPr>
          <w:p>
            <w:pPr>
              <w:spacing w:after="0" w:line="252" w:lineRule="auto"/>
            </w:pPr>
            <w:r>
              <w:rPr>
                <w:rFonts w:ascii="Aptos" w:hAnsi="Aptos"/>
                <w:b w:val="0"/>
                <w:i w:val="0"/>
                <w:color w:val="17213A"/>
                <w:sz w:val="17"/>
              </w:rPr>
              <w:t>31 August 2026</w:t>
            </w:r>
          </w:p>
        </w:tc>
        <w:tc>
          <w:tcPr>
            <w:tcW w:type="dxa" w:w="4160"/>
            <w:vAlign w:val="center"/>
          </w:tcPr>
          <w:p>
            <w:pPr>
              <w:spacing w:after="0" w:line="252" w:lineRule="auto"/>
            </w:pPr>
            <w:r>
              <w:rPr>
                <w:rFonts w:ascii="Aptos" w:hAnsi="Aptos"/>
                <w:b w:val="0"/>
                <w:i w:val="0"/>
                <w:color w:val="17213A"/>
                <w:sz w:val="17"/>
              </w:rPr>
              <w:t>Selected development organisation and programme stakeholders</w:t>
            </w:r>
          </w:p>
        </w:tc>
      </w:tr>
    </w:tbl>
    <w:p>
      <w:pPr>
        <w:spacing w:after="20"/>
      </w:pPr>
    </w:p>
    <w:p>
      <w:pPr>
        <w:spacing w:before="0" w:after="40"/>
        <w:jc w:val="center"/>
      </w:pPr>
      <w:r>
        <w:rPr>
          <w:rFonts w:ascii="Aptos" w:hAnsi="Aptos"/>
          <w:b w:val="0"/>
          <w:i w:val="0"/>
          <w:color w:val="17213A"/>
          <w:sz w:val="21"/>
        </w:rPr>
        <w:t>Prepared for Living Bliss</w:t>
      </w:r>
    </w:p>
    <w:p>
      <w:pPr>
        <w:spacing w:before="0" w:after="0"/>
        <w:jc w:val="center"/>
      </w:pPr>
      <w:r>
        <w:rPr>
          <w:rFonts w:ascii="Aptos" w:hAnsi="Aptos"/>
          <w:b w:val="0"/>
          <w:i w:val="0"/>
          <w:color w:val="17213A"/>
          <w:sz w:val="21"/>
        </w:rPr>
        <w:t>Status: Vendor briefing and discovery baseline</w:t>
      </w: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1"/>
      </w:pPr>
      <w:r>
        <w:t>Document control and use</w:t>
      </w:r>
    </w:p>
    <w:tbl>
      <w:tblPr>
        <w:tblW w:type="dxa" w:w="9360"/>
        <w:jc w:val="left"/>
        <w:tblLayout w:type="fixed"/>
        <w:tblLook w:firstColumn="1" w:firstRow="1" w:lastColumn="0" w:lastRow="0" w:noHBand="0" w:noVBand="1" w:val="04A0"/>
        <w:tblInd w:w="120" w:type="dxa"/>
        <w:tblBorders>
          <w:top w:val="single" w:sz="10" w:space="0" w:color="18264F"/>
          <w:left w:val="single" w:sz="10" w:space="0" w:color="18264F"/>
          <w:bottom w:val="single" w:sz="10" w:space="0" w:color="18264F"/>
          <w:right w:val="single" w:sz="10" w:space="0" w:color="18264F"/>
          <w:insideH w:val="single" w:sz="10" w:space="0" w:color="18264F"/>
          <w:insideV w:val="single" w:sz="10" w:space="0" w:color="18264F"/>
        </w:tblBorders>
      </w:tblPr>
      <w:tblGrid>
        <w:gridCol w:w="9360"/>
      </w:tblGrid>
      <w:tr>
        <w:trPr>
          <w:tblHeader/>
        </w:trPr>
        <w:tc>
          <w:tcPr>
            <w:tcW w:type="dxa" w:w="9360"/>
            <w:tcMar>
              <w:top w:w="100" w:type="dxa"/>
              <w:start w:w="120" w:type="dxa"/>
              <w:bottom w:w="100" w:type="dxa"/>
              <w:end w:w="120" w:type="dxa"/>
            </w:tcMar>
            <w:shd w:fill="EDF1F8"/>
            <w:vAlign w:val="center"/>
          </w:tcPr>
          <w:p>
            <w:pPr>
              <w:spacing w:after="0" w:line="269" w:lineRule="auto"/>
            </w:pPr>
            <w:r>
              <w:rPr>
                <w:rFonts w:ascii="Aptos" w:hAnsi="Aptos"/>
                <w:b/>
                <w:i w:val="0"/>
                <w:color w:val="18264F"/>
                <w:sz w:val="18"/>
              </w:rPr>
              <w:t xml:space="preserve">PURPOSE: </w:t>
            </w:r>
            <w:r>
              <w:rPr>
                <w:rFonts w:ascii="Aptos" w:hAnsi="Aptos"/>
                <w:b w:val="0"/>
                <w:i w:val="0"/>
                <w:color w:val="17213A"/>
                <w:sz w:val="20"/>
              </w:rPr>
              <w:t>This document defines the product vision, experience, functional scope, platform model, content governance, technical direction and delivery plan required to convert the current prototype into a production-grade Bhagavad Gita learning product for web and mobile.</w:t>
            </w:r>
          </w:p>
        </w:tc>
      </w:tr>
    </w:tbl>
    <w:p>
      <w:pPr>
        <w:spacing w:after="40"/>
      </w:pPr>
    </w:p>
    <w:tbl>
      <w:tblPr>
        <w:tblW w:type="dxa" w:w="9360"/>
        <w:jc w:val="left"/>
        <w:tblLayout w:type="fixed"/>
        <w:tblLook w:firstColumn="1" w:firstRow="1" w:lastColumn="0" w:lastRow="0" w:noHBand="0" w:noVBand="1" w:val="04A0"/>
        <w:tblInd w:w="120" w:type="dxa"/>
        <w:tblBorders>
          <w:top w:val="single" w:sz="6" w:space="0" w:color="DDD3C1"/>
          <w:left w:val="single" w:sz="6" w:space="0" w:color="DDD3C1"/>
          <w:bottom w:val="single" w:sz="6" w:space="0" w:color="DDD3C1"/>
          <w:right w:val="single" w:sz="6" w:space="0" w:color="DDD3C1"/>
          <w:insideH w:val="single" w:sz="6" w:space="0" w:color="DDD3C1"/>
          <w:insideV w:val="single" w:sz="6" w:space="0" w:color="DDD3C1"/>
        </w:tblBorders>
      </w:tblPr>
      <w:tblGrid>
        <w:gridCol w:w="1900"/>
        <w:gridCol w:w="7460"/>
      </w:tblGrid>
      <w:tr>
        <w:trPr>
          <w:tblHeader w:val="true"/>
        </w:trPr>
        <w:tc>
          <w:tcPr>
            <w:tcW w:type="dxa" w:w="1900"/>
            <w:tcMar>
              <w:top w:w="100" w:type="dxa"/>
              <w:start w:w="120" w:type="dxa"/>
              <w:bottom w:w="100" w:type="dxa"/>
              <w:end w:w="120" w:type="dxa"/>
            </w:tcMar>
            <w:shd w:fill="18264F"/>
            <w:vAlign w:val="center"/>
          </w:tcPr>
          <w:p>
            <w:pPr>
              <w:spacing w:after="0"/>
            </w:pPr>
            <w:r>
              <w:rPr>
                <w:rFonts w:ascii="Aptos" w:hAnsi="Aptos"/>
                <w:b/>
                <w:i w:val="0"/>
                <w:color w:val="FFFFFF"/>
                <w:sz w:val="18"/>
              </w:rPr>
              <w:t>Field</w:t>
            </w:r>
          </w:p>
        </w:tc>
        <w:tc>
          <w:tcPr>
            <w:tcW w:type="dxa" w:w="7460"/>
            <w:tcMar>
              <w:top w:w="100" w:type="dxa"/>
              <w:start w:w="120" w:type="dxa"/>
              <w:bottom w:w="100" w:type="dxa"/>
              <w:end w:w="120" w:type="dxa"/>
            </w:tcMar>
            <w:shd w:fill="18264F"/>
            <w:vAlign w:val="center"/>
          </w:tcPr>
          <w:p>
            <w:pPr>
              <w:spacing w:after="0"/>
            </w:pPr>
            <w:r>
              <w:rPr>
                <w:rFonts w:ascii="Aptos" w:hAnsi="Aptos"/>
                <w:b/>
                <w:i w:val="0"/>
                <w:color w:val="FFFFFF"/>
                <w:sz w:val="18"/>
              </w:rPr>
              <w:t>Definition</w:t>
            </w:r>
          </w:p>
        </w:tc>
      </w:tr>
      <w:tr>
        <w:tc>
          <w:tcPr>
            <w:tcW w:type="dxa" w:w="1900"/>
            <w:vAlign w:val="center"/>
          </w:tcPr>
          <w:p>
            <w:pPr>
              <w:spacing w:after="0" w:line="252" w:lineRule="auto"/>
            </w:pPr>
            <w:r>
              <w:rPr>
                <w:rFonts w:ascii="Aptos" w:hAnsi="Aptos"/>
                <w:b w:val="0"/>
                <w:i w:val="0"/>
                <w:color w:val="17213A"/>
                <w:sz w:val="18"/>
              </w:rPr>
              <w:t>Product sponsor</w:t>
            </w:r>
          </w:p>
        </w:tc>
        <w:tc>
          <w:tcPr>
            <w:tcW w:type="dxa" w:w="7460"/>
            <w:vAlign w:val="center"/>
          </w:tcPr>
          <w:p>
            <w:pPr>
              <w:spacing w:after="0" w:line="252" w:lineRule="auto"/>
            </w:pPr>
            <w:r>
              <w:rPr>
                <w:rFonts w:ascii="Aptos" w:hAnsi="Aptos"/>
                <w:b w:val="0"/>
                <w:i w:val="0"/>
                <w:color w:val="17213A"/>
                <w:sz w:val="18"/>
              </w:rPr>
              <w:t>Living Bliss</w:t>
            </w:r>
          </w:p>
        </w:tc>
      </w:tr>
      <w:tr>
        <w:tc>
          <w:tcPr>
            <w:tcW w:type="dxa" w:w="1900"/>
            <w:vAlign w:val="center"/>
            <w:shd w:fill="F8F6F1"/>
          </w:tcPr>
          <w:p>
            <w:pPr>
              <w:spacing w:after="0" w:line="252" w:lineRule="auto"/>
            </w:pPr>
            <w:r>
              <w:rPr>
                <w:rFonts w:ascii="Aptos" w:hAnsi="Aptos"/>
                <w:b w:val="0"/>
                <w:i w:val="0"/>
                <w:color w:val="17213A"/>
                <w:sz w:val="18"/>
              </w:rPr>
              <w:t>Working product name</w:t>
            </w:r>
          </w:p>
        </w:tc>
        <w:tc>
          <w:tcPr>
            <w:tcW w:type="dxa" w:w="7460"/>
            <w:vAlign w:val="center"/>
            <w:shd w:fill="F8F6F1"/>
          </w:tcPr>
          <w:p>
            <w:pPr>
              <w:spacing w:after="0" w:line="252" w:lineRule="auto"/>
            </w:pPr>
            <w:r>
              <w:rPr>
                <w:rFonts w:ascii="Aptos" w:hAnsi="Aptos"/>
                <w:b w:val="0"/>
                <w:i w:val="0"/>
                <w:color w:val="17213A"/>
                <w:sz w:val="18"/>
              </w:rPr>
              <w:t>Living Bliss Bhagavad Gita Learning Platform</w:t>
            </w:r>
          </w:p>
        </w:tc>
      </w:tr>
      <w:tr>
        <w:tc>
          <w:tcPr>
            <w:tcW w:type="dxa" w:w="1900"/>
            <w:vAlign w:val="center"/>
          </w:tcPr>
          <w:p>
            <w:pPr>
              <w:spacing w:after="0" w:line="252" w:lineRule="auto"/>
            </w:pPr>
            <w:r>
              <w:rPr>
                <w:rFonts w:ascii="Aptos" w:hAnsi="Aptos"/>
                <w:b w:val="0"/>
                <w:i w:val="0"/>
                <w:color w:val="17213A"/>
                <w:sz w:val="18"/>
              </w:rPr>
              <w:t>Prototype baseline</w:t>
            </w:r>
          </w:p>
        </w:tc>
        <w:tc>
          <w:tcPr>
            <w:tcW w:type="dxa" w:w="7460"/>
            <w:vAlign w:val="center"/>
          </w:tcPr>
          <w:p>
            <w:pPr>
              <w:spacing w:after="0" w:line="252" w:lineRule="auto"/>
            </w:pPr>
            <w:r>
              <w:rPr>
                <w:rFonts w:ascii="Aptos" w:hAnsi="Aptos"/>
                <w:b w:val="0"/>
                <w:i w:val="0"/>
                <w:color w:val="17213A"/>
                <w:sz w:val="18"/>
              </w:rPr>
              <w:t>library.livingbliss.org and its current source repository</w:t>
            </w:r>
          </w:p>
        </w:tc>
      </w:tr>
      <w:tr>
        <w:tc>
          <w:tcPr>
            <w:tcW w:type="dxa" w:w="1900"/>
            <w:vAlign w:val="center"/>
            <w:shd w:fill="F8F6F1"/>
          </w:tcPr>
          <w:p>
            <w:pPr>
              <w:spacing w:after="0" w:line="252" w:lineRule="auto"/>
            </w:pPr>
            <w:r>
              <w:rPr>
                <w:rFonts w:ascii="Aptos" w:hAnsi="Aptos"/>
                <w:b w:val="0"/>
                <w:i w:val="0"/>
                <w:color w:val="17213A"/>
                <w:sz w:val="18"/>
              </w:rPr>
              <w:t>Initial release</w:t>
            </w:r>
          </w:p>
        </w:tc>
        <w:tc>
          <w:tcPr>
            <w:tcW w:type="dxa" w:w="7460"/>
            <w:vAlign w:val="center"/>
            <w:shd w:fill="F8F6F1"/>
          </w:tcPr>
          <w:p>
            <w:pPr>
              <w:spacing w:after="0" w:line="252" w:lineRule="auto"/>
            </w:pPr>
            <w:r>
              <w:rPr>
                <w:rFonts w:ascii="Aptos" w:hAnsi="Aptos"/>
                <w:b w:val="0"/>
                <w:i w:val="0"/>
                <w:color w:val="17213A"/>
                <w:sz w:val="18"/>
              </w:rPr>
              <w:t>Complete Bhagavad Gita foundations pathway covering all 18 chapters</w:t>
            </w:r>
          </w:p>
        </w:tc>
      </w:tr>
      <w:tr>
        <w:tc>
          <w:tcPr>
            <w:tcW w:type="dxa" w:w="1900"/>
            <w:vAlign w:val="center"/>
          </w:tcPr>
          <w:p>
            <w:pPr>
              <w:spacing w:after="0" w:line="252" w:lineRule="auto"/>
            </w:pPr>
            <w:r>
              <w:rPr>
                <w:rFonts w:ascii="Aptos" w:hAnsi="Aptos"/>
                <w:b w:val="0"/>
                <w:i w:val="0"/>
                <w:color w:val="17213A"/>
                <w:sz w:val="18"/>
              </w:rPr>
              <w:t>Expansion model</w:t>
            </w:r>
          </w:p>
        </w:tc>
        <w:tc>
          <w:tcPr>
            <w:tcW w:type="dxa" w:w="7460"/>
            <w:vAlign w:val="center"/>
          </w:tcPr>
          <w:p>
            <w:pPr>
              <w:spacing w:after="0" w:line="252" w:lineRule="auto"/>
            </w:pPr>
            <w:r>
              <w:rPr>
                <w:rFonts w:ascii="Aptos" w:hAnsi="Aptos"/>
                <w:b w:val="0"/>
                <w:i w:val="0"/>
                <w:color w:val="17213A"/>
                <w:sz w:val="18"/>
              </w:rPr>
              <w:t>White-label / multi-tenant editions for organisations, schools and public programmes</w:t>
            </w:r>
          </w:p>
        </w:tc>
      </w:tr>
      <w:tr>
        <w:tc>
          <w:tcPr>
            <w:tcW w:type="dxa" w:w="1900"/>
            <w:vAlign w:val="center"/>
            <w:shd w:fill="F8F6F1"/>
          </w:tcPr>
          <w:p>
            <w:pPr>
              <w:spacing w:after="0" w:line="252" w:lineRule="auto"/>
            </w:pPr>
            <w:r>
              <w:rPr>
                <w:rFonts w:ascii="Aptos" w:hAnsi="Aptos"/>
                <w:b w:val="0"/>
                <w:i w:val="0"/>
                <w:color w:val="17213A"/>
                <w:sz w:val="18"/>
              </w:rPr>
              <w:t>Decision status</w:t>
            </w:r>
          </w:p>
        </w:tc>
        <w:tc>
          <w:tcPr>
            <w:tcW w:type="dxa" w:w="7460"/>
            <w:vAlign w:val="center"/>
            <w:shd w:fill="F8F6F1"/>
          </w:tcPr>
          <w:p>
            <w:pPr>
              <w:spacing w:after="0" w:line="252" w:lineRule="auto"/>
            </w:pPr>
            <w:r>
              <w:rPr>
                <w:rFonts w:ascii="Aptos" w:hAnsi="Aptos"/>
                <w:b w:val="0"/>
                <w:i w:val="0"/>
                <w:color w:val="17213A"/>
                <w:sz w:val="18"/>
              </w:rPr>
              <w:t>Strategic direction approved in principle; detailed discovery and partner agreements required</w:t>
            </w:r>
          </w:p>
        </w:tc>
      </w:tr>
      <w:tr>
        <w:tc>
          <w:tcPr>
            <w:tcW w:type="dxa" w:w="1900"/>
            <w:vAlign w:val="center"/>
          </w:tcPr>
          <w:p>
            <w:pPr>
              <w:spacing w:after="0" w:line="252" w:lineRule="auto"/>
            </w:pPr>
            <w:r>
              <w:rPr>
                <w:rFonts w:ascii="Aptos" w:hAnsi="Aptos"/>
                <w:b w:val="0"/>
                <w:i w:val="0"/>
                <w:color w:val="17213A"/>
                <w:sz w:val="18"/>
              </w:rPr>
              <w:t>Document owner</w:t>
            </w:r>
          </w:p>
        </w:tc>
        <w:tc>
          <w:tcPr>
            <w:tcW w:type="dxa" w:w="7460"/>
            <w:vAlign w:val="center"/>
          </w:tcPr>
          <w:p>
            <w:pPr>
              <w:spacing w:after="0" w:line="252" w:lineRule="auto"/>
            </w:pPr>
            <w:r>
              <w:rPr>
                <w:rFonts w:ascii="Aptos" w:hAnsi="Aptos"/>
                <w:b w:val="0"/>
                <w:i w:val="0"/>
                <w:color w:val="17213A"/>
                <w:sz w:val="18"/>
              </w:rPr>
              <w:t>Living Bliss product leadership</w:t>
            </w:r>
          </w:p>
        </w:tc>
      </w:tr>
      <w:tr>
        <w:tc>
          <w:tcPr>
            <w:tcW w:type="dxa" w:w="1900"/>
            <w:vAlign w:val="center"/>
            <w:shd w:fill="F8F6F1"/>
          </w:tcPr>
          <w:p>
            <w:pPr>
              <w:spacing w:after="0" w:line="252" w:lineRule="auto"/>
            </w:pPr>
            <w:r>
              <w:rPr>
                <w:rFonts w:ascii="Aptos" w:hAnsi="Aptos"/>
                <w:b w:val="0"/>
                <w:i w:val="0"/>
                <w:color w:val="17213A"/>
                <w:sz w:val="18"/>
              </w:rPr>
              <w:t>Review cycle</w:t>
            </w:r>
          </w:p>
        </w:tc>
        <w:tc>
          <w:tcPr>
            <w:tcW w:type="dxa" w:w="7460"/>
            <w:vAlign w:val="center"/>
            <w:shd w:fill="F8F6F1"/>
          </w:tcPr>
          <w:p>
            <w:pPr>
              <w:spacing w:after="0" w:line="252" w:lineRule="auto"/>
            </w:pPr>
            <w:r>
              <w:rPr>
                <w:rFonts w:ascii="Aptos" w:hAnsi="Aptos"/>
                <w:b w:val="0"/>
                <w:i w:val="0"/>
                <w:color w:val="17213A"/>
                <w:sz w:val="18"/>
              </w:rPr>
              <w:t>Update after discovery, pilot acceptance and each major release</w:t>
            </w:r>
          </w:p>
        </w:tc>
      </w:tr>
    </w:tbl>
    <w:p>
      <w:pPr>
        <w:spacing w:after="20"/>
      </w:pPr>
    </w:p>
    <w:p>
      <w:pPr>
        <w:pStyle w:val="Heading2"/>
      </w:pPr>
      <w:r>
        <w:t>How the development partner should use this document</w:t>
      </w:r>
    </w:p>
    <w:p>
      <w:pPr>
        <w:pStyle w:val="ListBullet"/>
      </w:pPr>
      <w:r>
        <w:rPr>
          <w:rFonts w:ascii="Aptos" w:hAnsi="Aptos"/>
          <w:b w:val="0"/>
          <w:i w:val="0"/>
          <w:color w:val="17213A"/>
          <w:sz w:val="20"/>
        </w:rPr>
        <w:t>Treat the stated outcomes and principles as product constraints, not merely visual preferences.</w:t>
      </w:r>
    </w:p>
    <w:p>
      <w:pPr>
        <w:pStyle w:val="ListBullet"/>
      </w:pPr>
      <w:r>
        <w:rPr>
          <w:rFonts w:ascii="Aptos" w:hAnsi="Aptos"/>
          <w:b w:val="0"/>
          <w:i w:val="0"/>
          <w:color w:val="17213A"/>
          <w:sz w:val="20"/>
        </w:rPr>
        <w:t>Validate assumptions during discovery and return a traceable Product Requirements Document, solution architecture, delivery plan and commercial proposal.</w:t>
      </w:r>
    </w:p>
    <w:p>
      <w:pPr>
        <w:pStyle w:val="ListBullet"/>
      </w:pPr>
      <w:r>
        <w:rPr>
          <w:rFonts w:ascii="Aptos" w:hAnsi="Aptos"/>
          <w:b w:val="0"/>
          <w:i w:val="0"/>
          <w:color w:val="17213A"/>
          <w:sz w:val="20"/>
        </w:rPr>
        <w:t>Identify every requirement proposed for deferral, substitution or third-party dependency.</w:t>
      </w:r>
    </w:p>
    <w:p>
      <w:pPr>
        <w:pStyle w:val="ListBullet"/>
      </w:pPr>
      <w:r>
        <w:rPr>
          <w:rFonts w:ascii="Aptos" w:hAnsi="Aptos"/>
          <w:b w:val="0"/>
          <w:i w:val="0"/>
          <w:color w:val="17213A"/>
          <w:sz w:val="20"/>
        </w:rPr>
        <w:t>Do not ingest or publish any translation, commentary, audio or video until rights and approving authority are recorded.</w:t>
      </w:r>
    </w:p>
    <w:p>
      <w:pPr>
        <w:pStyle w:val="Heading2"/>
      </w:pPr>
      <w:r>
        <w:t>Key assumptions requiring confirmation</w:t>
      </w:r>
    </w:p>
    <w:p>
      <w:pPr>
        <w:pStyle w:val="ListBullet"/>
      </w:pPr>
      <w:r>
        <w:rPr>
          <w:rFonts w:ascii="Aptos" w:hAnsi="Aptos"/>
          <w:b w:val="0"/>
          <w:i w:val="0"/>
          <w:color w:val="17213A"/>
          <w:sz w:val="20"/>
        </w:rPr>
        <w:t>Living Bliss will nominate a product owner and a scholarly/content authority with power to approve releases.</w:t>
      </w:r>
    </w:p>
    <w:p>
      <w:pPr>
        <w:pStyle w:val="ListBullet"/>
      </w:pPr>
      <w:r>
        <w:rPr>
          <w:rFonts w:ascii="Aptos" w:hAnsi="Aptos"/>
          <w:b w:val="0"/>
          <w:i w:val="0"/>
          <w:color w:val="17213A"/>
          <w:sz w:val="20"/>
        </w:rPr>
        <w:t>Each partner organisation will provide or license its authorised translation/commentary, brand assets, policies and approving reviewers.</w:t>
      </w:r>
    </w:p>
    <w:p>
      <w:pPr>
        <w:pStyle w:val="ListBullet"/>
      </w:pPr>
      <w:r>
        <w:rPr>
          <w:rFonts w:ascii="Aptos" w:hAnsi="Aptos"/>
          <w:b w:val="0"/>
          <w:i w:val="0"/>
          <w:color w:val="17213A"/>
          <w:sz w:val="20"/>
        </w:rPr>
        <w:t>The initial build should be future-ready for schools, but no claim is made here that Bhagavad Gita study is currently mandatory in every Indian jurisdiction.</w:t>
      </w:r>
    </w:p>
    <w:p>
      <w:pPr>
        <w:pStyle w:val="ListBullet"/>
      </w:pPr>
      <w:r>
        <w:rPr>
          <w:rFonts w:ascii="Aptos" w:hAnsi="Aptos"/>
          <w:b w:val="0"/>
          <w:i w:val="0"/>
          <w:color w:val="17213A"/>
          <w:sz w:val="20"/>
        </w:rPr>
        <w:t>Production legal, tax, safeguarding and data-protection advice will be obtained for each launch market.</w:t>
      </w:r>
    </w:p>
    <w:p>
      <w:pPr>
        <w:sectPr>
          <w:pgSz w:w="12240" w:h="15840"/>
          <w:pgMar w:top="1440" w:right="1440" w:bottom="1440" w:left="1440" w:header="708" w:footer="708" w:gutter="0"/>
          <w:cols w:space="720"/>
          <w:docGrid w:linePitch="360"/>
        </w:sectPr>
      </w:pPr>
    </w:p>
    <w:p>
      <w:pPr>
        <w:pStyle w:val="Heading1"/>
      </w:pPr>
      <w:r>
        <w:t>Contents</w:t>
      </w:r>
    </w:p>
    <w:p>
      <w:pPr>
        <w:pStyle w:val="ListBullet"/>
      </w:pPr>
      <w:r>
        <w:rPr>
          <w:rFonts w:ascii="Aptos" w:hAnsi="Aptos"/>
          <w:b w:val="0"/>
          <w:i w:val="0"/>
          <w:color w:val="17213A"/>
          <w:sz w:val="20"/>
        </w:rPr>
        <w:t>1. Executive brief</w:t>
      </w:r>
    </w:p>
    <w:p>
      <w:pPr>
        <w:pStyle w:val="ListBullet"/>
      </w:pPr>
      <w:r>
        <w:rPr>
          <w:rFonts w:ascii="Aptos" w:hAnsi="Aptos"/>
          <w:b w:val="0"/>
          <w:i w:val="0"/>
          <w:color w:val="17213A"/>
          <w:sz w:val="20"/>
        </w:rPr>
        <w:t>2. Vision, mission and product principles</w:t>
      </w:r>
    </w:p>
    <w:p>
      <w:pPr>
        <w:pStyle w:val="ListBullet"/>
      </w:pPr>
      <w:r>
        <w:rPr>
          <w:rFonts w:ascii="Aptos" w:hAnsi="Aptos"/>
          <w:b w:val="0"/>
          <w:i w:val="0"/>
          <w:color w:val="17213A"/>
          <w:sz w:val="20"/>
        </w:rPr>
        <w:t>3. Strategy and operating model</w:t>
      </w:r>
    </w:p>
    <w:p>
      <w:pPr>
        <w:pStyle w:val="ListBullet"/>
      </w:pPr>
      <w:r>
        <w:rPr>
          <w:rFonts w:ascii="Aptos" w:hAnsi="Aptos"/>
          <w:b w:val="0"/>
          <w:i w:val="0"/>
          <w:color w:val="17213A"/>
          <w:sz w:val="20"/>
        </w:rPr>
        <w:t>4. Users, roles and jobs to be done</w:t>
      </w:r>
    </w:p>
    <w:p>
      <w:pPr>
        <w:pStyle w:val="ListBullet"/>
      </w:pPr>
      <w:r>
        <w:rPr>
          <w:rFonts w:ascii="Aptos" w:hAnsi="Aptos"/>
          <w:b w:val="0"/>
          <w:i w:val="0"/>
          <w:color w:val="17213A"/>
          <w:sz w:val="20"/>
        </w:rPr>
        <w:t>5. Product scope and release boundaries</w:t>
      </w:r>
    </w:p>
    <w:p>
      <w:pPr>
        <w:pStyle w:val="ListBullet"/>
      </w:pPr>
      <w:r>
        <w:rPr>
          <w:rFonts w:ascii="Aptos" w:hAnsi="Aptos"/>
          <w:b w:val="0"/>
          <w:i w:val="0"/>
          <w:color w:val="17213A"/>
          <w:sz w:val="20"/>
        </w:rPr>
        <w:t>6. Information architecture and navigation</w:t>
      </w:r>
    </w:p>
    <w:p>
      <w:pPr>
        <w:pStyle w:val="ListBullet"/>
      </w:pPr>
      <w:r>
        <w:rPr>
          <w:rFonts w:ascii="Aptos" w:hAnsi="Aptos"/>
          <w:b w:val="0"/>
          <w:i w:val="0"/>
          <w:color w:val="17213A"/>
          <w:sz w:val="20"/>
        </w:rPr>
        <w:t>7. Learning and curriculum design</w:t>
      </w:r>
    </w:p>
    <w:p>
      <w:pPr>
        <w:pStyle w:val="ListBullet"/>
      </w:pPr>
      <w:r>
        <w:rPr>
          <w:rFonts w:ascii="Aptos" w:hAnsi="Aptos"/>
          <w:b w:val="0"/>
          <w:i w:val="0"/>
          <w:color w:val="17213A"/>
          <w:sz w:val="20"/>
        </w:rPr>
        <w:t>8. User interface specification</w:t>
      </w:r>
    </w:p>
    <w:p>
      <w:pPr>
        <w:pStyle w:val="ListBullet"/>
      </w:pPr>
      <w:r>
        <w:rPr>
          <w:rFonts w:ascii="Aptos" w:hAnsi="Aptos"/>
          <w:b w:val="0"/>
          <w:i w:val="0"/>
          <w:color w:val="17213A"/>
          <w:sz w:val="20"/>
        </w:rPr>
        <w:t>9. End-to-end workflows</w:t>
      </w:r>
    </w:p>
    <w:p>
      <w:pPr>
        <w:pStyle w:val="ListBullet"/>
      </w:pPr>
      <w:r>
        <w:rPr>
          <w:rFonts w:ascii="Aptos" w:hAnsi="Aptos"/>
          <w:b w:val="0"/>
          <w:i w:val="0"/>
          <w:color w:val="17213A"/>
          <w:sz w:val="20"/>
        </w:rPr>
        <w:t>10. Multi-organisation and edition architecture</w:t>
      </w:r>
    </w:p>
    <w:p>
      <w:pPr>
        <w:pStyle w:val="ListBullet"/>
      </w:pPr>
      <w:r>
        <w:rPr>
          <w:rFonts w:ascii="Aptos" w:hAnsi="Aptos"/>
          <w:b w:val="0"/>
          <w:i w:val="0"/>
          <w:color w:val="17213A"/>
          <w:sz w:val="20"/>
        </w:rPr>
        <w:t>11. Content, rights and scholarly governance</w:t>
      </w:r>
    </w:p>
    <w:p>
      <w:pPr>
        <w:pStyle w:val="ListBullet"/>
      </w:pPr>
      <w:r>
        <w:rPr>
          <w:rFonts w:ascii="Aptos" w:hAnsi="Aptos"/>
          <w:b w:val="0"/>
          <w:i w:val="0"/>
          <w:color w:val="17213A"/>
          <w:sz w:val="20"/>
        </w:rPr>
        <w:t>12. Functional requirements</w:t>
      </w:r>
    </w:p>
    <w:p>
      <w:pPr>
        <w:pStyle w:val="ListBullet"/>
      </w:pPr>
      <w:r>
        <w:rPr>
          <w:rFonts w:ascii="Aptos" w:hAnsi="Aptos"/>
          <w:b w:val="0"/>
          <w:i w:val="0"/>
          <w:color w:val="17213A"/>
          <w:sz w:val="20"/>
        </w:rPr>
        <w:t>13. School and government edition</w:t>
      </w:r>
    </w:p>
    <w:p>
      <w:pPr>
        <w:pStyle w:val="ListBullet"/>
      </w:pPr>
      <w:r>
        <w:rPr>
          <w:rFonts w:ascii="Aptos" w:hAnsi="Aptos"/>
          <w:b w:val="0"/>
          <w:i w:val="0"/>
          <w:color w:val="17213A"/>
          <w:sz w:val="20"/>
        </w:rPr>
        <w:t>14. Mobile and offline experience</w:t>
      </w:r>
    </w:p>
    <w:p>
      <w:pPr>
        <w:pStyle w:val="ListBullet"/>
      </w:pPr>
      <w:r>
        <w:rPr>
          <w:rFonts w:ascii="Aptos" w:hAnsi="Aptos"/>
          <w:b w:val="0"/>
          <w:i w:val="0"/>
          <w:color w:val="17213A"/>
          <w:sz w:val="20"/>
        </w:rPr>
        <w:t>15. Technical architecture and integrations</w:t>
      </w:r>
    </w:p>
    <w:p>
      <w:pPr>
        <w:pStyle w:val="ListBullet"/>
      </w:pPr>
      <w:r>
        <w:rPr>
          <w:rFonts w:ascii="Aptos" w:hAnsi="Aptos"/>
          <w:b w:val="0"/>
          <w:i w:val="0"/>
          <w:color w:val="17213A"/>
          <w:sz w:val="20"/>
        </w:rPr>
        <w:t>16. Data, privacy, security and safeguarding</w:t>
      </w:r>
    </w:p>
    <w:p>
      <w:pPr>
        <w:pStyle w:val="ListBullet"/>
      </w:pPr>
      <w:r>
        <w:rPr>
          <w:rFonts w:ascii="Aptos" w:hAnsi="Aptos"/>
          <w:b w:val="0"/>
          <w:i w:val="0"/>
          <w:color w:val="17213A"/>
          <w:sz w:val="20"/>
        </w:rPr>
        <w:t>17. Accessibility and localisation</w:t>
      </w:r>
    </w:p>
    <w:p>
      <w:pPr>
        <w:pStyle w:val="ListBullet"/>
      </w:pPr>
      <w:r>
        <w:rPr>
          <w:rFonts w:ascii="Aptos" w:hAnsi="Aptos"/>
          <w:b w:val="0"/>
          <w:i w:val="0"/>
          <w:color w:val="17213A"/>
          <w:sz w:val="20"/>
        </w:rPr>
        <w:t>18. Analytics and success measurement</w:t>
      </w:r>
    </w:p>
    <w:p>
      <w:pPr>
        <w:pStyle w:val="ListBullet"/>
      </w:pPr>
      <w:r>
        <w:rPr>
          <w:rFonts w:ascii="Aptos" w:hAnsi="Aptos"/>
          <w:b w:val="0"/>
          <w:i w:val="0"/>
          <w:color w:val="17213A"/>
          <w:sz w:val="20"/>
        </w:rPr>
        <w:t>19. Delivery roadmap and team</w:t>
      </w:r>
    </w:p>
    <w:p>
      <w:pPr>
        <w:pStyle w:val="ListBullet"/>
      </w:pPr>
      <w:r>
        <w:rPr>
          <w:rFonts w:ascii="Aptos" w:hAnsi="Aptos"/>
          <w:b w:val="0"/>
          <w:i w:val="0"/>
          <w:color w:val="17213A"/>
          <w:sz w:val="20"/>
        </w:rPr>
        <w:t>20. Quality, acceptance and vendor response</w:t>
      </w:r>
    </w:p>
    <w:p>
      <w:pPr>
        <w:pStyle w:val="ListBullet"/>
      </w:pPr>
      <w:r>
        <w:rPr>
          <w:rFonts w:ascii="Aptos" w:hAnsi="Aptos"/>
          <w:b w:val="0"/>
          <w:i w:val="0"/>
          <w:color w:val="17213A"/>
          <w:sz w:val="20"/>
        </w:rPr>
        <w:t>21. Risks and mitigations</w:t>
      </w:r>
    </w:p>
    <w:p>
      <w:pPr>
        <w:pStyle w:val="ListBullet"/>
      </w:pPr>
      <w:r>
        <w:rPr>
          <w:rFonts w:ascii="Aptos" w:hAnsi="Aptos"/>
          <w:b w:val="0"/>
          <w:i w:val="0"/>
          <w:color w:val="17213A"/>
          <w:sz w:val="20"/>
        </w:rPr>
        <w:t>Appendices</w:t>
      </w:r>
    </w:p>
    <w:tbl>
      <w:tblPr>
        <w:tblW w:type="dxa" w:w="9360"/>
        <w:jc w:val="left"/>
        <w:tblLayout w:type="fixed"/>
        <w:tblLook w:firstColumn="1" w:firstRow="1" w:lastColumn="0" w:lastRow="0" w:noHBand="0" w:noVBand="1" w:val="04A0"/>
        <w:tblInd w:w="120" w:type="dxa"/>
        <w:tblBorders>
          <w:top w:val="single" w:sz="10" w:space="0" w:color="B68C3B"/>
          <w:left w:val="single" w:sz="10" w:space="0" w:color="B68C3B"/>
          <w:bottom w:val="single" w:sz="10" w:space="0" w:color="B68C3B"/>
          <w:right w:val="single" w:sz="10" w:space="0" w:color="B68C3B"/>
          <w:insideH w:val="single" w:sz="10" w:space="0" w:color="B68C3B"/>
          <w:insideV w:val="single" w:sz="10" w:space="0" w:color="B68C3B"/>
        </w:tblBorders>
      </w:tblPr>
      <w:tblGrid>
        <w:gridCol w:w="9360"/>
      </w:tblGrid>
      <w:tr>
        <w:trPr>
          <w:tblHeader/>
        </w:trPr>
        <w:tc>
          <w:tcPr>
            <w:tcW w:type="dxa" w:w="9360"/>
            <w:tcMar>
              <w:top w:w="100" w:type="dxa"/>
              <w:start w:w="120" w:type="dxa"/>
              <w:bottom w:w="100" w:type="dxa"/>
              <w:end w:w="120" w:type="dxa"/>
            </w:tcMar>
            <w:shd w:fill="FFF6E7"/>
            <w:vAlign w:val="center"/>
          </w:tcPr>
          <w:p>
            <w:pPr>
              <w:spacing w:after="0" w:line="269" w:lineRule="auto"/>
            </w:pPr>
            <w:r>
              <w:rPr>
                <w:rFonts w:ascii="Aptos" w:hAnsi="Aptos"/>
                <w:b/>
                <w:i w:val="0"/>
                <w:color w:val="B68C3B"/>
                <w:sz w:val="18"/>
              </w:rPr>
              <w:t xml:space="preserve">READING GUIDE: </w:t>
            </w:r>
            <w:r>
              <w:rPr>
                <w:rFonts w:ascii="Aptos" w:hAnsi="Aptos"/>
                <w:b w:val="0"/>
                <w:i w:val="0"/>
                <w:color w:val="17213A"/>
                <w:sz w:val="20"/>
              </w:rPr>
              <w:t>Sections 1–5 establish intent and scope; sections 6–14 define the product and experience; sections 15–18 define production qualities; sections 19–21 define delivery and procurement expectations.</w:t>
            </w:r>
          </w:p>
        </w:tc>
      </w:tr>
    </w:tbl>
    <w:p>
      <w:pPr>
        <w:spacing w:after="40"/>
      </w:pPr>
    </w:p>
    <w:p>
      <w:pPr>
        <w:sectPr>
          <w:pgSz w:w="12240" w:h="15840"/>
          <w:pgMar w:top="1440" w:right="1440" w:bottom="1440" w:left="1440" w:header="708" w:footer="708" w:gutter="0"/>
          <w:cols w:space="720"/>
          <w:docGrid w:linePitch="360"/>
        </w:sectPr>
      </w:pPr>
    </w:p>
    <w:p>
      <w:pPr>
        <w:spacing w:after="100"/>
      </w:pPr>
      <w:r>
        <w:rPr>
          <w:rFonts w:ascii="Aptos" w:hAnsi="Aptos"/>
          <w:b/>
          <w:i w:val="0"/>
          <w:caps/>
          <w:color w:val="D9832E"/>
          <w:sz w:val="16"/>
        </w:rPr>
        <w:t>SECTION 1</w:t>
      </w:r>
    </w:p>
    <w:p>
      <w:pPr>
        <w:pStyle w:val="Heading1"/>
      </w:pPr>
      <w:r>
        <w:t>Executive brief</w:t>
      </w:r>
    </w:p>
    <w:p>
      <w:pPr>
        <w:spacing w:before="0"/>
      </w:pPr>
      <w:r>
        <w:rPr>
          <w:rFonts w:ascii="Aptos" w:hAnsi="Aptos"/>
          <w:b w:val="0"/>
          <w:i w:val="0"/>
          <w:color w:val="17213A"/>
          <w:sz w:val="21"/>
        </w:rPr>
        <w:t>Living Bliss has validated a strong experience direction through the deployed Digital Library prototype: calm visual design, a visible relationship to scripture, beginner-friendly pathways, multimodal lessons, reflections, assessments, progress and certificates. The next step is not a larger static website. It is a governed learning platform that can publish multiple authorised Bhagavad Gita editions without diluting tradition, while giving each organisation or school its own trusted experience.</w:t>
      </w:r>
    </w:p>
    <w:tbl>
      <w:tblPr>
        <w:tblW w:type="dxa" w:w="9360"/>
        <w:jc w:val="left"/>
        <w:tblLayout w:type="fixed"/>
        <w:tblLook w:firstColumn="1" w:firstRow="1" w:lastColumn="0" w:lastRow="0" w:noHBand="0" w:noVBand="1" w:val="04A0"/>
        <w:tblInd w:w="120" w:type="dxa"/>
        <w:tblBorders>
          <w:top w:val="single" w:sz="10" w:space="0" w:color="18264F"/>
          <w:left w:val="single" w:sz="10" w:space="0" w:color="18264F"/>
          <w:bottom w:val="single" w:sz="10" w:space="0" w:color="18264F"/>
          <w:right w:val="single" w:sz="10" w:space="0" w:color="18264F"/>
          <w:insideH w:val="single" w:sz="10" w:space="0" w:color="18264F"/>
          <w:insideV w:val="single" w:sz="10" w:space="0" w:color="18264F"/>
        </w:tblBorders>
      </w:tblPr>
      <w:tblGrid>
        <w:gridCol w:w="9360"/>
      </w:tblGrid>
      <w:tr>
        <w:trPr>
          <w:tblHeader/>
        </w:trPr>
        <w:tc>
          <w:tcPr>
            <w:tcW w:type="dxa" w:w="9360"/>
            <w:tcMar>
              <w:top w:w="100" w:type="dxa"/>
              <w:start w:w="120" w:type="dxa"/>
              <w:bottom w:w="100" w:type="dxa"/>
              <w:end w:w="120" w:type="dxa"/>
            </w:tcMar>
            <w:shd w:fill="EDF1F8"/>
            <w:vAlign w:val="center"/>
          </w:tcPr>
          <w:p>
            <w:pPr>
              <w:spacing w:after="0" w:line="269" w:lineRule="auto"/>
            </w:pPr>
            <w:r>
              <w:rPr>
                <w:rFonts w:ascii="Aptos" w:hAnsi="Aptos"/>
                <w:b/>
                <w:i w:val="0"/>
                <w:color w:val="18264F"/>
                <w:sz w:val="18"/>
              </w:rPr>
              <w:t xml:space="preserve">PRODUCT PROPOSITION: </w:t>
            </w:r>
            <w:r>
              <w:rPr>
                <w:rFonts w:ascii="Aptos" w:hAnsi="Aptos"/>
                <w:b w:val="0"/>
                <w:i w:val="0"/>
                <w:color w:val="17213A"/>
                <w:sz w:val="20"/>
              </w:rPr>
              <w:t>Build one configurable learning engine that preserves an organisation’s doctrinal voice and approved guru translation, while sharing a high-quality foundation for curriculum, assessment, accessibility, mobile learning, analytics and administration.</w:t>
            </w:r>
          </w:p>
        </w:tc>
      </w:tr>
    </w:tbl>
    <w:p>
      <w:pPr>
        <w:spacing w:after="40"/>
      </w:pPr>
    </w:p>
    <w:p>
      <w:pPr>
        <w:pStyle w:val="Heading2"/>
      </w:pPr>
      <w:r>
        <w:t>Recommended product decision</w:t>
      </w:r>
    </w:p>
    <w:p>
      <w:pPr>
        <w:spacing w:before="0"/>
      </w:pPr>
      <w:r>
        <w:rPr>
          <w:rFonts w:ascii="Aptos" w:hAnsi="Aptos"/>
          <w:b w:val="0"/>
          <w:i w:val="0"/>
          <w:color w:val="17213A"/>
          <w:sz w:val="21"/>
        </w:rPr>
        <w:t>Commission a multi-tenant platform with a Living Bliss reference edition as the first complete implementation. Separate the neutral platform, edition-specific content and local programme configuration from the start. Launch with a production-ready responsive web application and mobile applications backed by the same APIs and design system.</w:t>
      </w:r>
    </w:p>
    <w:p>
      <w:pPr>
        <w:pStyle w:val="Heading2"/>
      </w:pPr>
      <w:r>
        <w:t>What success looks like</w:t>
      </w:r>
    </w:p>
    <w:tbl>
      <w:tblPr>
        <w:tblW w:type="dxa" w:w="9360"/>
        <w:jc w:val="left"/>
        <w:tblLayout w:type="fixed"/>
        <w:tblLook w:firstColumn="1" w:firstRow="1" w:lastColumn="0" w:lastRow="0" w:noHBand="0" w:noVBand="1" w:val="04A0"/>
        <w:tblInd w:w="120" w:type="dxa"/>
        <w:tblBorders>
          <w:top w:val="single" w:sz="6" w:space="0" w:color="DDD3C1"/>
          <w:left w:val="single" w:sz="6" w:space="0" w:color="DDD3C1"/>
          <w:bottom w:val="single" w:sz="6" w:space="0" w:color="DDD3C1"/>
          <w:right w:val="single" w:sz="6" w:space="0" w:color="DDD3C1"/>
          <w:insideH w:val="single" w:sz="6" w:space="0" w:color="DDD3C1"/>
          <w:insideV w:val="single" w:sz="6" w:space="0" w:color="DDD3C1"/>
        </w:tblBorders>
      </w:tblPr>
      <w:tblGrid>
        <w:gridCol w:w="2200"/>
        <w:gridCol w:w="7160"/>
      </w:tblGrid>
      <w:tr>
        <w:trPr>
          <w:tblHeader w:val="true"/>
        </w:trPr>
        <w:tc>
          <w:tcPr>
            <w:tcW w:type="dxa" w:w="2200"/>
            <w:tcMar>
              <w:top w:w="100" w:type="dxa"/>
              <w:start w:w="120" w:type="dxa"/>
              <w:bottom w:w="100" w:type="dxa"/>
              <w:end w:w="120" w:type="dxa"/>
            </w:tcMar>
            <w:shd w:fill="18264F"/>
            <w:vAlign w:val="center"/>
          </w:tcPr>
          <w:p>
            <w:pPr>
              <w:spacing w:after="0"/>
            </w:pPr>
            <w:r>
              <w:rPr>
                <w:rFonts w:ascii="Aptos" w:hAnsi="Aptos"/>
                <w:b/>
                <w:i w:val="0"/>
                <w:color w:val="FFFFFF"/>
                <w:sz w:val="18"/>
              </w:rPr>
              <w:t>Outcome</w:t>
            </w:r>
          </w:p>
        </w:tc>
        <w:tc>
          <w:tcPr>
            <w:tcW w:type="dxa" w:w="7160"/>
            <w:tcMar>
              <w:top w:w="100" w:type="dxa"/>
              <w:start w:w="120" w:type="dxa"/>
              <w:bottom w:w="100" w:type="dxa"/>
              <w:end w:w="120" w:type="dxa"/>
            </w:tcMar>
            <w:shd w:fill="18264F"/>
            <w:vAlign w:val="center"/>
          </w:tcPr>
          <w:p>
            <w:pPr>
              <w:spacing w:after="0"/>
            </w:pPr>
            <w:r>
              <w:rPr>
                <w:rFonts w:ascii="Aptos" w:hAnsi="Aptos"/>
                <w:b/>
                <w:i w:val="0"/>
                <w:color w:val="FFFFFF"/>
                <w:sz w:val="18"/>
              </w:rPr>
              <w:t>Evidence after initial launch</w:t>
            </w:r>
          </w:p>
        </w:tc>
      </w:tr>
      <w:tr>
        <w:tc>
          <w:tcPr>
            <w:tcW w:type="dxa" w:w="2200"/>
            <w:vAlign w:val="center"/>
          </w:tcPr>
          <w:p>
            <w:pPr>
              <w:spacing w:after="0" w:line="252" w:lineRule="auto"/>
            </w:pPr>
            <w:r>
              <w:rPr>
                <w:rFonts w:ascii="Aptos" w:hAnsi="Aptos"/>
                <w:b w:val="0"/>
                <w:i w:val="0"/>
                <w:color w:val="17213A"/>
                <w:sz w:val="18"/>
              </w:rPr>
              <w:t>Complete learning product</w:t>
            </w:r>
          </w:p>
        </w:tc>
        <w:tc>
          <w:tcPr>
            <w:tcW w:type="dxa" w:w="7160"/>
            <w:vAlign w:val="center"/>
          </w:tcPr>
          <w:p>
            <w:pPr>
              <w:spacing w:after="0" w:line="252" w:lineRule="auto"/>
            </w:pPr>
            <w:r>
              <w:rPr>
                <w:rFonts w:ascii="Aptos" w:hAnsi="Aptos"/>
                <w:b w:val="0"/>
                <w:i w:val="0"/>
                <w:color w:val="17213A"/>
                <w:sz w:val="18"/>
              </w:rPr>
              <w:t>All 18 chapters published with prerequisite pathway, chapter assessments, capstone and certificate.</w:t>
            </w:r>
          </w:p>
        </w:tc>
      </w:tr>
      <w:tr>
        <w:tc>
          <w:tcPr>
            <w:tcW w:type="dxa" w:w="2200"/>
            <w:vAlign w:val="center"/>
            <w:shd w:fill="F8F6F1"/>
          </w:tcPr>
          <w:p>
            <w:pPr>
              <w:spacing w:after="0" w:line="252" w:lineRule="auto"/>
            </w:pPr>
            <w:r>
              <w:rPr>
                <w:rFonts w:ascii="Aptos" w:hAnsi="Aptos"/>
                <w:b w:val="0"/>
                <w:i w:val="0"/>
                <w:color w:val="17213A"/>
                <w:sz w:val="18"/>
              </w:rPr>
              <w:t>Trusted editions</w:t>
            </w:r>
          </w:p>
        </w:tc>
        <w:tc>
          <w:tcPr>
            <w:tcW w:type="dxa" w:w="7160"/>
            <w:vAlign w:val="center"/>
            <w:shd w:fill="F8F6F1"/>
          </w:tcPr>
          <w:p>
            <w:pPr>
              <w:spacing w:after="0" w:line="252" w:lineRule="auto"/>
            </w:pPr>
            <w:r>
              <w:rPr>
                <w:rFonts w:ascii="Aptos" w:hAnsi="Aptos"/>
                <w:b w:val="0"/>
                <w:i w:val="0"/>
                <w:color w:val="17213A"/>
                <w:sz w:val="18"/>
              </w:rPr>
              <w:t>Every displayed interpretation identifies organisation, teacher/translator, source, language, version and approval status.</w:t>
            </w:r>
          </w:p>
        </w:tc>
      </w:tr>
      <w:tr>
        <w:tc>
          <w:tcPr>
            <w:tcW w:type="dxa" w:w="2200"/>
            <w:vAlign w:val="center"/>
          </w:tcPr>
          <w:p>
            <w:pPr>
              <w:spacing w:after="0" w:line="252" w:lineRule="auto"/>
            </w:pPr>
            <w:r>
              <w:rPr>
                <w:rFonts w:ascii="Aptos" w:hAnsi="Aptos"/>
                <w:b w:val="0"/>
                <w:i w:val="0"/>
                <w:color w:val="17213A"/>
                <w:sz w:val="18"/>
              </w:rPr>
              <w:t>Learner progress</w:t>
            </w:r>
          </w:p>
        </w:tc>
        <w:tc>
          <w:tcPr>
            <w:tcW w:type="dxa" w:w="7160"/>
            <w:vAlign w:val="center"/>
          </w:tcPr>
          <w:p>
            <w:pPr>
              <w:spacing w:after="0" w:line="252" w:lineRule="auto"/>
            </w:pPr>
            <w:r>
              <w:rPr>
                <w:rFonts w:ascii="Aptos" w:hAnsi="Aptos"/>
                <w:b w:val="0"/>
                <w:i w:val="0"/>
                <w:color w:val="17213A"/>
                <w:sz w:val="18"/>
              </w:rPr>
              <w:t>A learner can begin as a guest, create an account, resume across web/mobile, download selected content and complete the course.</w:t>
            </w:r>
          </w:p>
        </w:tc>
      </w:tr>
      <w:tr>
        <w:tc>
          <w:tcPr>
            <w:tcW w:type="dxa" w:w="2200"/>
            <w:vAlign w:val="center"/>
            <w:shd w:fill="F8F6F1"/>
          </w:tcPr>
          <w:p>
            <w:pPr>
              <w:spacing w:after="0" w:line="252" w:lineRule="auto"/>
            </w:pPr>
            <w:r>
              <w:rPr>
                <w:rFonts w:ascii="Aptos" w:hAnsi="Aptos"/>
                <w:b w:val="0"/>
                <w:i w:val="0"/>
                <w:color w:val="17213A"/>
                <w:sz w:val="18"/>
              </w:rPr>
              <w:t>Institutional readiness</w:t>
            </w:r>
          </w:p>
        </w:tc>
        <w:tc>
          <w:tcPr>
            <w:tcW w:type="dxa" w:w="7160"/>
            <w:vAlign w:val="center"/>
            <w:shd w:fill="F8F6F1"/>
          </w:tcPr>
          <w:p>
            <w:pPr>
              <w:spacing w:after="0" w:line="252" w:lineRule="auto"/>
            </w:pPr>
            <w:r>
              <w:rPr>
                <w:rFonts w:ascii="Aptos" w:hAnsi="Aptos"/>
                <w:b w:val="0"/>
                <w:i w:val="0"/>
                <w:color w:val="17213A"/>
                <w:sz w:val="18"/>
              </w:rPr>
              <w:t>Administrators can configure branding, cohorts, SSO, reporting, policies, curriculum and certificates without a code fork.</w:t>
            </w:r>
          </w:p>
        </w:tc>
      </w:tr>
      <w:tr>
        <w:tc>
          <w:tcPr>
            <w:tcW w:type="dxa" w:w="2200"/>
            <w:vAlign w:val="center"/>
          </w:tcPr>
          <w:p>
            <w:pPr>
              <w:spacing w:after="0" w:line="252" w:lineRule="auto"/>
            </w:pPr>
            <w:r>
              <w:rPr>
                <w:rFonts w:ascii="Aptos" w:hAnsi="Aptos"/>
                <w:b w:val="0"/>
                <w:i w:val="0"/>
                <w:color w:val="17213A"/>
                <w:sz w:val="18"/>
              </w:rPr>
              <w:t>Measurable outcomes</w:t>
            </w:r>
          </w:p>
        </w:tc>
        <w:tc>
          <w:tcPr>
            <w:tcW w:type="dxa" w:w="7160"/>
            <w:vAlign w:val="center"/>
          </w:tcPr>
          <w:p>
            <w:pPr>
              <w:spacing w:after="0" w:line="252" w:lineRule="auto"/>
            </w:pPr>
            <w:r>
              <w:rPr>
                <w:rFonts w:ascii="Aptos" w:hAnsi="Aptos"/>
                <w:b w:val="0"/>
                <w:i w:val="0"/>
                <w:color w:val="17213A"/>
                <w:sz w:val="18"/>
              </w:rPr>
              <w:t>Dashboards show activation, chapter completion, learning mastery, retention and content quality indicators.</w:t>
            </w:r>
          </w:p>
        </w:tc>
      </w:tr>
    </w:tbl>
    <w:p>
      <w:pPr>
        <w:spacing w:after="20"/>
      </w:pPr>
    </w:p>
    <w:p>
      <w:pPr>
        <w:pStyle w:val="Heading2"/>
      </w:pPr>
      <w:r>
        <w:t>Recommended delivery horizon</w:t>
      </w:r>
    </w:p>
    <w:p>
      <w:pPr>
        <w:spacing w:before="0"/>
      </w:pPr>
      <w:r>
        <w:rPr>
          <w:rFonts w:ascii="Aptos" w:hAnsi="Aptos"/>
          <w:b w:val="0"/>
          <w:i w:val="0"/>
          <w:color w:val="17213A"/>
          <w:sz w:val="21"/>
        </w:rPr>
        <w:t>Plan for a 12–15 month product programme: 6 weeks of discovery and curriculum definition; 12–16 weeks for foundation and alpha; 16–20 weeks for complete content production and beta; 8–12 weeks for pilots, hardening and launch. Content production must run in parallel with software delivery and is likely to be the critical path.</w:t>
      </w:r>
    </w:p>
    <w:p>
      <w:pPr>
        <w:sectPr>
          <w:pgSz w:w="12240" w:h="15840"/>
          <w:pgMar w:top="1440" w:right="1440" w:bottom="1440" w:left="1440" w:header="708" w:footer="708" w:gutter="0"/>
          <w:cols w:space="720"/>
          <w:docGrid w:linePitch="360"/>
        </w:sectPr>
      </w:pPr>
    </w:p>
    <w:p>
      <w:pPr>
        <w:spacing w:after="100"/>
      </w:pPr>
      <w:r>
        <w:rPr>
          <w:rFonts w:ascii="Aptos" w:hAnsi="Aptos"/>
          <w:b/>
          <w:i w:val="0"/>
          <w:caps/>
          <w:color w:val="D9832E"/>
          <w:sz w:val="16"/>
        </w:rPr>
        <w:t>SECTION 2</w:t>
      </w:r>
    </w:p>
    <w:p>
      <w:pPr>
        <w:pStyle w:val="Heading1"/>
      </w:pPr>
      <w:r>
        <w:t>Vision, mission and product principles</w:t>
      </w:r>
    </w:p>
    <w:p>
      <w:pPr>
        <w:pStyle w:val="Heading2"/>
      </w:pPr>
      <w:r>
        <w:t>Vision</w:t>
      </w:r>
    </w:p>
    <w:tbl>
      <w:tblPr>
        <w:tblW w:type="dxa" w:w="9360"/>
        <w:jc w:val="left"/>
        <w:tblLayout w:type="fixed"/>
        <w:tblLook w:firstColumn="1" w:firstRow="1" w:lastColumn="0" w:lastRow="0" w:noHBand="0" w:noVBand="1" w:val="04A0"/>
        <w:tblInd w:w="120" w:type="dxa"/>
        <w:tblBorders>
          <w:top w:val="single" w:sz="10" w:space="0" w:color="18264F"/>
          <w:left w:val="single" w:sz="10" w:space="0" w:color="18264F"/>
          <w:bottom w:val="single" w:sz="10" w:space="0" w:color="18264F"/>
          <w:right w:val="single" w:sz="10" w:space="0" w:color="18264F"/>
          <w:insideH w:val="single" w:sz="10" w:space="0" w:color="18264F"/>
          <w:insideV w:val="single" w:sz="10" w:space="0" w:color="18264F"/>
        </w:tblBorders>
      </w:tblPr>
      <w:tblGrid>
        <w:gridCol w:w="9360"/>
      </w:tblGrid>
      <w:tr>
        <w:trPr>
          <w:tblHeader/>
        </w:trPr>
        <w:tc>
          <w:tcPr>
            <w:tcW w:type="dxa" w:w="9360"/>
            <w:tcMar>
              <w:top w:w="100" w:type="dxa"/>
              <w:start w:w="120" w:type="dxa"/>
              <w:bottom w:w="100" w:type="dxa"/>
              <w:end w:w="120" w:type="dxa"/>
            </w:tcMar>
            <w:shd w:fill="EDF1F8"/>
            <w:vAlign w:val="center"/>
          </w:tcPr>
          <w:p>
            <w:pPr>
              <w:spacing w:after="0" w:line="269" w:lineRule="auto"/>
            </w:pPr>
            <w:r>
              <w:rPr>
                <w:rFonts w:ascii="Aptos" w:hAnsi="Aptos"/>
                <w:b/>
                <w:i w:val="0"/>
                <w:color w:val="18264F"/>
                <w:sz w:val="18"/>
              </w:rPr>
              <w:t xml:space="preserve">VISION: </w:t>
            </w:r>
            <w:r>
              <w:rPr>
                <w:rFonts w:ascii="Aptos" w:hAnsi="Aptos"/>
                <w:b w:val="0"/>
                <w:i w:val="0"/>
                <w:color w:val="17213A"/>
                <w:sz w:val="20"/>
              </w:rPr>
              <w:t>Every sincere learner—regardless of age, geography, language, ability or institutional affiliation—can study the Bhagavad Gita through an authentic, guided and life-applicable learning journey.</w:t>
            </w:r>
          </w:p>
        </w:tc>
      </w:tr>
    </w:tbl>
    <w:p>
      <w:pPr>
        <w:spacing w:after="40"/>
      </w:pPr>
    </w:p>
    <w:p>
      <w:pPr>
        <w:pStyle w:val="Heading2"/>
      </w:pPr>
      <w:r>
        <w:t>Mission</w:t>
      </w:r>
    </w:p>
    <w:p>
      <w:pPr>
        <w:spacing w:before="0"/>
      </w:pPr>
      <w:r>
        <w:rPr>
          <w:rFonts w:ascii="Aptos" w:hAnsi="Aptos"/>
          <w:b w:val="0"/>
          <w:i w:val="0"/>
          <w:color w:val="17213A"/>
          <w:sz w:val="21"/>
        </w:rPr>
        <w:t>Create the trusted digital learning infrastructure through which spiritual organisations, schools and public institutions can offer their authorised Bhagavad Gita curriculum on web and mobile, while retaining full clarity over source, lineage, translation, pedagogy and learner outcomes.</w:t>
      </w:r>
    </w:p>
    <w:p>
      <w:pPr>
        <w:pStyle w:val="Heading2"/>
      </w:pPr>
      <w:r>
        <w:t>Strategic objectives</w:t>
      </w:r>
    </w:p>
    <w:p>
      <w:pPr>
        <w:pStyle w:val="ListBullet"/>
      </w:pPr>
      <w:r>
        <w:rPr>
          <w:rFonts w:ascii="Aptos" w:hAnsi="Aptos"/>
          <w:b w:val="0"/>
          <w:i w:val="0"/>
          <w:color w:val="17213A"/>
          <w:sz w:val="20"/>
        </w:rPr>
        <w:t>Complete the learning journey: move from a demonstration chapter to an 18-chapter course with preparation, mastery, revision and certification.</w:t>
      </w:r>
    </w:p>
    <w:p>
      <w:pPr>
        <w:pStyle w:val="ListBullet"/>
      </w:pPr>
      <w:r>
        <w:rPr>
          <w:rFonts w:ascii="Aptos" w:hAnsi="Aptos"/>
          <w:b w:val="0"/>
          <w:i w:val="0"/>
          <w:color w:val="17213A"/>
          <w:sz w:val="20"/>
        </w:rPr>
        <w:t>Preserve authenticity at scale: make source provenance, translator identity, commentary lineage, rights and approvals first-class product data.</w:t>
      </w:r>
    </w:p>
    <w:p>
      <w:pPr>
        <w:pStyle w:val="ListBullet"/>
      </w:pPr>
      <w:r>
        <w:rPr>
          <w:rFonts w:ascii="Aptos" w:hAnsi="Aptos"/>
          <w:b w:val="0"/>
          <w:i w:val="0"/>
          <w:color w:val="17213A"/>
          <w:sz w:val="20"/>
        </w:rPr>
        <w:t>Enable adoption without fragmentation: provide organisation-specific editions through configuration and governed content inheritance, not separate codebases.</w:t>
      </w:r>
    </w:p>
    <w:p>
      <w:pPr>
        <w:pStyle w:val="ListBullet"/>
      </w:pPr>
      <w:r>
        <w:rPr>
          <w:rFonts w:ascii="Aptos" w:hAnsi="Aptos"/>
          <w:b w:val="0"/>
          <w:i w:val="0"/>
          <w:color w:val="17213A"/>
          <w:sz w:val="20"/>
        </w:rPr>
        <w:t>Serve education responsibly: support age bands, teacher tools, curriculum mapping, parental consent, safeguarding and LMS integration.</w:t>
      </w:r>
    </w:p>
    <w:p>
      <w:pPr>
        <w:pStyle w:val="ListBullet"/>
      </w:pPr>
      <w:r>
        <w:rPr>
          <w:rFonts w:ascii="Aptos" w:hAnsi="Aptos"/>
          <w:b w:val="0"/>
          <w:i w:val="0"/>
          <w:color w:val="17213A"/>
          <w:sz w:val="20"/>
        </w:rPr>
        <w:t>Reach learners wherever they are: deliver responsive web, native-quality mobile, low-bandwidth modes, offline packs and multilingual interfaces.</w:t>
      </w:r>
    </w:p>
    <w:p>
      <w:pPr>
        <w:pStyle w:val="ListBullet"/>
      </w:pPr>
      <w:r>
        <w:rPr>
          <w:rFonts w:ascii="Aptos" w:hAnsi="Aptos"/>
          <w:b w:val="0"/>
          <w:i w:val="0"/>
          <w:color w:val="17213A"/>
          <w:sz w:val="20"/>
        </w:rPr>
        <w:t>Improve through evidence: measure learning and product outcomes while protecting privacy and avoiding manipulative engagement mechanics.</w:t>
      </w:r>
    </w:p>
    <w:p>
      <w:pPr>
        <w:sectPr>
          <w:pgSz w:w="12240" w:h="15840"/>
          <w:pgMar w:top="1440" w:right="1440" w:bottom="1440" w:left="1440" w:header="708" w:footer="708" w:gutter="0"/>
          <w:cols w:space="720"/>
          <w:docGrid w:linePitch="360"/>
        </w:sectPr>
      </w:pPr>
    </w:p>
    <w:p>
      <w:pPr>
        <w:pStyle w:val="Heading2"/>
      </w:pPr>
      <w:r>
        <w:t>Non-negotiable product principles</w:t>
      </w:r>
    </w:p>
    <w:tbl>
      <w:tblPr>
        <w:tblW w:type="dxa" w:w="9360"/>
        <w:jc w:val="left"/>
        <w:tblLayout w:type="fixed"/>
        <w:tblLook w:firstColumn="1" w:firstRow="1" w:lastColumn="0" w:lastRow="0" w:noHBand="0" w:noVBand="1" w:val="04A0"/>
        <w:tblInd w:w="120" w:type="dxa"/>
        <w:tblBorders>
          <w:top w:val="single" w:sz="6" w:space="0" w:color="DDD3C1"/>
          <w:left w:val="single" w:sz="6" w:space="0" w:color="DDD3C1"/>
          <w:bottom w:val="single" w:sz="6" w:space="0" w:color="DDD3C1"/>
          <w:right w:val="single" w:sz="6" w:space="0" w:color="DDD3C1"/>
          <w:insideH w:val="single" w:sz="6" w:space="0" w:color="DDD3C1"/>
          <w:insideV w:val="single" w:sz="6" w:space="0" w:color="DDD3C1"/>
        </w:tblBorders>
      </w:tblPr>
      <w:tblGrid>
        <w:gridCol w:w="2600"/>
        <w:gridCol w:w="6760"/>
      </w:tblGrid>
      <w:tr>
        <w:trPr>
          <w:tblHeader w:val="true"/>
        </w:trPr>
        <w:tc>
          <w:tcPr>
            <w:tcW w:type="dxa" w:w="2600"/>
            <w:tcMar>
              <w:top w:w="100" w:type="dxa"/>
              <w:start w:w="120" w:type="dxa"/>
              <w:bottom w:w="100" w:type="dxa"/>
              <w:end w:w="120" w:type="dxa"/>
            </w:tcMar>
            <w:shd w:fill="18264F"/>
            <w:vAlign w:val="center"/>
          </w:tcPr>
          <w:p>
            <w:pPr>
              <w:spacing w:after="0"/>
            </w:pPr>
            <w:r>
              <w:rPr>
                <w:rFonts w:ascii="Aptos" w:hAnsi="Aptos"/>
                <w:b/>
                <w:i w:val="0"/>
                <w:color w:val="FFFFFF"/>
                <w:sz w:val="18"/>
              </w:rPr>
              <w:t>Principle</w:t>
            </w:r>
          </w:p>
        </w:tc>
        <w:tc>
          <w:tcPr>
            <w:tcW w:type="dxa" w:w="6760"/>
            <w:tcMar>
              <w:top w:w="100" w:type="dxa"/>
              <w:start w:w="120" w:type="dxa"/>
              <w:bottom w:w="100" w:type="dxa"/>
              <w:end w:w="120" w:type="dxa"/>
            </w:tcMar>
            <w:shd w:fill="18264F"/>
            <w:vAlign w:val="center"/>
          </w:tcPr>
          <w:p>
            <w:pPr>
              <w:spacing w:after="0"/>
            </w:pPr>
            <w:r>
              <w:rPr>
                <w:rFonts w:ascii="Aptos" w:hAnsi="Aptos"/>
                <w:b/>
                <w:i w:val="0"/>
                <w:color w:val="FFFFFF"/>
                <w:sz w:val="18"/>
              </w:rPr>
              <w:t>Design consequence</w:t>
            </w:r>
          </w:p>
        </w:tc>
      </w:tr>
      <w:tr>
        <w:tc>
          <w:tcPr>
            <w:tcW w:type="dxa" w:w="2600"/>
            <w:vAlign w:val="center"/>
          </w:tcPr>
          <w:p>
            <w:pPr>
              <w:spacing w:after="0" w:line="252" w:lineRule="auto"/>
            </w:pPr>
            <w:r>
              <w:rPr>
                <w:rFonts w:ascii="Aptos" w:hAnsi="Aptos"/>
                <w:b w:val="0"/>
                <w:i w:val="0"/>
                <w:color w:val="17213A"/>
                <w:sz w:val="17"/>
              </w:rPr>
              <w:t>Source before interpretation</w:t>
            </w:r>
          </w:p>
        </w:tc>
        <w:tc>
          <w:tcPr>
            <w:tcW w:type="dxa" w:w="6760"/>
            <w:vAlign w:val="center"/>
          </w:tcPr>
          <w:p>
            <w:pPr>
              <w:spacing w:after="0" w:line="252" w:lineRule="auto"/>
            </w:pPr>
            <w:r>
              <w:rPr>
                <w:rFonts w:ascii="Aptos" w:hAnsi="Aptos"/>
                <w:b w:val="0"/>
                <w:i w:val="0"/>
                <w:color w:val="17213A"/>
                <w:sz w:val="17"/>
              </w:rPr>
              <w:t>The Sanskrit verse, transliteration, translation, commentary and modern learning explanation must remain visibly distinct.</w:t>
            </w:r>
          </w:p>
        </w:tc>
      </w:tr>
      <w:tr>
        <w:tc>
          <w:tcPr>
            <w:tcW w:type="dxa" w:w="2600"/>
            <w:vAlign w:val="center"/>
            <w:shd w:fill="F8F6F1"/>
          </w:tcPr>
          <w:p>
            <w:pPr>
              <w:spacing w:after="0" w:line="252" w:lineRule="auto"/>
            </w:pPr>
            <w:r>
              <w:rPr>
                <w:rFonts w:ascii="Aptos" w:hAnsi="Aptos"/>
                <w:b w:val="0"/>
                <w:i w:val="0"/>
                <w:color w:val="17213A"/>
                <w:sz w:val="17"/>
              </w:rPr>
              <w:t>One platform; many faithful voices</w:t>
            </w:r>
          </w:p>
        </w:tc>
        <w:tc>
          <w:tcPr>
            <w:tcW w:type="dxa" w:w="6760"/>
            <w:vAlign w:val="center"/>
            <w:shd w:fill="F8F6F1"/>
          </w:tcPr>
          <w:p>
            <w:pPr>
              <w:spacing w:after="0" w:line="252" w:lineRule="auto"/>
            </w:pPr>
            <w:r>
              <w:rPr>
                <w:rFonts w:ascii="Aptos" w:hAnsi="Aptos"/>
                <w:b w:val="0"/>
                <w:i w:val="0"/>
                <w:color w:val="17213A"/>
                <w:sz w:val="17"/>
              </w:rPr>
              <w:t>The platform is neutral infrastructure. Each edition names and preserves its authorised interpretive voice.</w:t>
            </w:r>
          </w:p>
        </w:tc>
      </w:tr>
      <w:tr>
        <w:tc>
          <w:tcPr>
            <w:tcW w:type="dxa" w:w="2600"/>
            <w:vAlign w:val="center"/>
          </w:tcPr>
          <w:p>
            <w:pPr>
              <w:spacing w:after="0" w:line="252" w:lineRule="auto"/>
            </w:pPr>
            <w:r>
              <w:rPr>
                <w:rFonts w:ascii="Aptos" w:hAnsi="Aptos"/>
                <w:b w:val="0"/>
                <w:i w:val="0"/>
                <w:color w:val="17213A"/>
                <w:sz w:val="17"/>
              </w:rPr>
              <w:t>Learning, not scrolling</w:t>
            </w:r>
          </w:p>
        </w:tc>
        <w:tc>
          <w:tcPr>
            <w:tcW w:type="dxa" w:w="6760"/>
            <w:vAlign w:val="center"/>
          </w:tcPr>
          <w:p>
            <w:pPr>
              <w:spacing w:after="0" w:line="252" w:lineRule="auto"/>
            </w:pPr>
            <w:r>
              <w:rPr>
                <w:rFonts w:ascii="Aptos" w:hAnsi="Aptos"/>
                <w:b w:val="0"/>
                <w:i w:val="0"/>
                <w:color w:val="17213A"/>
                <w:sz w:val="17"/>
              </w:rPr>
              <w:t>Every screen should help the learner orient, understand, practise, reflect or demonstrate mastery.</w:t>
            </w:r>
          </w:p>
        </w:tc>
      </w:tr>
      <w:tr>
        <w:tc>
          <w:tcPr>
            <w:tcW w:type="dxa" w:w="2600"/>
            <w:vAlign w:val="center"/>
            <w:shd w:fill="F8F6F1"/>
          </w:tcPr>
          <w:p>
            <w:pPr>
              <w:spacing w:after="0" w:line="252" w:lineRule="auto"/>
            </w:pPr>
            <w:r>
              <w:rPr>
                <w:rFonts w:ascii="Aptos" w:hAnsi="Aptos"/>
                <w:b w:val="0"/>
                <w:i w:val="0"/>
                <w:color w:val="17213A"/>
                <w:sz w:val="17"/>
              </w:rPr>
              <w:t>Progress without pressure</w:t>
            </w:r>
          </w:p>
        </w:tc>
        <w:tc>
          <w:tcPr>
            <w:tcW w:type="dxa" w:w="6760"/>
            <w:vAlign w:val="center"/>
            <w:shd w:fill="F8F6F1"/>
          </w:tcPr>
          <w:p>
            <w:pPr>
              <w:spacing w:after="0" w:line="252" w:lineRule="auto"/>
            </w:pPr>
            <w:r>
              <w:rPr>
                <w:rFonts w:ascii="Aptos" w:hAnsi="Aptos"/>
                <w:b w:val="0"/>
                <w:i w:val="0"/>
                <w:color w:val="17213A"/>
                <w:sz w:val="17"/>
              </w:rPr>
              <w:t>Use encouragement and continuity, not streak anxiety, public comparison or spiritual gamification.</w:t>
            </w:r>
          </w:p>
        </w:tc>
      </w:tr>
      <w:tr>
        <w:tc>
          <w:tcPr>
            <w:tcW w:type="dxa" w:w="2600"/>
            <w:vAlign w:val="center"/>
          </w:tcPr>
          <w:p>
            <w:pPr>
              <w:spacing w:after="0" w:line="252" w:lineRule="auto"/>
            </w:pPr>
            <w:r>
              <w:rPr>
                <w:rFonts w:ascii="Aptos" w:hAnsi="Aptos"/>
                <w:b w:val="0"/>
                <w:i w:val="0"/>
                <w:color w:val="17213A"/>
                <w:sz w:val="17"/>
              </w:rPr>
              <w:t>Children deserve stronger defaults</w:t>
            </w:r>
          </w:p>
        </w:tc>
        <w:tc>
          <w:tcPr>
            <w:tcW w:type="dxa" w:w="6760"/>
            <w:vAlign w:val="center"/>
          </w:tcPr>
          <w:p>
            <w:pPr>
              <w:spacing w:after="0" w:line="252" w:lineRule="auto"/>
            </w:pPr>
            <w:r>
              <w:rPr>
                <w:rFonts w:ascii="Aptos" w:hAnsi="Aptos"/>
                <w:b w:val="0"/>
                <w:i w:val="0"/>
                <w:color w:val="17213A"/>
                <w:sz w:val="17"/>
              </w:rPr>
              <w:t>Collect less data, use age-appropriate design, obtain required consent and disable unnecessary social exposure.</w:t>
            </w:r>
          </w:p>
        </w:tc>
      </w:tr>
      <w:tr>
        <w:tc>
          <w:tcPr>
            <w:tcW w:type="dxa" w:w="2600"/>
            <w:vAlign w:val="center"/>
            <w:shd w:fill="F8F6F1"/>
          </w:tcPr>
          <w:p>
            <w:pPr>
              <w:spacing w:after="0" w:line="252" w:lineRule="auto"/>
            </w:pPr>
            <w:r>
              <w:rPr>
                <w:rFonts w:ascii="Aptos" w:hAnsi="Aptos"/>
                <w:b w:val="0"/>
                <w:i w:val="0"/>
                <w:color w:val="17213A"/>
                <w:sz w:val="17"/>
              </w:rPr>
              <w:t>Accessible and multilingual by design</w:t>
            </w:r>
          </w:p>
        </w:tc>
        <w:tc>
          <w:tcPr>
            <w:tcW w:type="dxa" w:w="6760"/>
            <w:vAlign w:val="center"/>
            <w:shd w:fill="F8F6F1"/>
          </w:tcPr>
          <w:p>
            <w:pPr>
              <w:spacing w:after="0" w:line="252" w:lineRule="auto"/>
            </w:pPr>
            <w:r>
              <w:rPr>
                <w:rFonts w:ascii="Aptos" w:hAnsi="Aptos"/>
                <w:b w:val="0"/>
                <w:i w:val="0"/>
                <w:color w:val="17213A"/>
                <w:sz w:val="17"/>
              </w:rPr>
              <w:t>Accessibility, scripts, captions, audio and translation workflows are architecture—not post-launch polish.</w:t>
            </w:r>
          </w:p>
        </w:tc>
      </w:tr>
      <w:tr>
        <w:tc>
          <w:tcPr>
            <w:tcW w:type="dxa" w:w="2600"/>
            <w:vAlign w:val="center"/>
          </w:tcPr>
          <w:p>
            <w:pPr>
              <w:spacing w:after="0" w:line="252" w:lineRule="auto"/>
            </w:pPr>
            <w:r>
              <w:rPr>
                <w:rFonts w:ascii="Aptos" w:hAnsi="Aptos"/>
                <w:b w:val="0"/>
                <w:i w:val="0"/>
                <w:color w:val="17213A"/>
                <w:sz w:val="17"/>
              </w:rPr>
              <w:t>Configuration over forks</w:t>
            </w:r>
          </w:p>
        </w:tc>
        <w:tc>
          <w:tcPr>
            <w:tcW w:type="dxa" w:w="6760"/>
            <w:vAlign w:val="center"/>
          </w:tcPr>
          <w:p>
            <w:pPr>
              <w:spacing w:after="0" w:line="252" w:lineRule="auto"/>
            </w:pPr>
            <w:r>
              <w:rPr>
                <w:rFonts w:ascii="Aptos" w:hAnsi="Aptos"/>
                <w:b w:val="0"/>
                <w:i w:val="0"/>
                <w:color w:val="17213A"/>
                <w:sz w:val="17"/>
              </w:rPr>
              <w:t>Branding, curricula and integrations vary by tenant; the software core remains maintainable and upgradeable.</w:t>
            </w:r>
          </w:p>
        </w:tc>
      </w:tr>
      <w:tr>
        <w:tc>
          <w:tcPr>
            <w:tcW w:type="dxa" w:w="2600"/>
            <w:vAlign w:val="center"/>
            <w:shd w:fill="F8F6F1"/>
          </w:tcPr>
          <w:p>
            <w:pPr>
              <w:spacing w:after="0" w:line="252" w:lineRule="auto"/>
            </w:pPr>
            <w:r>
              <w:rPr>
                <w:rFonts w:ascii="Aptos" w:hAnsi="Aptos"/>
                <w:b w:val="0"/>
                <w:i w:val="0"/>
                <w:color w:val="17213A"/>
                <w:sz w:val="17"/>
              </w:rPr>
              <w:t>Human authority over AI</w:t>
            </w:r>
          </w:p>
        </w:tc>
        <w:tc>
          <w:tcPr>
            <w:tcW w:type="dxa" w:w="6760"/>
            <w:vAlign w:val="center"/>
            <w:shd w:fill="F8F6F1"/>
          </w:tcPr>
          <w:p>
            <w:pPr>
              <w:spacing w:after="0" w:line="252" w:lineRule="auto"/>
            </w:pPr>
            <w:r>
              <w:rPr>
                <w:rFonts w:ascii="Aptos" w:hAnsi="Aptos"/>
                <w:b w:val="0"/>
                <w:i w:val="0"/>
                <w:color w:val="17213A"/>
                <w:sz w:val="17"/>
              </w:rPr>
              <w:t>AI may assist drafting, search or personalisation only within approved sources, with disclosure and human editorial control.</w:t>
            </w:r>
          </w:p>
        </w:tc>
      </w:tr>
    </w:tbl>
    <w:p>
      <w:pPr>
        <w:spacing w:after="20"/>
      </w:pPr>
    </w:p>
    <w:p>
      <w:pPr>
        <w:sectPr>
          <w:pgSz w:w="12240" w:h="15840"/>
          <w:pgMar w:top="1440" w:right="1440" w:bottom="1440" w:left="1440" w:header="708" w:footer="708" w:gutter="0"/>
          <w:cols w:space="720"/>
          <w:docGrid w:linePitch="360"/>
        </w:sectPr>
      </w:pPr>
    </w:p>
    <w:p>
      <w:pPr>
        <w:spacing w:after="100"/>
      </w:pPr>
      <w:r>
        <w:rPr>
          <w:rFonts w:ascii="Aptos" w:hAnsi="Aptos"/>
          <w:b/>
          <w:i w:val="0"/>
          <w:caps/>
          <w:color w:val="D9832E"/>
          <w:sz w:val="16"/>
        </w:rPr>
        <w:t>SECTION 3</w:t>
      </w:r>
    </w:p>
    <w:p>
      <w:pPr>
        <w:pStyle w:val="Heading1"/>
      </w:pPr>
      <w:r>
        <w:t>Strategy and operating model</w:t>
      </w:r>
    </w:p>
    <w:p>
      <w:pPr>
        <w:jc w:val="center"/>
      </w:pPr>
      <w:r>
        <w:drawing>
          <wp:inline xmlns:a="http://schemas.openxmlformats.org/drawingml/2006/main" xmlns:pic="http://schemas.openxmlformats.org/drawingml/2006/picture">
            <wp:extent cx="5943600" cy="2674620"/>
            <wp:docPr id="2" name="Picture 2" descr="Figure 1. Product model: a shared platform with controlled organisation and programme layers."/>
            <wp:cNvGraphicFramePr>
              <a:graphicFrameLocks noChangeAspect="1"/>
            </wp:cNvGraphicFramePr>
            <a:graphic>
              <a:graphicData uri="http://schemas.openxmlformats.org/drawingml/2006/picture">
                <pic:pic>
                  <pic:nvPicPr>
                    <pic:cNvPr id="0" name="platform_model.png"/>
                    <pic:cNvPicPr/>
                  </pic:nvPicPr>
                  <pic:blipFill>
                    <a:blip r:embed="rId12"/>
                    <a:stretch>
                      <a:fillRect/>
                    </a:stretch>
                  </pic:blipFill>
                  <pic:spPr>
                    <a:xfrm>
                      <a:off x="0" y="0"/>
                      <a:ext cx="5943600" cy="2674620"/>
                    </a:xfrm>
                    <a:prstGeom prst="rect"/>
                  </pic:spPr>
                </pic:pic>
              </a:graphicData>
            </a:graphic>
          </wp:inline>
        </w:drawing>
      </w:r>
    </w:p>
    <w:p>
      <w:pPr>
        <w:spacing w:after="180"/>
        <w:jc w:val="center"/>
      </w:pPr>
      <w:r>
        <w:rPr>
          <w:rFonts w:ascii="Aptos" w:hAnsi="Aptos"/>
          <w:b w:val="0"/>
          <w:i/>
          <w:color w:val="6D7282"/>
          <w:sz w:val="17"/>
        </w:rPr>
        <w:t>Figure 1. Product model: a shared platform with controlled organisation and programme layers.</w:t>
      </w:r>
    </w:p>
    <w:p>
      <w:pPr>
        <w:pStyle w:val="Heading2"/>
      </w:pPr>
      <w:r>
        <w:t>Strategic position</w:t>
      </w:r>
    </w:p>
    <w:p>
      <w:pPr>
        <w:spacing w:before="0"/>
      </w:pPr>
      <w:r>
        <w:rPr>
          <w:rFonts w:ascii="Aptos" w:hAnsi="Aptos"/>
          <w:b w:val="0"/>
          <w:i w:val="0"/>
          <w:color w:val="17213A"/>
          <w:sz w:val="21"/>
        </w:rPr>
        <w:t>The product should be positioned as trusted learning infrastructure rather than a universal commentary that attempts to reconcile all traditions. Adoption by ISKCON, Chinmaya Mission, BAPS or another organisation depends on faithful control of its edition, not merely logo customisation. The product therefore separates four layers: core platform, organisation tenant, authorised edition and local programme.</w:t>
      </w:r>
    </w:p>
    <w:p>
      <w:pPr>
        <w:pStyle w:val="Heading2"/>
      </w:pPr>
      <w:r>
        <w:t>Route to adoption</w:t>
      </w:r>
    </w:p>
    <w:p>
      <w:pPr>
        <w:pStyle w:val="ListNumber"/>
        <w:numPr>
          <w:ilvl w:val="0"/>
          <w:numId w:val="10"/>
        </w:numPr>
      </w:pPr>
      <w:r>
        <w:rPr>
          <w:rFonts w:ascii="Aptos" w:hAnsi="Aptos"/>
          <w:b w:val="0"/>
          <w:i w:val="0"/>
          <w:color w:val="17213A"/>
          <w:sz w:val="20"/>
        </w:rPr>
        <w:t>Prove depth with Living Bliss: publish one complete, high-quality reference edition and demonstrate measurable learning outcomes.</w:t>
      </w:r>
    </w:p>
    <w:p>
      <w:pPr>
        <w:pStyle w:val="ListNumber"/>
        <w:numPr>
          <w:ilvl w:val="0"/>
          <w:numId w:val="10"/>
        </w:numPr>
      </w:pPr>
      <w:r>
        <w:rPr>
          <w:rFonts w:ascii="Aptos" w:hAnsi="Aptos"/>
          <w:b w:val="0"/>
          <w:i w:val="0"/>
          <w:color w:val="17213A"/>
          <w:sz w:val="20"/>
        </w:rPr>
        <w:t>Prove configurability with a design partner: onboard one external spiritual organisation without branching the codebase.</w:t>
      </w:r>
    </w:p>
    <w:p>
      <w:pPr>
        <w:pStyle w:val="ListNumber"/>
        <w:numPr>
          <w:ilvl w:val="0"/>
          <w:numId w:val="10"/>
        </w:numPr>
      </w:pPr>
      <w:r>
        <w:rPr>
          <w:rFonts w:ascii="Aptos" w:hAnsi="Aptos"/>
          <w:b w:val="0"/>
          <w:i w:val="0"/>
          <w:color w:val="17213A"/>
          <w:sz w:val="20"/>
        </w:rPr>
        <w:t>Prove institutional delivery: pilot a school edition with teacher controls, age-appropriate curriculum, consent and reporting.</w:t>
      </w:r>
    </w:p>
    <w:p>
      <w:pPr>
        <w:pStyle w:val="ListNumber"/>
        <w:numPr>
          <w:ilvl w:val="0"/>
          <w:numId w:val="10"/>
        </w:numPr>
      </w:pPr>
      <w:r>
        <w:rPr>
          <w:rFonts w:ascii="Aptos" w:hAnsi="Aptos"/>
          <w:b w:val="0"/>
          <w:i w:val="0"/>
          <w:color w:val="17213A"/>
          <w:sz w:val="20"/>
        </w:rPr>
        <w:t>Standardise integrations and content onboarding: package LTI/SSO, edition migration, rights management and partner implementation playbooks.</w:t>
      </w:r>
    </w:p>
    <w:p>
      <w:pPr>
        <w:pStyle w:val="ListNumber"/>
        <w:numPr>
          <w:ilvl w:val="0"/>
          <w:numId w:val="10"/>
        </w:numPr>
      </w:pPr>
      <w:r>
        <w:rPr>
          <w:rFonts w:ascii="Aptos" w:hAnsi="Aptos"/>
          <w:b w:val="0"/>
          <w:i w:val="0"/>
          <w:color w:val="17213A"/>
          <w:sz w:val="20"/>
        </w:rPr>
        <w:t>Scale through accredited partners: enable regional content teams and implementation partners under central quality standards.</w:t>
      </w:r>
    </w:p>
    <w:p>
      <w:pPr>
        <w:sectPr>
          <w:pgSz w:w="12240" w:h="15840"/>
          <w:pgMar w:top="1440" w:right="1440" w:bottom="1440" w:left="1440" w:header="708" w:footer="708" w:gutter="0"/>
          <w:cols w:space="720"/>
          <w:docGrid w:linePitch="360"/>
        </w:sectPr>
      </w:pPr>
    </w:p>
    <w:p>
      <w:pPr>
        <w:pStyle w:val="Heading2"/>
      </w:pPr>
      <w:r>
        <w:t>Commercial and deployment options</w:t>
      </w:r>
    </w:p>
    <w:tbl>
      <w:tblPr>
        <w:tblW w:type="dxa" w:w="9360"/>
        <w:jc w:val="left"/>
        <w:tblLayout w:type="fixed"/>
        <w:tblLook w:firstColumn="1" w:firstRow="1" w:lastColumn="0" w:lastRow="0" w:noHBand="0" w:noVBand="1" w:val="04A0"/>
        <w:tblInd w:w="120" w:type="dxa"/>
        <w:tblBorders>
          <w:top w:val="single" w:sz="6" w:space="0" w:color="DDD3C1"/>
          <w:left w:val="single" w:sz="6" w:space="0" w:color="DDD3C1"/>
          <w:bottom w:val="single" w:sz="6" w:space="0" w:color="DDD3C1"/>
          <w:right w:val="single" w:sz="6" w:space="0" w:color="DDD3C1"/>
          <w:insideH w:val="single" w:sz="6" w:space="0" w:color="DDD3C1"/>
          <w:insideV w:val="single" w:sz="6" w:space="0" w:color="DDD3C1"/>
        </w:tblBorders>
      </w:tblPr>
      <w:tblGrid>
        <w:gridCol w:w="1700"/>
        <w:gridCol w:w="2500"/>
        <w:gridCol w:w="5160"/>
      </w:tblGrid>
      <w:tr>
        <w:trPr>
          <w:tblHeader w:val="true"/>
        </w:trPr>
        <w:tc>
          <w:tcPr>
            <w:tcW w:type="dxa" w:w="1700"/>
            <w:tcMar>
              <w:top w:w="100" w:type="dxa"/>
              <w:start w:w="120" w:type="dxa"/>
              <w:bottom w:w="100" w:type="dxa"/>
              <w:end w:w="120" w:type="dxa"/>
            </w:tcMar>
            <w:shd w:fill="18264F"/>
            <w:vAlign w:val="center"/>
          </w:tcPr>
          <w:p>
            <w:pPr>
              <w:spacing w:after="0"/>
            </w:pPr>
            <w:r>
              <w:rPr>
                <w:rFonts w:ascii="Aptos" w:hAnsi="Aptos"/>
                <w:b/>
                <w:i w:val="0"/>
                <w:color w:val="FFFFFF"/>
                <w:sz w:val="18"/>
              </w:rPr>
              <w:t>Model</w:t>
            </w:r>
          </w:p>
        </w:tc>
        <w:tc>
          <w:tcPr>
            <w:tcW w:type="dxa" w:w="2500"/>
            <w:tcMar>
              <w:top w:w="100" w:type="dxa"/>
              <w:start w:w="120" w:type="dxa"/>
              <w:bottom w:w="100" w:type="dxa"/>
              <w:end w:w="120" w:type="dxa"/>
            </w:tcMar>
            <w:shd w:fill="18264F"/>
            <w:vAlign w:val="center"/>
          </w:tcPr>
          <w:p>
            <w:pPr>
              <w:spacing w:after="0"/>
            </w:pPr>
            <w:r>
              <w:rPr>
                <w:rFonts w:ascii="Aptos" w:hAnsi="Aptos"/>
                <w:b/>
                <w:i w:val="0"/>
                <w:color w:val="FFFFFF"/>
                <w:sz w:val="18"/>
              </w:rPr>
              <w:t>Best fit</w:t>
            </w:r>
          </w:p>
        </w:tc>
        <w:tc>
          <w:tcPr>
            <w:tcW w:type="dxa" w:w="5160"/>
            <w:tcMar>
              <w:top w:w="100" w:type="dxa"/>
              <w:start w:w="120" w:type="dxa"/>
              <w:bottom w:w="100" w:type="dxa"/>
              <w:end w:w="120" w:type="dxa"/>
            </w:tcMar>
            <w:shd w:fill="18264F"/>
            <w:vAlign w:val="center"/>
          </w:tcPr>
          <w:p>
            <w:pPr>
              <w:spacing w:after="0"/>
            </w:pPr>
            <w:r>
              <w:rPr>
                <w:rFonts w:ascii="Aptos" w:hAnsi="Aptos"/>
                <w:b/>
                <w:i w:val="0"/>
                <w:color w:val="FFFFFF"/>
                <w:sz w:val="18"/>
              </w:rPr>
              <w:t>Characteristics</w:t>
            </w:r>
          </w:p>
        </w:tc>
      </w:tr>
      <w:tr>
        <w:tc>
          <w:tcPr>
            <w:tcW w:type="dxa" w:w="1700"/>
            <w:vAlign w:val="center"/>
          </w:tcPr>
          <w:p>
            <w:pPr>
              <w:spacing w:after="0" w:line="252" w:lineRule="auto"/>
            </w:pPr>
            <w:r>
              <w:rPr>
                <w:rFonts w:ascii="Aptos" w:hAnsi="Aptos"/>
                <w:b w:val="0"/>
                <w:i w:val="0"/>
                <w:color w:val="17213A"/>
                <w:sz w:val="17"/>
              </w:rPr>
              <w:t>Living Bliss direct</w:t>
            </w:r>
          </w:p>
        </w:tc>
        <w:tc>
          <w:tcPr>
            <w:tcW w:type="dxa" w:w="2500"/>
            <w:vAlign w:val="center"/>
          </w:tcPr>
          <w:p>
            <w:pPr>
              <w:spacing w:after="0" w:line="252" w:lineRule="auto"/>
            </w:pPr>
            <w:r>
              <w:rPr>
                <w:rFonts w:ascii="Aptos" w:hAnsi="Aptos"/>
                <w:b w:val="0"/>
                <w:i w:val="0"/>
                <w:color w:val="17213A"/>
                <w:sz w:val="17"/>
              </w:rPr>
              <w:t>Individual learners</w:t>
            </w:r>
          </w:p>
        </w:tc>
        <w:tc>
          <w:tcPr>
            <w:tcW w:type="dxa" w:w="5160"/>
            <w:vAlign w:val="center"/>
          </w:tcPr>
          <w:p>
            <w:pPr>
              <w:spacing w:after="0" w:line="252" w:lineRule="auto"/>
            </w:pPr>
            <w:r>
              <w:rPr>
                <w:rFonts w:ascii="Aptos" w:hAnsi="Aptos"/>
                <w:b w:val="0"/>
                <w:i w:val="0"/>
                <w:color w:val="17213A"/>
                <w:sz w:val="17"/>
              </w:rPr>
              <w:t>Freemium or sponsored access; Living Bliss edition; public enrolment.</w:t>
            </w:r>
          </w:p>
        </w:tc>
      </w:tr>
      <w:tr>
        <w:tc>
          <w:tcPr>
            <w:tcW w:type="dxa" w:w="1700"/>
            <w:vAlign w:val="center"/>
            <w:shd w:fill="F8F6F1"/>
          </w:tcPr>
          <w:p>
            <w:pPr>
              <w:spacing w:after="0" w:line="252" w:lineRule="auto"/>
            </w:pPr>
            <w:r>
              <w:rPr>
                <w:rFonts w:ascii="Aptos" w:hAnsi="Aptos"/>
                <w:b w:val="0"/>
                <w:i w:val="0"/>
                <w:color w:val="17213A"/>
                <w:sz w:val="17"/>
              </w:rPr>
              <w:t>Organisation edition</w:t>
            </w:r>
          </w:p>
        </w:tc>
        <w:tc>
          <w:tcPr>
            <w:tcW w:type="dxa" w:w="2500"/>
            <w:vAlign w:val="center"/>
            <w:shd w:fill="F8F6F1"/>
          </w:tcPr>
          <w:p>
            <w:pPr>
              <w:spacing w:after="0" w:line="252" w:lineRule="auto"/>
            </w:pPr>
            <w:r>
              <w:rPr>
                <w:rFonts w:ascii="Aptos" w:hAnsi="Aptos"/>
                <w:b w:val="0"/>
                <w:i w:val="0"/>
                <w:color w:val="17213A"/>
                <w:sz w:val="17"/>
              </w:rPr>
              <w:t>Spiritual institutions</w:t>
            </w:r>
          </w:p>
        </w:tc>
        <w:tc>
          <w:tcPr>
            <w:tcW w:type="dxa" w:w="5160"/>
            <w:vAlign w:val="center"/>
            <w:shd w:fill="F8F6F1"/>
          </w:tcPr>
          <w:p>
            <w:pPr>
              <w:spacing w:after="0" w:line="252" w:lineRule="auto"/>
            </w:pPr>
            <w:r>
              <w:rPr>
                <w:rFonts w:ascii="Aptos" w:hAnsi="Aptos"/>
                <w:b w:val="0"/>
                <w:i w:val="0"/>
                <w:color w:val="17213A"/>
                <w:sz w:val="17"/>
              </w:rPr>
              <w:t>Branded domain/app skin, authorised content, local administrators, membership integration.</w:t>
            </w:r>
          </w:p>
        </w:tc>
      </w:tr>
      <w:tr>
        <w:tc>
          <w:tcPr>
            <w:tcW w:type="dxa" w:w="1700"/>
            <w:vAlign w:val="center"/>
          </w:tcPr>
          <w:p>
            <w:pPr>
              <w:spacing w:after="0" w:line="252" w:lineRule="auto"/>
            </w:pPr>
            <w:r>
              <w:rPr>
                <w:rFonts w:ascii="Aptos" w:hAnsi="Aptos"/>
                <w:b w:val="0"/>
                <w:i w:val="0"/>
                <w:color w:val="17213A"/>
                <w:sz w:val="17"/>
              </w:rPr>
              <w:t>School SaaS</w:t>
            </w:r>
          </w:p>
        </w:tc>
        <w:tc>
          <w:tcPr>
            <w:tcW w:type="dxa" w:w="2500"/>
            <w:vAlign w:val="center"/>
          </w:tcPr>
          <w:p>
            <w:pPr>
              <w:spacing w:after="0" w:line="252" w:lineRule="auto"/>
            </w:pPr>
            <w:r>
              <w:rPr>
                <w:rFonts w:ascii="Aptos" w:hAnsi="Aptos"/>
                <w:b w:val="0"/>
                <w:i w:val="0"/>
                <w:color w:val="17213A"/>
                <w:sz w:val="17"/>
              </w:rPr>
              <w:t>Private and international schools</w:t>
            </w:r>
          </w:p>
        </w:tc>
        <w:tc>
          <w:tcPr>
            <w:tcW w:type="dxa" w:w="5160"/>
            <w:vAlign w:val="center"/>
          </w:tcPr>
          <w:p>
            <w:pPr>
              <w:spacing w:after="0" w:line="252" w:lineRule="auto"/>
            </w:pPr>
            <w:r>
              <w:rPr>
                <w:rFonts w:ascii="Aptos" w:hAnsi="Aptos"/>
                <w:b w:val="0"/>
                <w:i w:val="0"/>
                <w:color w:val="17213A"/>
                <w:sz w:val="17"/>
              </w:rPr>
              <w:t>Per-school/learner licensing, teacher dashboard, SSO/LMS, curriculum reporting.</w:t>
            </w:r>
          </w:p>
        </w:tc>
      </w:tr>
      <w:tr>
        <w:tc>
          <w:tcPr>
            <w:tcW w:type="dxa" w:w="1700"/>
            <w:vAlign w:val="center"/>
            <w:shd w:fill="F8F6F1"/>
          </w:tcPr>
          <w:p>
            <w:pPr>
              <w:spacing w:after="0" w:line="252" w:lineRule="auto"/>
            </w:pPr>
            <w:r>
              <w:rPr>
                <w:rFonts w:ascii="Aptos" w:hAnsi="Aptos"/>
                <w:b w:val="0"/>
                <w:i w:val="0"/>
                <w:color w:val="17213A"/>
                <w:sz w:val="17"/>
              </w:rPr>
              <w:t>Government/public programme</w:t>
            </w:r>
          </w:p>
        </w:tc>
        <w:tc>
          <w:tcPr>
            <w:tcW w:type="dxa" w:w="2500"/>
            <w:vAlign w:val="center"/>
            <w:shd w:fill="F8F6F1"/>
          </w:tcPr>
          <w:p>
            <w:pPr>
              <w:spacing w:after="0" w:line="252" w:lineRule="auto"/>
            </w:pPr>
            <w:r>
              <w:rPr>
                <w:rFonts w:ascii="Aptos" w:hAnsi="Aptos"/>
                <w:b w:val="0"/>
                <w:i w:val="0"/>
                <w:color w:val="17213A"/>
                <w:sz w:val="17"/>
              </w:rPr>
              <w:t>State or national programmes</w:t>
            </w:r>
          </w:p>
        </w:tc>
        <w:tc>
          <w:tcPr>
            <w:tcW w:type="dxa" w:w="5160"/>
            <w:vAlign w:val="center"/>
            <w:shd w:fill="F8F6F1"/>
          </w:tcPr>
          <w:p>
            <w:pPr>
              <w:spacing w:after="0" w:line="252" w:lineRule="auto"/>
            </w:pPr>
            <w:r>
              <w:rPr>
                <w:rFonts w:ascii="Aptos" w:hAnsi="Aptos"/>
                <w:b w:val="0"/>
                <w:i w:val="0"/>
                <w:color w:val="17213A"/>
                <w:sz w:val="17"/>
              </w:rPr>
              <w:t>Dedicated deployment options, local hosting/data controls, high scale, procurement and accessibility evidence.</w:t>
            </w:r>
          </w:p>
        </w:tc>
      </w:tr>
      <w:tr>
        <w:tc>
          <w:tcPr>
            <w:tcW w:type="dxa" w:w="1700"/>
            <w:vAlign w:val="center"/>
          </w:tcPr>
          <w:p>
            <w:pPr>
              <w:spacing w:after="0" w:line="252" w:lineRule="auto"/>
            </w:pPr>
            <w:r>
              <w:rPr>
                <w:rFonts w:ascii="Aptos" w:hAnsi="Aptos"/>
                <w:b w:val="0"/>
                <w:i w:val="0"/>
                <w:color w:val="17213A"/>
                <w:sz w:val="17"/>
              </w:rPr>
              <w:t>Content licence / API</w:t>
            </w:r>
          </w:p>
        </w:tc>
        <w:tc>
          <w:tcPr>
            <w:tcW w:type="dxa" w:w="2500"/>
            <w:vAlign w:val="center"/>
          </w:tcPr>
          <w:p>
            <w:pPr>
              <w:spacing w:after="0" w:line="252" w:lineRule="auto"/>
            </w:pPr>
            <w:r>
              <w:rPr>
                <w:rFonts w:ascii="Aptos" w:hAnsi="Aptos"/>
                <w:b w:val="0"/>
                <w:i w:val="0"/>
                <w:color w:val="17213A"/>
                <w:sz w:val="17"/>
              </w:rPr>
              <w:t>Existing LMS or publisher</w:t>
            </w:r>
          </w:p>
        </w:tc>
        <w:tc>
          <w:tcPr>
            <w:tcW w:type="dxa" w:w="5160"/>
            <w:vAlign w:val="center"/>
          </w:tcPr>
          <w:p>
            <w:pPr>
              <w:spacing w:after="0" w:line="252" w:lineRule="auto"/>
            </w:pPr>
            <w:r>
              <w:rPr>
                <w:rFonts w:ascii="Aptos" w:hAnsi="Aptos"/>
                <w:b w:val="0"/>
                <w:i w:val="0"/>
                <w:color w:val="17213A"/>
                <w:sz w:val="17"/>
              </w:rPr>
              <w:t>Approved content packages, LTI launches, deep links and results return.</w:t>
            </w:r>
          </w:p>
        </w:tc>
      </w:tr>
    </w:tbl>
    <w:p>
      <w:pPr>
        <w:spacing w:after="20"/>
      </w:pPr>
    </w:p>
    <w:p>
      <w:pPr>
        <w:pStyle w:val="Heading2"/>
      </w:pPr>
      <w:r>
        <w:t>Governance model</w:t>
      </w:r>
    </w:p>
    <w:p>
      <w:pPr>
        <w:pStyle w:val="ListBullet"/>
      </w:pPr>
      <w:r>
        <w:rPr>
          <w:rFonts w:ascii="Aptos" w:hAnsi="Aptos"/>
          <w:b w:val="0"/>
          <w:i w:val="0"/>
          <w:color w:val="17213A"/>
          <w:sz w:val="20"/>
        </w:rPr>
        <w:t>Product Council: roadmap, funding, tenant policy and platform decisions.</w:t>
      </w:r>
    </w:p>
    <w:p>
      <w:pPr>
        <w:pStyle w:val="ListBullet"/>
      </w:pPr>
      <w:r>
        <w:rPr>
          <w:rFonts w:ascii="Aptos" w:hAnsi="Aptos"/>
          <w:b w:val="0"/>
          <w:i w:val="0"/>
          <w:color w:val="17213A"/>
          <w:sz w:val="20"/>
        </w:rPr>
        <w:t>Scholarly Council: source editions, commentary integrity, theological review and disputes.</w:t>
      </w:r>
    </w:p>
    <w:p>
      <w:pPr>
        <w:pStyle w:val="ListBullet"/>
      </w:pPr>
      <w:r>
        <w:rPr>
          <w:rFonts w:ascii="Aptos" w:hAnsi="Aptos"/>
          <w:b w:val="0"/>
          <w:i w:val="0"/>
          <w:color w:val="17213A"/>
          <w:sz w:val="20"/>
        </w:rPr>
        <w:t>Education Advisory Group: age bands, outcomes, assessment validity and teacher usability.</w:t>
      </w:r>
    </w:p>
    <w:p>
      <w:pPr>
        <w:pStyle w:val="ListBullet"/>
      </w:pPr>
      <w:r>
        <w:rPr>
          <w:rFonts w:ascii="Aptos" w:hAnsi="Aptos"/>
          <w:b w:val="0"/>
          <w:i w:val="0"/>
          <w:color w:val="17213A"/>
          <w:sz w:val="20"/>
        </w:rPr>
        <w:t>Safety, Privacy and Accessibility Leads: release gates for children, markets and inclusive use.</w:t>
      </w:r>
    </w:p>
    <w:p>
      <w:pPr>
        <w:pStyle w:val="ListBullet"/>
      </w:pPr>
      <w:r>
        <w:rPr>
          <w:rFonts w:ascii="Aptos" w:hAnsi="Aptos"/>
          <w:b w:val="0"/>
          <w:i w:val="0"/>
          <w:color w:val="17213A"/>
          <w:sz w:val="20"/>
        </w:rPr>
        <w:t>Tenant Approval Authority: final approval for that organisation’s brand, content and certificate.</w:t>
      </w:r>
    </w:p>
    <w:p>
      <w:pPr>
        <w:sectPr>
          <w:pgSz w:w="12240" w:h="15840"/>
          <w:pgMar w:top="1440" w:right="1440" w:bottom="1440" w:left="1440" w:header="708" w:footer="708" w:gutter="0"/>
          <w:cols w:space="720"/>
          <w:docGrid w:linePitch="360"/>
        </w:sectPr>
      </w:pPr>
    </w:p>
    <w:p>
      <w:pPr>
        <w:spacing w:after="100"/>
      </w:pPr>
      <w:r>
        <w:rPr>
          <w:rFonts w:ascii="Aptos" w:hAnsi="Aptos"/>
          <w:b/>
          <w:i w:val="0"/>
          <w:caps/>
          <w:color w:val="D9832E"/>
          <w:sz w:val="16"/>
        </w:rPr>
        <w:t>SECTION 4</w:t>
      </w:r>
    </w:p>
    <w:p>
      <w:pPr>
        <w:pStyle w:val="Heading1"/>
      </w:pPr>
      <w:r>
        <w:t>Users, roles and jobs to be done</w:t>
      </w:r>
    </w:p>
    <w:tbl>
      <w:tblPr>
        <w:tblW w:type="dxa" w:w="9360"/>
        <w:jc w:val="left"/>
        <w:tblLayout w:type="fixed"/>
        <w:tblLook w:firstColumn="1" w:firstRow="1" w:lastColumn="0" w:lastRow="0" w:noHBand="0" w:noVBand="1" w:val="04A0"/>
        <w:tblInd w:w="120" w:type="dxa"/>
        <w:tblBorders>
          <w:top w:val="single" w:sz="6" w:space="0" w:color="DDD3C1"/>
          <w:left w:val="single" w:sz="6" w:space="0" w:color="DDD3C1"/>
          <w:bottom w:val="single" w:sz="6" w:space="0" w:color="DDD3C1"/>
          <w:right w:val="single" w:sz="6" w:space="0" w:color="DDD3C1"/>
          <w:insideH w:val="single" w:sz="6" w:space="0" w:color="DDD3C1"/>
          <w:insideV w:val="single" w:sz="6" w:space="0" w:color="DDD3C1"/>
        </w:tblBorders>
      </w:tblPr>
      <w:tblGrid>
        <w:gridCol w:w="1600"/>
        <w:gridCol w:w="3000"/>
        <w:gridCol w:w="4760"/>
      </w:tblGrid>
      <w:tr>
        <w:trPr>
          <w:tblHeader w:val="true"/>
        </w:trPr>
        <w:tc>
          <w:tcPr>
            <w:tcW w:type="dxa" w:w="1600"/>
            <w:tcMar>
              <w:top w:w="100" w:type="dxa"/>
              <w:start w:w="120" w:type="dxa"/>
              <w:bottom w:w="100" w:type="dxa"/>
              <w:end w:w="120" w:type="dxa"/>
            </w:tcMar>
            <w:shd w:fill="18264F"/>
            <w:vAlign w:val="center"/>
          </w:tcPr>
          <w:p>
            <w:pPr>
              <w:spacing w:after="0"/>
            </w:pPr>
            <w:r>
              <w:rPr>
                <w:rFonts w:ascii="Aptos" w:hAnsi="Aptos"/>
                <w:b/>
                <w:i w:val="0"/>
                <w:color w:val="FFFFFF"/>
                <w:sz w:val="18"/>
              </w:rPr>
              <w:t>User</w:t>
            </w:r>
          </w:p>
        </w:tc>
        <w:tc>
          <w:tcPr>
            <w:tcW w:type="dxa" w:w="3000"/>
            <w:tcMar>
              <w:top w:w="100" w:type="dxa"/>
              <w:start w:w="120" w:type="dxa"/>
              <w:bottom w:w="100" w:type="dxa"/>
              <w:end w:w="120" w:type="dxa"/>
            </w:tcMar>
            <w:shd w:fill="18264F"/>
            <w:vAlign w:val="center"/>
          </w:tcPr>
          <w:p>
            <w:pPr>
              <w:spacing w:after="0"/>
            </w:pPr>
            <w:r>
              <w:rPr>
                <w:rFonts w:ascii="Aptos" w:hAnsi="Aptos"/>
                <w:b/>
                <w:i w:val="0"/>
                <w:color w:val="FFFFFF"/>
                <w:sz w:val="18"/>
              </w:rPr>
              <w:t>Primary job</w:t>
            </w:r>
          </w:p>
        </w:tc>
        <w:tc>
          <w:tcPr>
            <w:tcW w:type="dxa" w:w="4760"/>
            <w:tcMar>
              <w:top w:w="100" w:type="dxa"/>
              <w:start w:w="120" w:type="dxa"/>
              <w:bottom w:w="100" w:type="dxa"/>
              <w:end w:w="120" w:type="dxa"/>
            </w:tcMar>
            <w:shd w:fill="18264F"/>
            <w:vAlign w:val="center"/>
          </w:tcPr>
          <w:p>
            <w:pPr>
              <w:spacing w:after="0"/>
            </w:pPr>
            <w:r>
              <w:rPr>
                <w:rFonts w:ascii="Aptos" w:hAnsi="Aptos"/>
                <w:b/>
                <w:i w:val="0"/>
                <w:color w:val="FFFFFF"/>
                <w:sz w:val="18"/>
              </w:rPr>
              <w:t>Critical needs</w:t>
            </w:r>
          </w:p>
        </w:tc>
      </w:tr>
      <w:tr>
        <w:tc>
          <w:tcPr>
            <w:tcW w:type="dxa" w:w="1600"/>
            <w:vAlign w:val="center"/>
          </w:tcPr>
          <w:p>
            <w:pPr>
              <w:spacing w:after="0" w:line="252" w:lineRule="auto"/>
            </w:pPr>
            <w:r>
              <w:rPr>
                <w:rFonts w:ascii="Aptos" w:hAnsi="Aptos"/>
                <w:b w:val="0"/>
                <w:i w:val="0"/>
                <w:color w:val="17213A"/>
                <w:sz w:val="16"/>
              </w:rPr>
              <w:t>Independent beginner</w:t>
            </w:r>
          </w:p>
        </w:tc>
        <w:tc>
          <w:tcPr>
            <w:tcW w:type="dxa" w:w="3000"/>
            <w:vAlign w:val="center"/>
          </w:tcPr>
          <w:p>
            <w:pPr>
              <w:spacing w:after="0" w:line="252" w:lineRule="auto"/>
            </w:pPr>
            <w:r>
              <w:rPr>
                <w:rFonts w:ascii="Aptos" w:hAnsi="Aptos"/>
                <w:b w:val="0"/>
                <w:i w:val="0"/>
                <w:color w:val="17213A"/>
                <w:sz w:val="16"/>
              </w:rPr>
              <w:t>Understand the Gita from the beginning and stay motivated.</w:t>
            </w:r>
          </w:p>
        </w:tc>
        <w:tc>
          <w:tcPr>
            <w:tcW w:type="dxa" w:w="4760"/>
            <w:vAlign w:val="center"/>
          </w:tcPr>
          <w:p>
            <w:pPr>
              <w:spacing w:after="0" w:line="252" w:lineRule="auto"/>
            </w:pPr>
            <w:r>
              <w:rPr>
                <w:rFonts w:ascii="Aptos" w:hAnsi="Aptos"/>
                <w:b w:val="0"/>
                <w:i w:val="0"/>
                <w:color w:val="17213A"/>
                <w:sz w:val="16"/>
              </w:rPr>
              <w:t>Plain orientation, prerequisites, flexible formats, continuity, trustworthy explanations.</w:t>
            </w:r>
          </w:p>
        </w:tc>
      </w:tr>
      <w:tr>
        <w:tc>
          <w:tcPr>
            <w:tcW w:type="dxa" w:w="1600"/>
            <w:vAlign w:val="center"/>
            <w:shd w:fill="F8F6F1"/>
          </w:tcPr>
          <w:p>
            <w:pPr>
              <w:spacing w:after="0" w:line="252" w:lineRule="auto"/>
            </w:pPr>
            <w:r>
              <w:rPr>
                <w:rFonts w:ascii="Aptos" w:hAnsi="Aptos"/>
                <w:b w:val="0"/>
                <w:i w:val="0"/>
                <w:color w:val="17213A"/>
                <w:sz w:val="16"/>
              </w:rPr>
              <w:t>Committed adult learner</w:t>
            </w:r>
          </w:p>
        </w:tc>
        <w:tc>
          <w:tcPr>
            <w:tcW w:type="dxa" w:w="3000"/>
            <w:vAlign w:val="center"/>
            <w:shd w:fill="F8F6F1"/>
          </w:tcPr>
          <w:p>
            <w:pPr>
              <w:spacing w:after="0" w:line="252" w:lineRule="auto"/>
            </w:pPr>
            <w:r>
              <w:rPr>
                <w:rFonts w:ascii="Aptos" w:hAnsi="Aptos"/>
                <w:b w:val="0"/>
                <w:i w:val="0"/>
                <w:color w:val="17213A"/>
                <w:sz w:val="16"/>
              </w:rPr>
              <w:t>Study systematically and revisit teachings.</w:t>
            </w:r>
          </w:p>
        </w:tc>
        <w:tc>
          <w:tcPr>
            <w:tcW w:type="dxa" w:w="4760"/>
            <w:vAlign w:val="center"/>
            <w:shd w:fill="F8F6F1"/>
          </w:tcPr>
          <w:p>
            <w:pPr>
              <w:spacing w:after="0" w:line="252" w:lineRule="auto"/>
            </w:pPr>
            <w:r>
              <w:rPr>
                <w:rFonts w:ascii="Aptos" w:hAnsi="Aptos"/>
                <w:b w:val="0"/>
                <w:i w:val="0"/>
                <w:color w:val="17213A"/>
                <w:sz w:val="16"/>
              </w:rPr>
              <w:t>Deep verse layers, notes, bookmarks, search, revision and cross-device progress.</w:t>
            </w:r>
          </w:p>
        </w:tc>
      </w:tr>
      <w:tr>
        <w:tc>
          <w:tcPr>
            <w:tcW w:type="dxa" w:w="1600"/>
            <w:vAlign w:val="center"/>
          </w:tcPr>
          <w:p>
            <w:pPr>
              <w:spacing w:after="0" w:line="252" w:lineRule="auto"/>
            </w:pPr>
            <w:r>
              <w:rPr>
                <w:rFonts w:ascii="Aptos" w:hAnsi="Aptos"/>
                <w:b w:val="0"/>
                <w:i w:val="0"/>
                <w:color w:val="17213A"/>
                <w:sz w:val="16"/>
              </w:rPr>
              <w:t>School student</w:t>
            </w:r>
          </w:p>
        </w:tc>
        <w:tc>
          <w:tcPr>
            <w:tcW w:type="dxa" w:w="3000"/>
            <w:vAlign w:val="center"/>
          </w:tcPr>
          <w:p>
            <w:pPr>
              <w:spacing w:after="0" w:line="252" w:lineRule="auto"/>
            </w:pPr>
            <w:r>
              <w:rPr>
                <w:rFonts w:ascii="Aptos" w:hAnsi="Aptos"/>
                <w:b w:val="0"/>
                <w:i w:val="0"/>
                <w:color w:val="17213A"/>
                <w:sz w:val="16"/>
              </w:rPr>
              <w:t>Learn age-appropriate concepts safely.</w:t>
            </w:r>
          </w:p>
        </w:tc>
        <w:tc>
          <w:tcPr>
            <w:tcW w:type="dxa" w:w="4760"/>
            <w:vAlign w:val="center"/>
          </w:tcPr>
          <w:p>
            <w:pPr>
              <w:spacing w:after="0" w:line="252" w:lineRule="auto"/>
            </w:pPr>
            <w:r>
              <w:rPr>
                <w:rFonts w:ascii="Aptos" w:hAnsi="Aptos"/>
                <w:b w:val="0"/>
                <w:i w:val="0"/>
                <w:color w:val="17213A"/>
                <w:sz w:val="16"/>
              </w:rPr>
              <w:t>Simple language, activities, short sessions, private progress, accessibility and support.</w:t>
            </w:r>
          </w:p>
        </w:tc>
      </w:tr>
      <w:tr>
        <w:tc>
          <w:tcPr>
            <w:tcW w:type="dxa" w:w="1600"/>
            <w:vAlign w:val="center"/>
            <w:shd w:fill="F8F6F1"/>
          </w:tcPr>
          <w:p>
            <w:pPr>
              <w:spacing w:after="0" w:line="252" w:lineRule="auto"/>
            </w:pPr>
            <w:r>
              <w:rPr>
                <w:rFonts w:ascii="Aptos" w:hAnsi="Aptos"/>
                <w:b w:val="0"/>
                <w:i w:val="0"/>
                <w:color w:val="17213A"/>
                <w:sz w:val="16"/>
              </w:rPr>
              <w:t>Teacher / facilitator</w:t>
            </w:r>
          </w:p>
        </w:tc>
        <w:tc>
          <w:tcPr>
            <w:tcW w:type="dxa" w:w="3000"/>
            <w:vAlign w:val="center"/>
            <w:shd w:fill="F8F6F1"/>
          </w:tcPr>
          <w:p>
            <w:pPr>
              <w:spacing w:after="0" w:line="252" w:lineRule="auto"/>
            </w:pPr>
            <w:r>
              <w:rPr>
                <w:rFonts w:ascii="Aptos" w:hAnsi="Aptos"/>
                <w:b w:val="0"/>
                <w:i w:val="0"/>
                <w:color w:val="17213A"/>
                <w:sz w:val="16"/>
              </w:rPr>
              <w:t>Assign, teach and support a cohort.</w:t>
            </w:r>
          </w:p>
        </w:tc>
        <w:tc>
          <w:tcPr>
            <w:tcW w:type="dxa" w:w="4760"/>
            <w:vAlign w:val="center"/>
            <w:shd w:fill="F8F6F1"/>
          </w:tcPr>
          <w:p>
            <w:pPr>
              <w:spacing w:after="0" w:line="252" w:lineRule="auto"/>
            </w:pPr>
            <w:r>
              <w:rPr>
                <w:rFonts w:ascii="Aptos" w:hAnsi="Aptos"/>
                <w:b w:val="0"/>
                <w:i w:val="0"/>
                <w:color w:val="17213A"/>
                <w:sz w:val="16"/>
              </w:rPr>
              <w:t>Lesson plans, pacing, roster, interventions, assessment and reports.</w:t>
            </w:r>
          </w:p>
        </w:tc>
      </w:tr>
      <w:tr>
        <w:tc>
          <w:tcPr>
            <w:tcW w:type="dxa" w:w="1600"/>
            <w:vAlign w:val="center"/>
          </w:tcPr>
          <w:p>
            <w:pPr>
              <w:spacing w:after="0" w:line="252" w:lineRule="auto"/>
            </w:pPr>
            <w:r>
              <w:rPr>
                <w:rFonts w:ascii="Aptos" w:hAnsi="Aptos"/>
                <w:b w:val="0"/>
                <w:i w:val="0"/>
                <w:color w:val="17213A"/>
                <w:sz w:val="16"/>
              </w:rPr>
              <w:t>Parent / guardian</w:t>
            </w:r>
          </w:p>
        </w:tc>
        <w:tc>
          <w:tcPr>
            <w:tcW w:type="dxa" w:w="3000"/>
            <w:vAlign w:val="center"/>
          </w:tcPr>
          <w:p>
            <w:pPr>
              <w:spacing w:after="0" w:line="252" w:lineRule="auto"/>
            </w:pPr>
            <w:r>
              <w:rPr>
                <w:rFonts w:ascii="Aptos" w:hAnsi="Aptos"/>
                <w:b w:val="0"/>
                <w:i w:val="0"/>
                <w:color w:val="17213A"/>
                <w:sz w:val="16"/>
              </w:rPr>
              <w:t>Understand and consent to a child’s participation.</w:t>
            </w:r>
          </w:p>
        </w:tc>
        <w:tc>
          <w:tcPr>
            <w:tcW w:type="dxa" w:w="4760"/>
            <w:vAlign w:val="center"/>
          </w:tcPr>
          <w:p>
            <w:pPr>
              <w:spacing w:after="0" w:line="252" w:lineRule="auto"/>
            </w:pPr>
            <w:r>
              <w:rPr>
                <w:rFonts w:ascii="Aptos" w:hAnsi="Aptos"/>
                <w:b w:val="0"/>
                <w:i w:val="0"/>
                <w:color w:val="17213A"/>
                <w:sz w:val="16"/>
              </w:rPr>
              <w:t>Plain privacy notice, consent controls and appropriate progress visibility.</w:t>
            </w:r>
          </w:p>
        </w:tc>
      </w:tr>
      <w:tr>
        <w:tc>
          <w:tcPr>
            <w:tcW w:type="dxa" w:w="1600"/>
            <w:vAlign w:val="center"/>
            <w:shd w:fill="F8F6F1"/>
          </w:tcPr>
          <w:p>
            <w:pPr>
              <w:spacing w:after="0" w:line="252" w:lineRule="auto"/>
            </w:pPr>
            <w:r>
              <w:rPr>
                <w:rFonts w:ascii="Aptos" w:hAnsi="Aptos"/>
                <w:b w:val="0"/>
                <w:i w:val="0"/>
                <w:color w:val="17213A"/>
                <w:sz w:val="16"/>
              </w:rPr>
              <w:t>Organisation member</w:t>
            </w:r>
          </w:p>
        </w:tc>
        <w:tc>
          <w:tcPr>
            <w:tcW w:type="dxa" w:w="3000"/>
            <w:vAlign w:val="center"/>
            <w:shd w:fill="F8F6F1"/>
          </w:tcPr>
          <w:p>
            <w:pPr>
              <w:spacing w:after="0" w:line="252" w:lineRule="auto"/>
            </w:pPr>
            <w:r>
              <w:rPr>
                <w:rFonts w:ascii="Aptos" w:hAnsi="Aptos"/>
                <w:b w:val="0"/>
                <w:i w:val="0"/>
                <w:color w:val="17213A"/>
                <w:sz w:val="16"/>
              </w:rPr>
              <w:t>Study the organisation’s authorised edition.</w:t>
            </w:r>
          </w:p>
        </w:tc>
        <w:tc>
          <w:tcPr>
            <w:tcW w:type="dxa" w:w="4760"/>
            <w:vAlign w:val="center"/>
            <w:shd w:fill="F8F6F1"/>
          </w:tcPr>
          <w:p>
            <w:pPr>
              <w:spacing w:after="0" w:line="252" w:lineRule="auto"/>
            </w:pPr>
            <w:r>
              <w:rPr>
                <w:rFonts w:ascii="Aptos" w:hAnsi="Aptos"/>
                <w:b w:val="0"/>
                <w:i w:val="0"/>
                <w:color w:val="17213A"/>
                <w:sz w:val="16"/>
              </w:rPr>
              <w:t>Recognisable brand, guru translation, local events/community links and trusted certificate.</w:t>
            </w:r>
          </w:p>
        </w:tc>
      </w:tr>
      <w:tr>
        <w:tc>
          <w:tcPr>
            <w:tcW w:type="dxa" w:w="1600"/>
            <w:vAlign w:val="center"/>
          </w:tcPr>
          <w:p>
            <w:pPr>
              <w:spacing w:after="0" w:line="252" w:lineRule="auto"/>
            </w:pPr>
            <w:r>
              <w:rPr>
                <w:rFonts w:ascii="Aptos" w:hAnsi="Aptos"/>
                <w:b w:val="0"/>
                <w:i w:val="0"/>
                <w:color w:val="17213A"/>
                <w:sz w:val="16"/>
              </w:rPr>
              <w:t>Content author / translator</w:t>
            </w:r>
          </w:p>
        </w:tc>
        <w:tc>
          <w:tcPr>
            <w:tcW w:type="dxa" w:w="3000"/>
            <w:vAlign w:val="center"/>
          </w:tcPr>
          <w:p>
            <w:pPr>
              <w:spacing w:after="0" w:line="252" w:lineRule="auto"/>
            </w:pPr>
            <w:r>
              <w:rPr>
                <w:rFonts w:ascii="Aptos" w:hAnsi="Aptos"/>
                <w:b w:val="0"/>
                <w:i w:val="0"/>
                <w:color w:val="17213A"/>
                <w:sz w:val="16"/>
              </w:rPr>
              <w:t>Create structured content without breaking source integrity.</w:t>
            </w:r>
          </w:p>
        </w:tc>
        <w:tc>
          <w:tcPr>
            <w:tcW w:type="dxa" w:w="4760"/>
            <w:vAlign w:val="center"/>
          </w:tcPr>
          <w:p>
            <w:pPr>
              <w:spacing w:after="0" w:line="252" w:lineRule="auto"/>
            </w:pPr>
            <w:r>
              <w:rPr>
                <w:rFonts w:ascii="Aptos" w:hAnsi="Aptos"/>
                <w:b w:val="0"/>
                <w:i w:val="0"/>
                <w:color w:val="17213A"/>
                <w:sz w:val="16"/>
              </w:rPr>
              <w:t>Verse-aware editor, terminology controls, citations, media and preview.</w:t>
            </w:r>
          </w:p>
        </w:tc>
      </w:tr>
      <w:tr>
        <w:tc>
          <w:tcPr>
            <w:tcW w:type="dxa" w:w="1600"/>
            <w:vAlign w:val="center"/>
            <w:shd w:fill="F8F6F1"/>
          </w:tcPr>
          <w:p>
            <w:pPr>
              <w:spacing w:after="0" w:line="252" w:lineRule="auto"/>
            </w:pPr>
            <w:r>
              <w:rPr>
                <w:rFonts w:ascii="Aptos" w:hAnsi="Aptos"/>
                <w:b w:val="0"/>
                <w:i w:val="0"/>
                <w:color w:val="17213A"/>
                <w:sz w:val="16"/>
              </w:rPr>
              <w:t>Reviewer / approver</w:t>
            </w:r>
          </w:p>
        </w:tc>
        <w:tc>
          <w:tcPr>
            <w:tcW w:type="dxa" w:w="3000"/>
            <w:vAlign w:val="center"/>
            <w:shd w:fill="F8F6F1"/>
          </w:tcPr>
          <w:p>
            <w:pPr>
              <w:spacing w:after="0" w:line="252" w:lineRule="auto"/>
            </w:pPr>
            <w:r>
              <w:rPr>
                <w:rFonts w:ascii="Aptos" w:hAnsi="Aptos"/>
                <w:b w:val="0"/>
                <w:i w:val="0"/>
                <w:color w:val="17213A"/>
                <w:sz w:val="16"/>
              </w:rPr>
              <w:t>Approve only accurate, licensed and accessible releases.</w:t>
            </w:r>
          </w:p>
        </w:tc>
        <w:tc>
          <w:tcPr>
            <w:tcW w:type="dxa" w:w="4760"/>
            <w:vAlign w:val="center"/>
            <w:shd w:fill="F8F6F1"/>
          </w:tcPr>
          <w:p>
            <w:pPr>
              <w:spacing w:after="0" w:line="252" w:lineRule="auto"/>
            </w:pPr>
            <w:r>
              <w:rPr>
                <w:rFonts w:ascii="Aptos" w:hAnsi="Aptos"/>
                <w:b w:val="0"/>
                <w:i w:val="0"/>
                <w:color w:val="17213A"/>
                <w:sz w:val="16"/>
              </w:rPr>
              <w:t>Comparisons, comments, workflow, version history and sign-off evidence.</w:t>
            </w:r>
          </w:p>
        </w:tc>
      </w:tr>
      <w:tr>
        <w:tc>
          <w:tcPr>
            <w:tcW w:type="dxa" w:w="1600"/>
            <w:vAlign w:val="center"/>
          </w:tcPr>
          <w:p>
            <w:pPr>
              <w:spacing w:after="0" w:line="252" w:lineRule="auto"/>
            </w:pPr>
            <w:r>
              <w:rPr>
                <w:rFonts w:ascii="Aptos" w:hAnsi="Aptos"/>
                <w:b w:val="0"/>
                <w:i w:val="0"/>
                <w:color w:val="17213A"/>
                <w:sz w:val="16"/>
              </w:rPr>
              <w:t>Teacher administrator</w:t>
            </w:r>
          </w:p>
        </w:tc>
        <w:tc>
          <w:tcPr>
            <w:tcW w:type="dxa" w:w="3000"/>
            <w:vAlign w:val="center"/>
          </w:tcPr>
          <w:p>
            <w:pPr>
              <w:spacing w:after="0" w:line="252" w:lineRule="auto"/>
            </w:pPr>
            <w:r>
              <w:rPr>
                <w:rFonts w:ascii="Aptos" w:hAnsi="Aptos"/>
                <w:b w:val="0"/>
                <w:i w:val="0"/>
                <w:color w:val="17213A"/>
                <w:sz w:val="16"/>
              </w:rPr>
              <w:t>Operate programmes across classes or centres.</w:t>
            </w:r>
          </w:p>
        </w:tc>
        <w:tc>
          <w:tcPr>
            <w:tcW w:type="dxa" w:w="4760"/>
            <w:vAlign w:val="center"/>
          </w:tcPr>
          <w:p>
            <w:pPr>
              <w:spacing w:after="0" w:line="252" w:lineRule="auto"/>
            </w:pPr>
            <w:r>
              <w:rPr>
                <w:rFonts w:ascii="Aptos" w:hAnsi="Aptos"/>
                <w:b w:val="0"/>
                <w:i w:val="0"/>
                <w:color w:val="17213A"/>
                <w:sz w:val="16"/>
              </w:rPr>
              <w:t>Cohorts, staff roles, policies, exports and audit logs.</w:t>
            </w:r>
          </w:p>
        </w:tc>
      </w:tr>
      <w:tr>
        <w:tc>
          <w:tcPr>
            <w:tcW w:type="dxa" w:w="1600"/>
            <w:vAlign w:val="center"/>
            <w:shd w:fill="F8F6F1"/>
          </w:tcPr>
          <w:p>
            <w:pPr>
              <w:spacing w:after="0" w:line="252" w:lineRule="auto"/>
            </w:pPr>
            <w:r>
              <w:rPr>
                <w:rFonts w:ascii="Aptos" w:hAnsi="Aptos"/>
                <w:b w:val="0"/>
                <w:i w:val="0"/>
                <w:color w:val="17213A"/>
                <w:sz w:val="16"/>
              </w:rPr>
              <w:t>Tenant administrator</w:t>
            </w:r>
          </w:p>
        </w:tc>
        <w:tc>
          <w:tcPr>
            <w:tcW w:type="dxa" w:w="3000"/>
            <w:vAlign w:val="center"/>
            <w:shd w:fill="F8F6F1"/>
          </w:tcPr>
          <w:p>
            <w:pPr>
              <w:spacing w:after="0" w:line="252" w:lineRule="auto"/>
            </w:pPr>
            <w:r>
              <w:rPr>
                <w:rFonts w:ascii="Aptos" w:hAnsi="Aptos"/>
                <w:b w:val="0"/>
                <w:i w:val="0"/>
                <w:color w:val="17213A"/>
                <w:sz w:val="16"/>
              </w:rPr>
              <w:t>Configure an organisation edition.</w:t>
            </w:r>
          </w:p>
        </w:tc>
        <w:tc>
          <w:tcPr>
            <w:tcW w:type="dxa" w:w="4760"/>
            <w:vAlign w:val="center"/>
            <w:shd w:fill="F8F6F1"/>
          </w:tcPr>
          <w:p>
            <w:pPr>
              <w:spacing w:after="0" w:line="252" w:lineRule="auto"/>
            </w:pPr>
            <w:r>
              <w:rPr>
                <w:rFonts w:ascii="Aptos" w:hAnsi="Aptos"/>
                <w:b w:val="0"/>
                <w:i w:val="0"/>
                <w:color w:val="17213A"/>
                <w:sz w:val="16"/>
              </w:rPr>
              <w:t>Brand, domain, content entitlements, SSO, retention, certificates and analytics.</w:t>
            </w:r>
          </w:p>
        </w:tc>
      </w:tr>
      <w:tr>
        <w:tc>
          <w:tcPr>
            <w:tcW w:type="dxa" w:w="1600"/>
            <w:vAlign w:val="center"/>
          </w:tcPr>
          <w:p>
            <w:pPr>
              <w:spacing w:after="0" w:line="252" w:lineRule="auto"/>
            </w:pPr>
            <w:r>
              <w:rPr>
                <w:rFonts w:ascii="Aptos" w:hAnsi="Aptos"/>
                <w:b w:val="0"/>
                <w:i w:val="0"/>
                <w:color w:val="17213A"/>
                <w:sz w:val="16"/>
              </w:rPr>
              <w:t>Platform operator</w:t>
            </w:r>
          </w:p>
        </w:tc>
        <w:tc>
          <w:tcPr>
            <w:tcW w:type="dxa" w:w="3000"/>
            <w:vAlign w:val="center"/>
          </w:tcPr>
          <w:p>
            <w:pPr>
              <w:spacing w:after="0" w:line="252" w:lineRule="auto"/>
            </w:pPr>
            <w:r>
              <w:rPr>
                <w:rFonts w:ascii="Aptos" w:hAnsi="Aptos"/>
                <w:b w:val="0"/>
                <w:i w:val="0"/>
                <w:color w:val="17213A"/>
                <w:sz w:val="16"/>
              </w:rPr>
              <w:t>Keep the service secure and reliable.</w:t>
            </w:r>
          </w:p>
        </w:tc>
        <w:tc>
          <w:tcPr>
            <w:tcW w:type="dxa" w:w="4760"/>
            <w:vAlign w:val="center"/>
          </w:tcPr>
          <w:p>
            <w:pPr>
              <w:spacing w:after="0" w:line="252" w:lineRule="auto"/>
            </w:pPr>
            <w:r>
              <w:rPr>
                <w:rFonts w:ascii="Aptos" w:hAnsi="Aptos"/>
                <w:b w:val="0"/>
                <w:i w:val="0"/>
                <w:color w:val="17213A"/>
                <w:sz w:val="16"/>
              </w:rPr>
              <w:t>Tenant isolation, observability, support tools, feature flags and incident controls.</w:t>
            </w:r>
          </w:p>
        </w:tc>
      </w:tr>
    </w:tbl>
    <w:p>
      <w:pPr>
        <w:spacing w:after="20"/>
      </w:pPr>
    </w:p>
    <w:p>
      <w:pPr>
        <w:pStyle w:val="Heading2"/>
      </w:pPr>
      <w:r>
        <w:t>Role and permission summary</w:t>
      </w:r>
    </w:p>
    <w:tbl>
      <w:tblPr>
        <w:tblW w:type="dxa" w:w="9360"/>
        <w:jc w:val="left"/>
        <w:tblLayout w:type="fixed"/>
        <w:tblLook w:firstColumn="1" w:firstRow="1" w:lastColumn="0" w:lastRow="0" w:noHBand="0" w:noVBand="1" w:val="04A0"/>
        <w:tblInd w:w="120" w:type="dxa"/>
        <w:tblBorders>
          <w:top w:val="single" w:sz="6" w:space="0" w:color="DDD3C1"/>
          <w:left w:val="single" w:sz="6" w:space="0" w:color="DDD3C1"/>
          <w:bottom w:val="single" w:sz="6" w:space="0" w:color="DDD3C1"/>
          <w:right w:val="single" w:sz="6" w:space="0" w:color="DDD3C1"/>
          <w:insideH w:val="single" w:sz="6" w:space="0" w:color="DDD3C1"/>
          <w:insideV w:val="single" w:sz="6" w:space="0" w:color="DDD3C1"/>
        </w:tblBorders>
      </w:tblPr>
      <w:tblGrid>
        <w:gridCol w:w="1700"/>
        <w:gridCol w:w="2400"/>
        <w:gridCol w:w="5260"/>
      </w:tblGrid>
      <w:tr>
        <w:trPr>
          <w:tblHeader w:val="true"/>
        </w:trPr>
        <w:tc>
          <w:tcPr>
            <w:tcW w:type="dxa" w:w="1700"/>
            <w:tcMar>
              <w:top w:w="100" w:type="dxa"/>
              <w:start w:w="120" w:type="dxa"/>
              <w:bottom w:w="100" w:type="dxa"/>
              <w:end w:w="120" w:type="dxa"/>
            </w:tcMar>
            <w:shd w:fill="18264F"/>
            <w:vAlign w:val="center"/>
          </w:tcPr>
          <w:p>
            <w:pPr>
              <w:spacing w:after="0"/>
            </w:pPr>
            <w:r>
              <w:rPr>
                <w:rFonts w:ascii="Aptos" w:hAnsi="Aptos"/>
                <w:b/>
                <w:i w:val="0"/>
                <w:color w:val="FFFFFF"/>
                <w:sz w:val="18"/>
              </w:rPr>
              <w:t>Role</w:t>
            </w:r>
          </w:p>
        </w:tc>
        <w:tc>
          <w:tcPr>
            <w:tcW w:type="dxa" w:w="2400"/>
            <w:tcMar>
              <w:top w:w="100" w:type="dxa"/>
              <w:start w:w="120" w:type="dxa"/>
              <w:bottom w:w="100" w:type="dxa"/>
              <w:end w:w="120" w:type="dxa"/>
            </w:tcMar>
            <w:shd w:fill="18264F"/>
            <w:vAlign w:val="center"/>
          </w:tcPr>
          <w:p>
            <w:pPr>
              <w:spacing w:after="0"/>
            </w:pPr>
            <w:r>
              <w:rPr>
                <w:rFonts w:ascii="Aptos" w:hAnsi="Aptos"/>
                <w:b/>
                <w:i w:val="0"/>
                <w:color w:val="FFFFFF"/>
                <w:sz w:val="18"/>
              </w:rPr>
              <w:t>Scope</w:t>
            </w:r>
          </w:p>
        </w:tc>
        <w:tc>
          <w:tcPr>
            <w:tcW w:type="dxa" w:w="5260"/>
            <w:tcMar>
              <w:top w:w="100" w:type="dxa"/>
              <w:start w:w="120" w:type="dxa"/>
              <w:bottom w:w="100" w:type="dxa"/>
              <w:end w:w="120" w:type="dxa"/>
            </w:tcMar>
            <w:shd w:fill="18264F"/>
            <w:vAlign w:val="center"/>
          </w:tcPr>
          <w:p>
            <w:pPr>
              <w:spacing w:after="0"/>
            </w:pPr>
            <w:r>
              <w:rPr>
                <w:rFonts w:ascii="Aptos" w:hAnsi="Aptos"/>
                <w:b/>
                <w:i w:val="0"/>
                <w:color w:val="FFFFFF"/>
                <w:sz w:val="18"/>
              </w:rPr>
              <w:t>Key permissions</w:t>
            </w:r>
          </w:p>
        </w:tc>
      </w:tr>
      <w:tr>
        <w:tc>
          <w:tcPr>
            <w:tcW w:type="dxa" w:w="1700"/>
            <w:vAlign w:val="center"/>
          </w:tcPr>
          <w:p>
            <w:pPr>
              <w:spacing w:after="0" w:line="252" w:lineRule="auto"/>
            </w:pPr>
            <w:r>
              <w:rPr>
                <w:rFonts w:ascii="Aptos" w:hAnsi="Aptos"/>
                <w:b w:val="0"/>
                <w:i w:val="0"/>
                <w:color w:val="17213A"/>
                <w:sz w:val="16"/>
              </w:rPr>
              <w:t>Learner</w:t>
            </w:r>
          </w:p>
        </w:tc>
        <w:tc>
          <w:tcPr>
            <w:tcW w:type="dxa" w:w="2400"/>
            <w:vAlign w:val="center"/>
          </w:tcPr>
          <w:p>
            <w:pPr>
              <w:spacing w:after="0" w:line="252" w:lineRule="auto"/>
            </w:pPr>
            <w:r>
              <w:rPr>
                <w:rFonts w:ascii="Aptos" w:hAnsi="Aptos"/>
                <w:b w:val="0"/>
                <w:i w:val="0"/>
                <w:color w:val="17213A"/>
                <w:sz w:val="16"/>
              </w:rPr>
              <w:t>Own account</w:t>
            </w:r>
          </w:p>
        </w:tc>
        <w:tc>
          <w:tcPr>
            <w:tcW w:type="dxa" w:w="5260"/>
            <w:vAlign w:val="center"/>
          </w:tcPr>
          <w:p>
            <w:pPr>
              <w:spacing w:after="0" w:line="252" w:lineRule="auto"/>
            </w:pPr>
            <w:r>
              <w:rPr>
                <w:rFonts w:ascii="Aptos" w:hAnsi="Aptos"/>
                <w:b w:val="0"/>
                <w:i w:val="0"/>
                <w:color w:val="17213A"/>
                <w:sz w:val="16"/>
              </w:rPr>
              <w:t>View entitled content; manage own progress, notes, downloads and privacy choices.</w:t>
            </w:r>
          </w:p>
        </w:tc>
      </w:tr>
      <w:tr>
        <w:tc>
          <w:tcPr>
            <w:tcW w:type="dxa" w:w="1700"/>
            <w:vAlign w:val="center"/>
            <w:shd w:fill="F8F6F1"/>
          </w:tcPr>
          <w:p>
            <w:pPr>
              <w:spacing w:after="0" w:line="252" w:lineRule="auto"/>
            </w:pPr>
            <w:r>
              <w:rPr>
                <w:rFonts w:ascii="Aptos" w:hAnsi="Aptos"/>
                <w:b w:val="0"/>
                <w:i w:val="0"/>
                <w:color w:val="17213A"/>
                <w:sz w:val="16"/>
              </w:rPr>
              <w:t>Guardian</w:t>
            </w:r>
          </w:p>
        </w:tc>
        <w:tc>
          <w:tcPr>
            <w:tcW w:type="dxa" w:w="2400"/>
            <w:vAlign w:val="center"/>
            <w:shd w:fill="F8F6F1"/>
          </w:tcPr>
          <w:p>
            <w:pPr>
              <w:spacing w:after="0" w:line="252" w:lineRule="auto"/>
            </w:pPr>
            <w:r>
              <w:rPr>
                <w:rFonts w:ascii="Aptos" w:hAnsi="Aptos"/>
                <w:b w:val="0"/>
                <w:i w:val="0"/>
                <w:color w:val="17213A"/>
                <w:sz w:val="16"/>
              </w:rPr>
              <w:t>Linked minor(s)</w:t>
            </w:r>
          </w:p>
        </w:tc>
        <w:tc>
          <w:tcPr>
            <w:tcW w:type="dxa" w:w="5260"/>
            <w:vAlign w:val="center"/>
            <w:shd w:fill="F8F6F1"/>
          </w:tcPr>
          <w:p>
            <w:pPr>
              <w:spacing w:after="0" w:line="252" w:lineRule="auto"/>
            </w:pPr>
            <w:r>
              <w:rPr>
                <w:rFonts w:ascii="Aptos" w:hAnsi="Aptos"/>
                <w:b w:val="0"/>
                <w:i w:val="0"/>
                <w:color w:val="17213A"/>
                <w:sz w:val="16"/>
              </w:rPr>
              <w:t>Consent and limited oversight as local policy permits; no access to private reflections.</w:t>
            </w:r>
          </w:p>
        </w:tc>
      </w:tr>
      <w:tr>
        <w:tc>
          <w:tcPr>
            <w:tcW w:type="dxa" w:w="1700"/>
            <w:vAlign w:val="center"/>
          </w:tcPr>
          <w:p>
            <w:pPr>
              <w:spacing w:after="0" w:line="252" w:lineRule="auto"/>
            </w:pPr>
            <w:r>
              <w:rPr>
                <w:rFonts w:ascii="Aptos" w:hAnsi="Aptos"/>
                <w:b w:val="0"/>
                <w:i w:val="0"/>
                <w:color w:val="17213A"/>
                <w:sz w:val="16"/>
              </w:rPr>
              <w:t>Teacher</w:t>
            </w:r>
          </w:p>
        </w:tc>
        <w:tc>
          <w:tcPr>
            <w:tcW w:type="dxa" w:w="2400"/>
            <w:vAlign w:val="center"/>
          </w:tcPr>
          <w:p>
            <w:pPr>
              <w:spacing w:after="0" w:line="252" w:lineRule="auto"/>
            </w:pPr>
            <w:r>
              <w:rPr>
                <w:rFonts w:ascii="Aptos" w:hAnsi="Aptos"/>
                <w:b w:val="0"/>
                <w:i w:val="0"/>
                <w:color w:val="17213A"/>
                <w:sz w:val="16"/>
              </w:rPr>
              <w:t>Assigned cohorts</w:t>
            </w:r>
          </w:p>
        </w:tc>
        <w:tc>
          <w:tcPr>
            <w:tcW w:type="dxa" w:w="5260"/>
            <w:vAlign w:val="center"/>
          </w:tcPr>
          <w:p>
            <w:pPr>
              <w:spacing w:after="0" w:line="252" w:lineRule="auto"/>
            </w:pPr>
            <w:r>
              <w:rPr>
                <w:rFonts w:ascii="Aptos" w:hAnsi="Aptos"/>
                <w:b w:val="0"/>
                <w:i w:val="0"/>
                <w:color w:val="17213A"/>
                <w:sz w:val="16"/>
              </w:rPr>
              <w:t>Assign content, view educational progress, provide feedback and manage classroom activities.</w:t>
            </w:r>
          </w:p>
        </w:tc>
      </w:tr>
      <w:tr>
        <w:tc>
          <w:tcPr>
            <w:tcW w:type="dxa" w:w="1700"/>
            <w:vAlign w:val="center"/>
            <w:shd w:fill="F8F6F1"/>
          </w:tcPr>
          <w:p>
            <w:pPr>
              <w:spacing w:after="0" w:line="252" w:lineRule="auto"/>
            </w:pPr>
            <w:r>
              <w:rPr>
                <w:rFonts w:ascii="Aptos" w:hAnsi="Aptos"/>
                <w:b w:val="0"/>
                <w:i w:val="0"/>
                <w:color w:val="17213A"/>
                <w:sz w:val="16"/>
              </w:rPr>
              <w:t>Content author</w:t>
            </w:r>
          </w:p>
        </w:tc>
        <w:tc>
          <w:tcPr>
            <w:tcW w:type="dxa" w:w="2400"/>
            <w:vAlign w:val="center"/>
            <w:shd w:fill="F8F6F1"/>
          </w:tcPr>
          <w:p>
            <w:pPr>
              <w:spacing w:after="0" w:line="252" w:lineRule="auto"/>
            </w:pPr>
            <w:r>
              <w:rPr>
                <w:rFonts w:ascii="Aptos" w:hAnsi="Aptos"/>
                <w:b w:val="0"/>
                <w:i w:val="0"/>
                <w:color w:val="17213A"/>
                <w:sz w:val="16"/>
              </w:rPr>
              <w:t>Named edition</w:t>
            </w:r>
          </w:p>
        </w:tc>
        <w:tc>
          <w:tcPr>
            <w:tcW w:type="dxa" w:w="5260"/>
            <w:vAlign w:val="center"/>
            <w:shd w:fill="F8F6F1"/>
          </w:tcPr>
          <w:p>
            <w:pPr>
              <w:spacing w:after="0" w:line="252" w:lineRule="auto"/>
            </w:pPr>
            <w:r>
              <w:rPr>
                <w:rFonts w:ascii="Aptos" w:hAnsi="Aptos"/>
                <w:b w:val="0"/>
                <w:i w:val="0"/>
                <w:color w:val="17213A"/>
                <w:sz w:val="16"/>
              </w:rPr>
              <w:t>Draft structured lessons and assessments; cannot publish.</w:t>
            </w:r>
          </w:p>
        </w:tc>
      </w:tr>
      <w:tr>
        <w:tc>
          <w:tcPr>
            <w:tcW w:type="dxa" w:w="1700"/>
            <w:vAlign w:val="center"/>
          </w:tcPr>
          <w:p>
            <w:pPr>
              <w:spacing w:after="0" w:line="252" w:lineRule="auto"/>
            </w:pPr>
            <w:r>
              <w:rPr>
                <w:rFonts w:ascii="Aptos" w:hAnsi="Aptos"/>
                <w:b w:val="0"/>
                <w:i w:val="0"/>
                <w:color w:val="17213A"/>
                <w:sz w:val="16"/>
              </w:rPr>
              <w:t>Reviewer</w:t>
            </w:r>
          </w:p>
        </w:tc>
        <w:tc>
          <w:tcPr>
            <w:tcW w:type="dxa" w:w="2400"/>
            <w:vAlign w:val="center"/>
          </w:tcPr>
          <w:p>
            <w:pPr>
              <w:spacing w:after="0" w:line="252" w:lineRule="auto"/>
            </w:pPr>
            <w:r>
              <w:rPr>
                <w:rFonts w:ascii="Aptos" w:hAnsi="Aptos"/>
                <w:b w:val="0"/>
                <w:i w:val="0"/>
                <w:color w:val="17213A"/>
                <w:sz w:val="16"/>
              </w:rPr>
              <w:t>Named edition/language</w:t>
            </w:r>
          </w:p>
        </w:tc>
        <w:tc>
          <w:tcPr>
            <w:tcW w:type="dxa" w:w="5260"/>
            <w:vAlign w:val="center"/>
          </w:tcPr>
          <w:p>
            <w:pPr>
              <w:spacing w:after="0" w:line="252" w:lineRule="auto"/>
            </w:pPr>
            <w:r>
              <w:rPr>
                <w:rFonts w:ascii="Aptos" w:hAnsi="Aptos"/>
                <w:b w:val="0"/>
                <w:i w:val="0"/>
                <w:color w:val="17213A"/>
                <w:sz w:val="16"/>
              </w:rPr>
              <w:t>Comment, request changes, approve assigned review dimension.</w:t>
            </w:r>
          </w:p>
        </w:tc>
      </w:tr>
      <w:tr>
        <w:tc>
          <w:tcPr>
            <w:tcW w:type="dxa" w:w="1700"/>
            <w:vAlign w:val="center"/>
            <w:shd w:fill="F8F6F1"/>
          </w:tcPr>
          <w:p>
            <w:pPr>
              <w:spacing w:after="0" w:line="252" w:lineRule="auto"/>
            </w:pPr>
            <w:r>
              <w:rPr>
                <w:rFonts w:ascii="Aptos" w:hAnsi="Aptos"/>
                <w:b w:val="0"/>
                <w:i w:val="0"/>
                <w:color w:val="17213A"/>
                <w:sz w:val="16"/>
              </w:rPr>
              <w:t>Publisher</w:t>
            </w:r>
          </w:p>
        </w:tc>
        <w:tc>
          <w:tcPr>
            <w:tcW w:type="dxa" w:w="2400"/>
            <w:vAlign w:val="center"/>
            <w:shd w:fill="F8F6F1"/>
          </w:tcPr>
          <w:p>
            <w:pPr>
              <w:spacing w:after="0" w:line="252" w:lineRule="auto"/>
            </w:pPr>
            <w:r>
              <w:rPr>
                <w:rFonts w:ascii="Aptos" w:hAnsi="Aptos"/>
                <w:b w:val="0"/>
                <w:i w:val="0"/>
                <w:color w:val="17213A"/>
                <w:sz w:val="16"/>
              </w:rPr>
              <w:t>Tenant/edition</w:t>
            </w:r>
          </w:p>
        </w:tc>
        <w:tc>
          <w:tcPr>
            <w:tcW w:type="dxa" w:w="5260"/>
            <w:vAlign w:val="center"/>
            <w:shd w:fill="F8F6F1"/>
          </w:tcPr>
          <w:p>
            <w:pPr>
              <w:spacing w:after="0" w:line="252" w:lineRule="auto"/>
            </w:pPr>
            <w:r>
              <w:rPr>
                <w:rFonts w:ascii="Aptos" w:hAnsi="Aptos"/>
                <w:b w:val="0"/>
                <w:i w:val="0"/>
                <w:color w:val="17213A"/>
                <w:sz w:val="16"/>
              </w:rPr>
              <w:t>Schedule, publish, supersede and retract approved versions.</w:t>
            </w:r>
          </w:p>
        </w:tc>
      </w:tr>
      <w:tr>
        <w:tc>
          <w:tcPr>
            <w:tcW w:type="dxa" w:w="1700"/>
            <w:vAlign w:val="center"/>
          </w:tcPr>
          <w:p>
            <w:pPr>
              <w:spacing w:after="0" w:line="252" w:lineRule="auto"/>
            </w:pPr>
            <w:r>
              <w:rPr>
                <w:rFonts w:ascii="Aptos" w:hAnsi="Aptos"/>
                <w:b w:val="0"/>
                <w:i w:val="0"/>
                <w:color w:val="17213A"/>
                <w:sz w:val="16"/>
              </w:rPr>
              <w:t>Tenant admin</w:t>
            </w:r>
          </w:p>
        </w:tc>
        <w:tc>
          <w:tcPr>
            <w:tcW w:type="dxa" w:w="2400"/>
            <w:vAlign w:val="center"/>
          </w:tcPr>
          <w:p>
            <w:pPr>
              <w:spacing w:after="0" w:line="252" w:lineRule="auto"/>
            </w:pPr>
            <w:r>
              <w:rPr>
                <w:rFonts w:ascii="Aptos" w:hAnsi="Aptos"/>
                <w:b w:val="0"/>
                <w:i w:val="0"/>
                <w:color w:val="17213A"/>
                <w:sz w:val="16"/>
              </w:rPr>
              <w:t>Organisation</w:t>
            </w:r>
          </w:p>
        </w:tc>
        <w:tc>
          <w:tcPr>
            <w:tcW w:type="dxa" w:w="5260"/>
            <w:vAlign w:val="center"/>
          </w:tcPr>
          <w:p>
            <w:pPr>
              <w:spacing w:after="0" w:line="252" w:lineRule="auto"/>
            </w:pPr>
            <w:r>
              <w:rPr>
                <w:rFonts w:ascii="Aptos" w:hAnsi="Aptos"/>
                <w:b w:val="0"/>
                <w:i w:val="0"/>
                <w:color w:val="17213A"/>
                <w:sz w:val="16"/>
              </w:rPr>
              <w:t>Users, cohorts, branding, policies, integrations, reports and certificates.</w:t>
            </w:r>
          </w:p>
        </w:tc>
      </w:tr>
      <w:tr>
        <w:tc>
          <w:tcPr>
            <w:tcW w:type="dxa" w:w="1700"/>
            <w:vAlign w:val="center"/>
            <w:shd w:fill="F8F6F1"/>
          </w:tcPr>
          <w:p>
            <w:pPr>
              <w:spacing w:after="0" w:line="252" w:lineRule="auto"/>
            </w:pPr>
            <w:r>
              <w:rPr>
                <w:rFonts w:ascii="Aptos" w:hAnsi="Aptos"/>
                <w:b w:val="0"/>
                <w:i w:val="0"/>
                <w:color w:val="17213A"/>
                <w:sz w:val="16"/>
              </w:rPr>
              <w:t>Platform admin</w:t>
            </w:r>
          </w:p>
        </w:tc>
        <w:tc>
          <w:tcPr>
            <w:tcW w:type="dxa" w:w="2400"/>
            <w:vAlign w:val="center"/>
            <w:shd w:fill="F8F6F1"/>
          </w:tcPr>
          <w:p>
            <w:pPr>
              <w:spacing w:after="0" w:line="252" w:lineRule="auto"/>
            </w:pPr>
            <w:r>
              <w:rPr>
                <w:rFonts w:ascii="Aptos" w:hAnsi="Aptos"/>
                <w:b w:val="0"/>
                <w:i w:val="0"/>
                <w:color w:val="17213A"/>
                <w:sz w:val="16"/>
              </w:rPr>
              <w:t>Platform</w:t>
            </w:r>
          </w:p>
        </w:tc>
        <w:tc>
          <w:tcPr>
            <w:tcW w:type="dxa" w:w="5260"/>
            <w:vAlign w:val="center"/>
            <w:shd w:fill="F8F6F1"/>
          </w:tcPr>
          <w:p>
            <w:pPr>
              <w:spacing w:after="0" w:line="252" w:lineRule="auto"/>
            </w:pPr>
            <w:r>
              <w:rPr>
                <w:rFonts w:ascii="Aptos" w:hAnsi="Aptos"/>
                <w:b w:val="0"/>
                <w:i w:val="0"/>
                <w:color w:val="17213A"/>
                <w:sz w:val="16"/>
              </w:rPr>
              <w:t>Tenant lifecycle, operations and support with controlled, audited elevation.</w:t>
            </w:r>
          </w:p>
        </w:tc>
      </w:tr>
    </w:tbl>
    <w:p>
      <w:pPr>
        <w:spacing w:after="20"/>
      </w:pPr>
    </w:p>
    <w:p>
      <w:pPr>
        <w:sectPr>
          <w:pgSz w:w="12240" w:h="15840"/>
          <w:pgMar w:top="1440" w:right="1440" w:bottom="1440" w:left="1440" w:header="708" w:footer="708" w:gutter="0"/>
          <w:cols w:space="720"/>
          <w:docGrid w:linePitch="360"/>
        </w:sectPr>
      </w:pPr>
    </w:p>
    <w:p>
      <w:pPr>
        <w:spacing w:after="100"/>
      </w:pPr>
      <w:r>
        <w:rPr>
          <w:rFonts w:ascii="Aptos" w:hAnsi="Aptos"/>
          <w:b/>
          <w:i w:val="0"/>
          <w:caps/>
          <w:color w:val="D9832E"/>
          <w:sz w:val="16"/>
        </w:rPr>
        <w:t>SECTION 5</w:t>
      </w:r>
    </w:p>
    <w:p>
      <w:pPr>
        <w:pStyle w:val="Heading1"/>
      </w:pPr>
      <w:r>
        <w:t>Product scope and release boundaries</w:t>
      </w:r>
    </w:p>
    <w:p>
      <w:pPr>
        <w:pStyle w:val="Heading2"/>
      </w:pPr>
      <w:r>
        <w:t>Initial product: Bhagavad Gita Foundations</w:t>
      </w:r>
    </w:p>
    <w:p>
      <w:pPr>
        <w:pStyle w:val="ListBullet"/>
      </w:pPr>
      <w:r>
        <w:rPr>
          <w:rFonts w:ascii="Aptos" w:hAnsi="Aptos"/>
          <w:b w:val="0"/>
          <w:i w:val="0"/>
          <w:color w:val="17213A"/>
          <w:sz w:val="20"/>
        </w:rPr>
        <w:t>A prerequisite and orientation pathway that establishes context, key concepts, study method and learner readiness.</w:t>
      </w:r>
    </w:p>
    <w:p>
      <w:pPr>
        <w:pStyle w:val="ListBullet"/>
      </w:pPr>
      <w:r>
        <w:rPr>
          <w:rFonts w:ascii="Aptos" w:hAnsi="Aptos"/>
          <w:b w:val="0"/>
          <w:i w:val="0"/>
          <w:color w:val="17213A"/>
          <w:sz w:val="20"/>
        </w:rPr>
        <w:t>All 18 chapters, each containing overview, selected key verses, optional full-text reading, multimodal explanations, glossary, reflection, practice and assessment.</w:t>
      </w:r>
    </w:p>
    <w:p>
      <w:pPr>
        <w:pStyle w:val="ListBullet"/>
      </w:pPr>
      <w:r>
        <w:rPr>
          <w:rFonts w:ascii="Aptos" w:hAnsi="Aptos"/>
          <w:b w:val="0"/>
          <w:i w:val="0"/>
          <w:color w:val="17213A"/>
          <w:sz w:val="20"/>
        </w:rPr>
        <w:t>One complete Living Bliss edition in English, with Sanskrit/Devanagari and standard transliteration; localisation pipeline ready for Indian languages.</w:t>
      </w:r>
    </w:p>
    <w:p>
      <w:pPr>
        <w:pStyle w:val="ListBullet"/>
      </w:pPr>
      <w:r>
        <w:rPr>
          <w:rFonts w:ascii="Aptos" w:hAnsi="Aptos"/>
          <w:b w:val="0"/>
          <w:i w:val="0"/>
          <w:color w:val="17213A"/>
          <w:sz w:val="20"/>
        </w:rPr>
        <w:t>Responsive learner web experience, iOS and Android applications, offline learning packs and cross-device progress.</w:t>
      </w:r>
    </w:p>
    <w:p>
      <w:pPr>
        <w:pStyle w:val="ListBullet"/>
      </w:pPr>
      <w:r>
        <w:rPr>
          <w:rFonts w:ascii="Aptos" w:hAnsi="Aptos"/>
          <w:b w:val="0"/>
          <w:i w:val="0"/>
          <w:color w:val="17213A"/>
          <w:sz w:val="20"/>
        </w:rPr>
        <w:t>Learner account, guardian/child model where applicable, teacher cohort experience, tenant administration and structured content studio.</w:t>
      </w:r>
    </w:p>
    <w:p>
      <w:pPr>
        <w:pStyle w:val="ListBullet"/>
      </w:pPr>
      <w:r>
        <w:rPr>
          <w:rFonts w:ascii="Aptos" w:hAnsi="Aptos"/>
          <w:b w:val="0"/>
          <w:i w:val="0"/>
          <w:color w:val="17213A"/>
          <w:sz w:val="20"/>
        </w:rPr>
        <w:t>Certificates with verification, chapter achievements, bookmarks, notes, search, revision and support.</w:t>
      </w:r>
    </w:p>
    <w:p>
      <w:pPr>
        <w:pStyle w:val="Heading2"/>
      </w:pPr>
      <w:r>
        <w:t>MVP / next / later prioritisation</w:t>
      </w:r>
    </w:p>
    <w:tbl>
      <w:tblPr>
        <w:tblW w:type="dxa" w:w="9360"/>
        <w:jc w:val="left"/>
        <w:tblLayout w:type="fixed"/>
        <w:tblLook w:firstColumn="1" w:firstRow="1" w:lastColumn="0" w:lastRow="0" w:noHBand="0" w:noVBand="1" w:val="04A0"/>
        <w:tblInd w:w="120" w:type="dxa"/>
        <w:tblBorders>
          <w:top w:val="single" w:sz="6" w:space="0" w:color="DDD3C1"/>
          <w:left w:val="single" w:sz="6" w:space="0" w:color="DDD3C1"/>
          <w:bottom w:val="single" w:sz="6" w:space="0" w:color="DDD3C1"/>
          <w:right w:val="single" w:sz="6" w:space="0" w:color="DDD3C1"/>
          <w:insideH w:val="single" w:sz="6" w:space="0" w:color="DDD3C1"/>
          <w:insideV w:val="single" w:sz="6" w:space="0" w:color="DDD3C1"/>
        </w:tblBorders>
      </w:tblPr>
      <w:tblGrid>
        <w:gridCol w:w="3120"/>
        <w:gridCol w:w="3120"/>
        <w:gridCol w:w="3120"/>
      </w:tblGrid>
      <w:tr>
        <w:trPr>
          <w:tblHeader w:val="true"/>
        </w:trPr>
        <w:tc>
          <w:tcPr>
            <w:tcW w:type="dxa" w:w="3120"/>
            <w:tcMar>
              <w:top w:w="100" w:type="dxa"/>
              <w:start w:w="120" w:type="dxa"/>
              <w:bottom w:w="100" w:type="dxa"/>
              <w:end w:w="120" w:type="dxa"/>
            </w:tcMar>
            <w:shd w:fill="18264F"/>
            <w:vAlign w:val="center"/>
          </w:tcPr>
          <w:p>
            <w:pPr>
              <w:spacing w:after="0"/>
            </w:pPr>
            <w:r>
              <w:rPr>
                <w:rFonts w:ascii="Aptos" w:hAnsi="Aptos"/>
                <w:b/>
                <w:i w:val="0"/>
                <w:color w:val="FFFFFF"/>
                <w:sz w:val="18"/>
              </w:rPr>
              <w:t>MVP—launch capable</w:t>
            </w:r>
          </w:p>
        </w:tc>
        <w:tc>
          <w:tcPr>
            <w:tcW w:type="dxa" w:w="3120"/>
            <w:tcMar>
              <w:top w:w="100" w:type="dxa"/>
              <w:start w:w="120" w:type="dxa"/>
              <w:bottom w:w="100" w:type="dxa"/>
              <w:end w:w="120" w:type="dxa"/>
            </w:tcMar>
            <w:shd w:fill="18264F"/>
            <w:vAlign w:val="center"/>
          </w:tcPr>
          <w:p>
            <w:pPr>
              <w:spacing w:after="0"/>
            </w:pPr>
            <w:r>
              <w:rPr>
                <w:rFonts w:ascii="Aptos" w:hAnsi="Aptos"/>
                <w:b/>
                <w:i w:val="0"/>
                <w:color w:val="FFFFFF"/>
                <w:sz w:val="18"/>
              </w:rPr>
              <w:t>Next—institutional scale</w:t>
            </w:r>
          </w:p>
        </w:tc>
        <w:tc>
          <w:tcPr>
            <w:tcW w:type="dxa" w:w="3120"/>
            <w:tcMar>
              <w:top w:w="100" w:type="dxa"/>
              <w:start w:w="120" w:type="dxa"/>
              <w:bottom w:w="100" w:type="dxa"/>
              <w:end w:w="120" w:type="dxa"/>
            </w:tcMar>
            <w:shd w:fill="18264F"/>
            <w:vAlign w:val="center"/>
          </w:tcPr>
          <w:p>
            <w:pPr>
              <w:spacing w:after="0"/>
            </w:pPr>
            <w:r>
              <w:rPr>
                <w:rFonts w:ascii="Aptos" w:hAnsi="Aptos"/>
                <w:b/>
                <w:i w:val="0"/>
                <w:color w:val="FFFFFF"/>
                <w:sz w:val="18"/>
              </w:rPr>
              <w:t>Later—ecosystem expansion</w:t>
            </w:r>
          </w:p>
        </w:tc>
      </w:tr>
      <w:tr>
        <w:tc>
          <w:tcPr>
            <w:tcW w:type="dxa" w:w="3120"/>
            <w:vAlign w:val="center"/>
          </w:tcPr>
          <w:p>
            <w:pPr>
              <w:spacing w:after="0" w:line="252" w:lineRule="auto"/>
            </w:pPr>
            <w:r>
              <w:rPr>
                <w:rFonts w:ascii="Aptos" w:hAnsi="Aptos"/>
                <w:b w:val="0"/>
                <w:i w:val="0"/>
                <w:color w:val="17213A"/>
                <w:sz w:val="17"/>
              </w:rPr>
              <w:t>Living Bliss edition; 18 chapters; prerequisite path; learner web/mobile; assessments; certificates; CMS; tenant foundation; privacy/accessibility; analytics.</w:t>
            </w:r>
          </w:p>
        </w:tc>
        <w:tc>
          <w:tcPr>
            <w:tcW w:type="dxa" w:w="3120"/>
            <w:vAlign w:val="center"/>
          </w:tcPr>
          <w:p>
            <w:pPr>
              <w:spacing w:after="0" w:line="252" w:lineRule="auto"/>
            </w:pPr>
            <w:r>
              <w:rPr>
                <w:rFonts w:ascii="Aptos" w:hAnsi="Aptos"/>
                <w:b w:val="0"/>
                <w:i w:val="0"/>
                <w:color w:val="17213A"/>
                <w:sz w:val="17"/>
              </w:rPr>
              <w:t>External organisation edition; school cohorts; guardian consent; LTI/SSO; offline enhancements; teacher plans; multi-language production.</w:t>
            </w:r>
          </w:p>
        </w:tc>
        <w:tc>
          <w:tcPr>
            <w:tcW w:type="dxa" w:w="3120"/>
            <w:vAlign w:val="center"/>
          </w:tcPr>
          <w:p>
            <w:pPr>
              <w:spacing w:after="0" w:line="252" w:lineRule="auto"/>
            </w:pPr>
            <w:r>
              <w:rPr>
                <w:rFonts w:ascii="Aptos" w:hAnsi="Aptos"/>
                <w:b w:val="0"/>
                <w:i w:val="0"/>
                <w:color w:val="17213A"/>
                <w:sz w:val="17"/>
              </w:rPr>
              <w:t>Marketplace of authorised editions; advanced adaptive pathways; partner authoring network; additional scriptures/courses; public-sector federation.</w:t>
            </w:r>
          </w:p>
        </w:tc>
      </w:tr>
    </w:tbl>
    <w:p>
      <w:pPr>
        <w:spacing w:after="20"/>
      </w:pPr>
    </w:p>
    <w:p>
      <w:pPr>
        <w:pStyle w:val="Heading2"/>
      </w:pPr>
      <w:r>
        <w:t>Explicit non-goals for the initial release</w:t>
      </w:r>
    </w:p>
    <w:p>
      <w:pPr>
        <w:pStyle w:val="ListBullet"/>
      </w:pPr>
      <w:r>
        <w:rPr>
          <w:rFonts w:ascii="Aptos" w:hAnsi="Aptos"/>
          <w:b w:val="0"/>
          <w:i w:val="0"/>
          <w:color w:val="17213A"/>
          <w:sz w:val="20"/>
        </w:rPr>
        <w:t>A public social network, open theological debate forum or unmoderated user-generated commentary.</w:t>
      </w:r>
    </w:p>
    <w:p>
      <w:pPr>
        <w:pStyle w:val="ListBullet"/>
      </w:pPr>
      <w:r>
        <w:rPr>
          <w:rFonts w:ascii="Aptos" w:hAnsi="Aptos"/>
          <w:b w:val="0"/>
          <w:i w:val="0"/>
          <w:color w:val="17213A"/>
          <w:sz w:val="20"/>
        </w:rPr>
        <w:t>Automatic blending of different gurus’ translations into a synthetic “consensus” interpretation.</w:t>
      </w:r>
    </w:p>
    <w:p>
      <w:pPr>
        <w:pStyle w:val="ListBullet"/>
      </w:pPr>
      <w:r>
        <w:rPr>
          <w:rFonts w:ascii="Aptos" w:hAnsi="Aptos"/>
          <w:b w:val="0"/>
          <w:i w:val="0"/>
          <w:color w:val="17213A"/>
          <w:sz w:val="20"/>
        </w:rPr>
        <w:t>AI-generated scripture translations presented as authoritative.</w:t>
      </w:r>
    </w:p>
    <w:p>
      <w:pPr>
        <w:pStyle w:val="ListBullet"/>
      </w:pPr>
      <w:r>
        <w:rPr>
          <w:rFonts w:ascii="Aptos" w:hAnsi="Aptos"/>
          <w:b w:val="0"/>
          <w:i w:val="0"/>
          <w:color w:val="17213A"/>
          <w:sz w:val="20"/>
        </w:rPr>
        <w:t>High-stakes examination or formal academic accreditation without an approved accrediting body and validated assessment programme.</w:t>
      </w:r>
    </w:p>
    <w:p>
      <w:pPr>
        <w:pStyle w:val="ListBullet"/>
      </w:pPr>
      <w:r>
        <w:rPr>
          <w:rFonts w:ascii="Aptos" w:hAnsi="Aptos"/>
          <w:b w:val="0"/>
          <w:i w:val="0"/>
          <w:color w:val="17213A"/>
          <w:sz w:val="20"/>
        </w:rPr>
        <w:t>Separate bespoke code forks for every organisation.</w:t>
      </w:r>
    </w:p>
    <w:p>
      <w:pPr>
        <w:pStyle w:val="ListBullet"/>
      </w:pPr>
      <w:r>
        <w:rPr>
          <w:rFonts w:ascii="Aptos" w:hAnsi="Aptos"/>
          <w:b w:val="0"/>
          <w:i w:val="0"/>
          <w:color w:val="17213A"/>
          <w:sz w:val="20"/>
        </w:rPr>
        <w:t>Complex enterprise microservices before scale or ownership requires them.</w:t>
      </w:r>
    </w:p>
    <w:tbl>
      <w:tblPr>
        <w:tblW w:type="dxa" w:w="9360"/>
        <w:jc w:val="left"/>
        <w:tblLayout w:type="fixed"/>
        <w:tblLook w:firstColumn="1" w:firstRow="1" w:lastColumn="0" w:lastRow="0" w:noHBand="0" w:noVBand="1" w:val="04A0"/>
        <w:tblInd w:w="120" w:type="dxa"/>
        <w:tblBorders>
          <w:top w:val="single" w:sz="10" w:space="0" w:color="B68C3B"/>
          <w:left w:val="single" w:sz="10" w:space="0" w:color="B68C3B"/>
          <w:bottom w:val="single" w:sz="10" w:space="0" w:color="B68C3B"/>
          <w:right w:val="single" w:sz="10" w:space="0" w:color="B68C3B"/>
          <w:insideH w:val="single" w:sz="10" w:space="0" w:color="B68C3B"/>
          <w:insideV w:val="single" w:sz="10" w:space="0" w:color="B68C3B"/>
        </w:tblBorders>
      </w:tblPr>
      <w:tblGrid>
        <w:gridCol w:w="9360"/>
      </w:tblGrid>
      <w:tr>
        <w:trPr>
          <w:tblHeader/>
        </w:trPr>
        <w:tc>
          <w:tcPr>
            <w:tcW w:type="dxa" w:w="9360"/>
            <w:tcMar>
              <w:top w:w="100" w:type="dxa"/>
              <w:start w:w="120" w:type="dxa"/>
              <w:bottom w:w="100" w:type="dxa"/>
              <w:end w:w="120" w:type="dxa"/>
            </w:tcMar>
            <w:shd w:fill="FFF6E7"/>
            <w:vAlign w:val="center"/>
          </w:tcPr>
          <w:p>
            <w:pPr>
              <w:spacing w:after="0" w:line="269" w:lineRule="auto"/>
            </w:pPr>
            <w:r>
              <w:rPr>
                <w:rFonts w:ascii="Aptos" w:hAnsi="Aptos"/>
                <w:b/>
                <w:i w:val="0"/>
                <w:color w:val="B68C3B"/>
                <w:sz w:val="18"/>
              </w:rPr>
              <w:t xml:space="preserve">SCOPE DISCIPLINE: </w:t>
            </w:r>
            <w:r>
              <w:rPr>
                <w:rFonts w:ascii="Aptos" w:hAnsi="Aptos"/>
                <w:b w:val="0"/>
                <w:i w:val="0"/>
                <w:color w:val="17213A"/>
                <w:sz w:val="20"/>
              </w:rPr>
              <w:t>The initial launch is complete only when the full learner journey is production-ready—not when all conceivable institutional integrations exist.</w:t>
            </w:r>
          </w:p>
        </w:tc>
      </w:tr>
    </w:tbl>
    <w:p>
      <w:pPr>
        <w:spacing w:after="40"/>
      </w:pPr>
    </w:p>
    <w:p>
      <w:pPr>
        <w:sectPr>
          <w:pgSz w:w="12240" w:h="15840"/>
          <w:pgMar w:top="1440" w:right="1440" w:bottom="1440" w:left="1440" w:header="708" w:footer="708" w:gutter="0"/>
          <w:cols w:space="720"/>
          <w:docGrid w:linePitch="360"/>
        </w:sectPr>
      </w:pPr>
    </w:p>
    <w:p>
      <w:pPr>
        <w:spacing w:after="100"/>
      </w:pPr>
      <w:r>
        <w:rPr>
          <w:rFonts w:ascii="Aptos" w:hAnsi="Aptos"/>
          <w:b/>
          <w:i w:val="0"/>
          <w:caps/>
          <w:color w:val="D9832E"/>
          <w:sz w:val="16"/>
        </w:rPr>
        <w:t>SECTION 6</w:t>
      </w:r>
    </w:p>
    <w:p>
      <w:pPr>
        <w:pStyle w:val="Heading1"/>
      </w:pPr>
      <w:r>
        <w:t>Information architecture and navigation</w:t>
      </w:r>
    </w:p>
    <w:p>
      <w:pPr>
        <w:pStyle w:val="Heading2"/>
      </w:pPr>
      <w:r>
        <w:t>Learner-facing information architecture</w:t>
      </w:r>
    </w:p>
    <w:tbl>
      <w:tblPr>
        <w:tblW w:type="dxa" w:w="9360"/>
        <w:jc w:val="left"/>
        <w:tblLayout w:type="fixed"/>
        <w:tblLook w:firstColumn="1" w:firstRow="1" w:lastColumn="0" w:lastRow="0" w:noHBand="0" w:noVBand="1" w:val="04A0"/>
        <w:tblInd w:w="120" w:type="dxa"/>
        <w:tblBorders>
          <w:top w:val="single" w:sz="6" w:space="0" w:color="DDD3C1"/>
          <w:left w:val="single" w:sz="6" w:space="0" w:color="DDD3C1"/>
          <w:bottom w:val="single" w:sz="6" w:space="0" w:color="DDD3C1"/>
          <w:right w:val="single" w:sz="6" w:space="0" w:color="DDD3C1"/>
          <w:insideH w:val="single" w:sz="6" w:space="0" w:color="DDD3C1"/>
          <w:insideV w:val="single" w:sz="6" w:space="0" w:color="DDD3C1"/>
        </w:tblBorders>
      </w:tblPr>
      <w:tblGrid>
        <w:gridCol w:w="1700"/>
        <w:gridCol w:w="2600"/>
        <w:gridCol w:w="5060"/>
      </w:tblGrid>
      <w:tr>
        <w:trPr>
          <w:tblHeader w:val="true"/>
        </w:trPr>
        <w:tc>
          <w:tcPr>
            <w:tcW w:type="dxa" w:w="1700"/>
            <w:tcMar>
              <w:top w:w="100" w:type="dxa"/>
              <w:start w:w="120" w:type="dxa"/>
              <w:bottom w:w="100" w:type="dxa"/>
              <w:end w:w="120" w:type="dxa"/>
            </w:tcMar>
            <w:shd w:fill="18264F"/>
            <w:vAlign w:val="center"/>
          </w:tcPr>
          <w:p>
            <w:pPr>
              <w:spacing w:after="0"/>
            </w:pPr>
            <w:r>
              <w:rPr>
                <w:rFonts w:ascii="Aptos" w:hAnsi="Aptos"/>
                <w:b/>
                <w:i w:val="0"/>
                <w:color w:val="FFFFFF"/>
                <w:sz w:val="18"/>
              </w:rPr>
              <w:t>Area</w:t>
            </w:r>
          </w:p>
        </w:tc>
        <w:tc>
          <w:tcPr>
            <w:tcW w:type="dxa" w:w="2600"/>
            <w:tcMar>
              <w:top w:w="100" w:type="dxa"/>
              <w:start w:w="120" w:type="dxa"/>
              <w:bottom w:w="100" w:type="dxa"/>
              <w:end w:w="120" w:type="dxa"/>
            </w:tcMar>
            <w:shd w:fill="18264F"/>
            <w:vAlign w:val="center"/>
          </w:tcPr>
          <w:p>
            <w:pPr>
              <w:spacing w:after="0"/>
            </w:pPr>
            <w:r>
              <w:rPr>
                <w:rFonts w:ascii="Aptos" w:hAnsi="Aptos"/>
                <w:b/>
                <w:i w:val="0"/>
                <w:color w:val="FFFFFF"/>
                <w:sz w:val="18"/>
              </w:rPr>
              <w:t>Purpose</w:t>
            </w:r>
          </w:p>
        </w:tc>
        <w:tc>
          <w:tcPr>
            <w:tcW w:type="dxa" w:w="5060"/>
            <w:tcMar>
              <w:top w:w="100" w:type="dxa"/>
              <w:start w:w="120" w:type="dxa"/>
              <w:bottom w:w="100" w:type="dxa"/>
              <w:end w:w="120" w:type="dxa"/>
            </w:tcMar>
            <w:shd w:fill="18264F"/>
            <w:vAlign w:val="center"/>
          </w:tcPr>
          <w:p>
            <w:pPr>
              <w:spacing w:after="0"/>
            </w:pPr>
            <w:r>
              <w:rPr>
                <w:rFonts w:ascii="Aptos" w:hAnsi="Aptos"/>
                <w:b/>
                <w:i w:val="0"/>
                <w:color w:val="FFFFFF"/>
                <w:sz w:val="18"/>
              </w:rPr>
              <w:t>Primary destinations</w:t>
            </w:r>
          </w:p>
        </w:tc>
      </w:tr>
      <w:tr>
        <w:tc>
          <w:tcPr>
            <w:tcW w:type="dxa" w:w="1700"/>
            <w:vAlign w:val="center"/>
          </w:tcPr>
          <w:p>
            <w:pPr>
              <w:spacing w:after="0" w:line="252" w:lineRule="auto"/>
            </w:pPr>
            <w:r>
              <w:rPr>
                <w:rFonts w:ascii="Aptos" w:hAnsi="Aptos"/>
                <w:b w:val="0"/>
                <w:i w:val="0"/>
                <w:color w:val="17213A"/>
                <w:sz w:val="17"/>
              </w:rPr>
              <w:t>Home</w:t>
            </w:r>
          </w:p>
        </w:tc>
        <w:tc>
          <w:tcPr>
            <w:tcW w:type="dxa" w:w="2600"/>
            <w:vAlign w:val="center"/>
          </w:tcPr>
          <w:p>
            <w:pPr>
              <w:spacing w:after="0" w:line="252" w:lineRule="auto"/>
            </w:pPr>
            <w:r>
              <w:rPr>
                <w:rFonts w:ascii="Aptos" w:hAnsi="Aptos"/>
                <w:b w:val="0"/>
                <w:i w:val="0"/>
                <w:color w:val="17213A"/>
                <w:sz w:val="17"/>
              </w:rPr>
              <w:t>Orient and route by audience/goal.</w:t>
            </w:r>
          </w:p>
        </w:tc>
        <w:tc>
          <w:tcPr>
            <w:tcW w:type="dxa" w:w="5060"/>
            <w:vAlign w:val="center"/>
          </w:tcPr>
          <w:p>
            <w:pPr>
              <w:spacing w:after="0" w:line="252" w:lineRule="auto"/>
            </w:pPr>
            <w:r>
              <w:rPr>
                <w:rFonts w:ascii="Aptos" w:hAnsi="Aptos"/>
                <w:b w:val="0"/>
                <w:i w:val="0"/>
                <w:color w:val="17213A"/>
                <w:sz w:val="17"/>
              </w:rPr>
              <w:t>Start learning, choose edition, browse courses, school sign-in.</w:t>
            </w:r>
          </w:p>
        </w:tc>
      </w:tr>
      <w:tr>
        <w:tc>
          <w:tcPr>
            <w:tcW w:type="dxa" w:w="1700"/>
            <w:vAlign w:val="center"/>
            <w:shd w:fill="F8F6F1"/>
          </w:tcPr>
          <w:p>
            <w:pPr>
              <w:spacing w:after="0" w:line="252" w:lineRule="auto"/>
            </w:pPr>
            <w:r>
              <w:rPr>
                <w:rFonts w:ascii="Aptos" w:hAnsi="Aptos"/>
                <w:b w:val="0"/>
                <w:i w:val="0"/>
                <w:color w:val="17213A"/>
                <w:sz w:val="17"/>
              </w:rPr>
              <w:t>Learn</w:t>
            </w:r>
          </w:p>
        </w:tc>
        <w:tc>
          <w:tcPr>
            <w:tcW w:type="dxa" w:w="2600"/>
            <w:vAlign w:val="center"/>
            <w:shd w:fill="F8F6F1"/>
          </w:tcPr>
          <w:p>
            <w:pPr>
              <w:spacing w:after="0" w:line="252" w:lineRule="auto"/>
            </w:pPr>
            <w:r>
              <w:rPr>
                <w:rFonts w:ascii="Aptos" w:hAnsi="Aptos"/>
                <w:b w:val="0"/>
                <w:i w:val="0"/>
                <w:color w:val="17213A"/>
                <w:sz w:val="17"/>
              </w:rPr>
              <w:t>Find and continue structured learning.</w:t>
            </w:r>
          </w:p>
        </w:tc>
        <w:tc>
          <w:tcPr>
            <w:tcW w:type="dxa" w:w="5060"/>
            <w:vAlign w:val="center"/>
            <w:shd w:fill="F8F6F1"/>
          </w:tcPr>
          <w:p>
            <w:pPr>
              <w:spacing w:after="0" w:line="252" w:lineRule="auto"/>
            </w:pPr>
            <w:r>
              <w:rPr>
                <w:rFonts w:ascii="Aptos" w:hAnsi="Aptos"/>
                <w:b w:val="0"/>
                <w:i w:val="0"/>
                <w:color w:val="17213A"/>
                <w:sz w:val="17"/>
              </w:rPr>
              <w:t>My pathway, course overview, chapter, lesson, practice, assessment, revision.</w:t>
            </w:r>
          </w:p>
        </w:tc>
      </w:tr>
      <w:tr>
        <w:tc>
          <w:tcPr>
            <w:tcW w:type="dxa" w:w="1700"/>
            <w:vAlign w:val="center"/>
          </w:tcPr>
          <w:p>
            <w:pPr>
              <w:spacing w:after="0" w:line="252" w:lineRule="auto"/>
            </w:pPr>
            <w:r>
              <w:rPr>
                <w:rFonts w:ascii="Aptos" w:hAnsi="Aptos"/>
                <w:b w:val="0"/>
                <w:i w:val="0"/>
                <w:color w:val="17213A"/>
                <w:sz w:val="17"/>
              </w:rPr>
              <w:t>Scripture</w:t>
            </w:r>
          </w:p>
        </w:tc>
        <w:tc>
          <w:tcPr>
            <w:tcW w:type="dxa" w:w="2600"/>
            <w:vAlign w:val="center"/>
          </w:tcPr>
          <w:p>
            <w:pPr>
              <w:spacing w:after="0" w:line="252" w:lineRule="auto"/>
            </w:pPr>
            <w:r>
              <w:rPr>
                <w:rFonts w:ascii="Aptos" w:hAnsi="Aptos"/>
                <w:b w:val="0"/>
                <w:i w:val="0"/>
                <w:color w:val="17213A"/>
                <w:sz w:val="17"/>
              </w:rPr>
              <w:t>Read and search trusted text.</w:t>
            </w:r>
          </w:p>
        </w:tc>
        <w:tc>
          <w:tcPr>
            <w:tcW w:type="dxa" w:w="5060"/>
            <w:vAlign w:val="center"/>
          </w:tcPr>
          <w:p>
            <w:pPr>
              <w:spacing w:after="0" w:line="252" w:lineRule="auto"/>
            </w:pPr>
            <w:r>
              <w:rPr>
                <w:rFonts w:ascii="Aptos" w:hAnsi="Aptos"/>
                <w:b w:val="0"/>
                <w:i w:val="0"/>
                <w:color w:val="17213A"/>
                <w:sz w:val="17"/>
              </w:rPr>
              <w:t>Chapter/verse reader, translation layers, audio, references, glossary.</w:t>
            </w:r>
          </w:p>
        </w:tc>
      </w:tr>
      <w:tr>
        <w:tc>
          <w:tcPr>
            <w:tcW w:type="dxa" w:w="1700"/>
            <w:vAlign w:val="center"/>
            <w:shd w:fill="F8F6F1"/>
          </w:tcPr>
          <w:p>
            <w:pPr>
              <w:spacing w:after="0" w:line="252" w:lineRule="auto"/>
            </w:pPr>
            <w:r>
              <w:rPr>
                <w:rFonts w:ascii="Aptos" w:hAnsi="Aptos"/>
                <w:b w:val="0"/>
                <w:i w:val="0"/>
                <w:color w:val="17213A"/>
                <w:sz w:val="17"/>
              </w:rPr>
              <w:t>My learning</w:t>
            </w:r>
          </w:p>
        </w:tc>
        <w:tc>
          <w:tcPr>
            <w:tcW w:type="dxa" w:w="2600"/>
            <w:vAlign w:val="center"/>
            <w:shd w:fill="F8F6F1"/>
          </w:tcPr>
          <w:p>
            <w:pPr>
              <w:spacing w:after="0" w:line="252" w:lineRule="auto"/>
            </w:pPr>
            <w:r>
              <w:rPr>
                <w:rFonts w:ascii="Aptos" w:hAnsi="Aptos"/>
                <w:b w:val="0"/>
                <w:i w:val="0"/>
                <w:color w:val="17213A"/>
                <w:sz w:val="17"/>
              </w:rPr>
              <w:t>Resume and understand progress.</w:t>
            </w:r>
          </w:p>
        </w:tc>
        <w:tc>
          <w:tcPr>
            <w:tcW w:type="dxa" w:w="5060"/>
            <w:vAlign w:val="center"/>
            <w:shd w:fill="F8F6F1"/>
          </w:tcPr>
          <w:p>
            <w:pPr>
              <w:spacing w:after="0" w:line="252" w:lineRule="auto"/>
            </w:pPr>
            <w:r>
              <w:rPr>
                <w:rFonts w:ascii="Aptos" w:hAnsi="Aptos"/>
                <w:b w:val="0"/>
                <w:i w:val="0"/>
                <w:color w:val="17213A"/>
                <w:sz w:val="17"/>
              </w:rPr>
              <w:t>Dashboard, schedule, achievements, bookmarks, notes, downloads.</w:t>
            </w:r>
          </w:p>
        </w:tc>
      </w:tr>
      <w:tr>
        <w:tc>
          <w:tcPr>
            <w:tcW w:type="dxa" w:w="1700"/>
            <w:vAlign w:val="center"/>
          </w:tcPr>
          <w:p>
            <w:pPr>
              <w:spacing w:after="0" w:line="252" w:lineRule="auto"/>
            </w:pPr>
            <w:r>
              <w:rPr>
                <w:rFonts w:ascii="Aptos" w:hAnsi="Aptos"/>
                <w:b w:val="0"/>
                <w:i w:val="0"/>
                <w:color w:val="17213A"/>
                <w:sz w:val="17"/>
              </w:rPr>
              <w:t>Community / support</w:t>
            </w:r>
          </w:p>
        </w:tc>
        <w:tc>
          <w:tcPr>
            <w:tcW w:type="dxa" w:w="2600"/>
            <w:vAlign w:val="center"/>
          </w:tcPr>
          <w:p>
            <w:pPr>
              <w:spacing w:after="0" w:line="252" w:lineRule="auto"/>
            </w:pPr>
            <w:r>
              <w:rPr>
                <w:rFonts w:ascii="Aptos" w:hAnsi="Aptos"/>
                <w:b w:val="0"/>
                <w:i w:val="0"/>
                <w:color w:val="17213A"/>
                <w:sz w:val="17"/>
              </w:rPr>
              <w:t>Reach authorised human support.</w:t>
            </w:r>
          </w:p>
        </w:tc>
        <w:tc>
          <w:tcPr>
            <w:tcW w:type="dxa" w:w="5060"/>
            <w:vAlign w:val="center"/>
          </w:tcPr>
          <w:p>
            <w:pPr>
              <w:spacing w:after="0" w:line="252" w:lineRule="auto"/>
            </w:pPr>
            <w:r>
              <w:rPr>
                <w:rFonts w:ascii="Aptos" w:hAnsi="Aptos"/>
                <w:b w:val="0"/>
                <w:i w:val="0"/>
                <w:color w:val="17213A"/>
                <w:sz w:val="17"/>
              </w:rPr>
              <w:t>Facilitator messages, FAQs, events and help; tenant-configurable.</w:t>
            </w:r>
          </w:p>
        </w:tc>
      </w:tr>
      <w:tr>
        <w:tc>
          <w:tcPr>
            <w:tcW w:type="dxa" w:w="1700"/>
            <w:vAlign w:val="center"/>
            <w:shd w:fill="F8F6F1"/>
          </w:tcPr>
          <w:p>
            <w:pPr>
              <w:spacing w:after="0" w:line="252" w:lineRule="auto"/>
            </w:pPr>
            <w:r>
              <w:rPr>
                <w:rFonts w:ascii="Aptos" w:hAnsi="Aptos"/>
                <w:b w:val="0"/>
                <w:i w:val="0"/>
                <w:color w:val="17213A"/>
                <w:sz w:val="17"/>
              </w:rPr>
              <w:t>Account</w:t>
            </w:r>
          </w:p>
        </w:tc>
        <w:tc>
          <w:tcPr>
            <w:tcW w:type="dxa" w:w="2600"/>
            <w:vAlign w:val="center"/>
            <w:shd w:fill="F8F6F1"/>
          </w:tcPr>
          <w:p>
            <w:pPr>
              <w:spacing w:after="0" w:line="252" w:lineRule="auto"/>
            </w:pPr>
            <w:r>
              <w:rPr>
                <w:rFonts w:ascii="Aptos" w:hAnsi="Aptos"/>
                <w:b w:val="0"/>
                <w:i w:val="0"/>
                <w:color w:val="17213A"/>
                <w:sz w:val="17"/>
              </w:rPr>
              <w:t>Control identity and preferences.</w:t>
            </w:r>
          </w:p>
        </w:tc>
        <w:tc>
          <w:tcPr>
            <w:tcW w:type="dxa" w:w="5060"/>
            <w:vAlign w:val="center"/>
            <w:shd w:fill="F8F6F1"/>
          </w:tcPr>
          <w:p>
            <w:pPr>
              <w:spacing w:after="0" w:line="252" w:lineRule="auto"/>
            </w:pPr>
            <w:r>
              <w:rPr>
                <w:rFonts w:ascii="Aptos" w:hAnsi="Aptos"/>
                <w:b w:val="0"/>
                <w:i w:val="0"/>
                <w:color w:val="17213A"/>
                <w:sz w:val="17"/>
              </w:rPr>
              <w:t>Profile, language, accessibility, privacy, guardian, sessions and data rights.</w:t>
            </w:r>
          </w:p>
        </w:tc>
      </w:tr>
    </w:tbl>
    <w:p>
      <w:pPr>
        <w:spacing w:after="20"/>
      </w:pPr>
    </w:p>
    <w:p>
      <w:pPr>
        <w:pStyle w:val="Heading2"/>
      </w:pPr>
      <w:r>
        <w:t>Responsive navigation model</w:t>
      </w:r>
    </w:p>
    <w:p>
      <w:pPr>
        <w:pStyle w:val="ListBullet"/>
      </w:pPr>
      <w:r>
        <w:rPr>
          <w:rFonts w:ascii="Aptos" w:hAnsi="Aptos"/>
          <w:b w:val="0"/>
          <w:i w:val="0"/>
          <w:color w:val="17213A"/>
          <w:sz w:val="20"/>
        </w:rPr>
        <w:t>Desktop: persistent top navigation; course pages add a progress-aware chapter rail; lesson pages add an activity rail.</w:t>
      </w:r>
    </w:p>
    <w:p>
      <w:pPr>
        <w:pStyle w:val="ListBullet"/>
      </w:pPr>
      <w:r>
        <w:rPr>
          <w:rFonts w:ascii="Aptos" w:hAnsi="Aptos"/>
          <w:b w:val="0"/>
          <w:i w:val="0"/>
          <w:color w:val="17213A"/>
          <w:sz w:val="20"/>
        </w:rPr>
        <w:t>Mobile: bottom navigation for Home, Learn, Scripture and My Learning; contextual sheet for chapter/lesson navigation.</w:t>
      </w:r>
    </w:p>
    <w:p>
      <w:pPr>
        <w:pStyle w:val="ListBullet"/>
      </w:pPr>
      <w:r>
        <w:rPr>
          <w:rFonts w:ascii="Aptos" w:hAnsi="Aptos"/>
          <w:b w:val="0"/>
          <w:i w:val="0"/>
          <w:color w:val="17213A"/>
          <w:sz w:val="20"/>
        </w:rPr>
        <w:t>Teacher/admin: separate workspace switcher; never overload the learner navigation with operational controls.</w:t>
      </w:r>
    </w:p>
    <w:p>
      <w:pPr>
        <w:pStyle w:val="ListBullet"/>
      </w:pPr>
      <w:r>
        <w:rPr>
          <w:rFonts w:ascii="Aptos" w:hAnsi="Aptos"/>
          <w:b w:val="0"/>
          <w:i w:val="0"/>
          <w:color w:val="17213A"/>
          <w:sz w:val="20"/>
        </w:rPr>
        <w:t>Deep links must preserve tenant, edition, language and programme context.</w:t>
      </w:r>
    </w:p>
    <w:p>
      <w:pPr>
        <w:pStyle w:val="Heading2"/>
      </w:pPr>
      <w:r>
        <w:t>URL and tenancy principles</w:t>
      </w:r>
    </w:p>
    <w:p>
      <w:pPr>
        <w:pStyle w:val="ListBullet"/>
      </w:pPr>
      <w:r>
        <w:rPr>
          <w:rFonts w:ascii="Aptos" w:hAnsi="Aptos"/>
          <w:b w:val="0"/>
          <w:i w:val="0"/>
          <w:color w:val="17213A"/>
          <w:sz w:val="20"/>
        </w:rPr>
        <w:t>Support branded domains (for example, learn.organisation.org) and path/subdomain strategies without changing resource identifiers.</w:t>
      </w:r>
    </w:p>
    <w:p>
      <w:pPr>
        <w:pStyle w:val="ListBullet"/>
      </w:pPr>
      <w:r>
        <w:rPr>
          <w:rFonts w:ascii="Aptos" w:hAnsi="Aptos"/>
          <w:b w:val="0"/>
          <w:i w:val="0"/>
          <w:color w:val="17213A"/>
          <w:sz w:val="20"/>
        </w:rPr>
        <w:t>Use stable IDs for scripture, edition, course, chapter, lesson and assessment versions; display URLs may remain human-readable.</w:t>
      </w:r>
    </w:p>
    <w:p>
      <w:pPr>
        <w:pStyle w:val="ListBullet"/>
      </w:pPr>
      <w:r>
        <w:rPr>
          <w:rFonts w:ascii="Aptos" w:hAnsi="Aptos"/>
          <w:b w:val="0"/>
          <w:i w:val="0"/>
          <w:color w:val="17213A"/>
          <w:sz w:val="20"/>
        </w:rPr>
        <w:t>A shared user identity may join multiple tenants only where consent, policy and identity architecture allow it; otherwise identities remain tenant-bound.</w:t>
      </w:r>
    </w:p>
    <w:p>
      <w:pPr>
        <w:pStyle w:val="Heading2"/>
      </w:pPr>
      <w:r>
        <w:t>Search and discovery</w:t>
      </w:r>
    </w:p>
    <w:p>
      <w:pPr>
        <w:pStyle w:val="ListBullet"/>
      </w:pPr>
      <w:r>
        <w:rPr>
          <w:rFonts w:ascii="Aptos" w:hAnsi="Aptos"/>
          <w:b w:val="0"/>
          <w:i w:val="0"/>
          <w:color w:val="17213A"/>
          <w:sz w:val="20"/>
        </w:rPr>
        <w:t>Filter by course, chapter, verse, topic, language, edition, teacher, media type, age band and accessibility format.</w:t>
      </w:r>
    </w:p>
    <w:p>
      <w:pPr>
        <w:pStyle w:val="ListBullet"/>
      </w:pPr>
      <w:r>
        <w:rPr>
          <w:rFonts w:ascii="Aptos" w:hAnsi="Aptos"/>
          <w:b w:val="0"/>
          <w:i w:val="0"/>
          <w:color w:val="17213A"/>
          <w:sz w:val="20"/>
        </w:rPr>
        <w:t>Search results must identify source layer and edition; a commentary result must never appear as if it were scripture.</w:t>
      </w:r>
    </w:p>
    <w:p>
      <w:pPr>
        <w:pStyle w:val="ListBullet"/>
      </w:pPr>
      <w:r>
        <w:rPr>
          <w:rFonts w:ascii="Aptos" w:hAnsi="Aptos"/>
          <w:b w:val="0"/>
          <w:i w:val="0"/>
          <w:color w:val="17213A"/>
          <w:sz w:val="20"/>
        </w:rPr>
        <w:t>Synonyms and transliteration variants should be curated by language specialists.</w:t>
      </w:r>
    </w:p>
    <w:p>
      <w:pPr>
        <w:sectPr>
          <w:pgSz w:w="12240" w:h="15840"/>
          <w:pgMar w:top="1440" w:right="1440" w:bottom="1440" w:left="1440" w:header="708" w:footer="708" w:gutter="0"/>
          <w:cols w:space="720"/>
          <w:docGrid w:linePitch="360"/>
        </w:sectPr>
      </w:pPr>
    </w:p>
    <w:p>
      <w:pPr>
        <w:spacing w:after="100"/>
      </w:pPr>
      <w:r>
        <w:rPr>
          <w:rFonts w:ascii="Aptos" w:hAnsi="Aptos"/>
          <w:b/>
          <w:i w:val="0"/>
          <w:caps/>
          <w:color w:val="D9832E"/>
          <w:sz w:val="16"/>
        </w:rPr>
        <w:t>SECTION 7</w:t>
      </w:r>
    </w:p>
    <w:p>
      <w:pPr>
        <w:pStyle w:val="Heading1"/>
      </w:pPr>
      <w:r>
        <w:t>Learning and curriculum design</w:t>
      </w:r>
    </w:p>
    <w:p>
      <w:pPr>
        <w:jc w:val="center"/>
      </w:pPr>
      <w:r>
        <w:drawing>
          <wp:inline xmlns:a="http://schemas.openxmlformats.org/drawingml/2006/main" xmlns:pic="http://schemas.openxmlformats.org/drawingml/2006/picture">
            <wp:extent cx="5943600" cy="2674620"/>
            <wp:docPr id="3" name="Picture 3" descr="Figure 2. The complete learning journey from discovery to continued study."/>
            <wp:cNvGraphicFramePr>
              <a:graphicFrameLocks noChangeAspect="1"/>
            </wp:cNvGraphicFramePr>
            <a:graphic>
              <a:graphicData uri="http://schemas.openxmlformats.org/drawingml/2006/picture">
                <pic:pic>
                  <pic:nvPicPr>
                    <pic:cNvPr id="0" name="learner_journey.png"/>
                    <pic:cNvPicPr/>
                  </pic:nvPicPr>
                  <pic:blipFill>
                    <a:blip r:embed="rId13"/>
                    <a:stretch>
                      <a:fillRect/>
                    </a:stretch>
                  </pic:blipFill>
                  <pic:spPr>
                    <a:xfrm>
                      <a:off x="0" y="0"/>
                      <a:ext cx="5943600" cy="2674620"/>
                    </a:xfrm>
                    <a:prstGeom prst="rect"/>
                  </pic:spPr>
                </pic:pic>
              </a:graphicData>
            </a:graphic>
          </wp:inline>
        </w:drawing>
      </w:r>
    </w:p>
    <w:p>
      <w:pPr>
        <w:spacing w:after="180"/>
        <w:jc w:val="center"/>
      </w:pPr>
      <w:r>
        <w:rPr>
          <w:rFonts w:ascii="Aptos" w:hAnsi="Aptos"/>
          <w:b w:val="0"/>
          <w:i/>
          <w:color w:val="6D7282"/>
          <w:sz w:val="17"/>
        </w:rPr>
        <w:t>Figure 2. The complete learning journey from discovery to continued study.</w:t>
      </w:r>
    </w:p>
    <w:p>
      <w:pPr>
        <w:pStyle w:val="Heading2"/>
      </w:pPr>
      <w:r>
        <w:t>Prerequisite and readiness pathway</w:t>
      </w:r>
    </w:p>
    <w:p>
      <w:pPr>
        <w:spacing w:before="0"/>
      </w:pPr>
      <w:r>
        <w:rPr>
          <w:rFonts w:ascii="Aptos" w:hAnsi="Aptos"/>
          <w:b w:val="0"/>
          <w:i w:val="0"/>
          <w:color w:val="17213A"/>
          <w:sz w:val="21"/>
        </w:rPr>
        <w:t>The platform should not treat “beginner” as a lack of intelligence. It should establish a common foundation and let experienced learners demonstrate readiness quickly.</w:t>
      </w:r>
    </w:p>
    <w:tbl>
      <w:tblPr>
        <w:tblW w:type="dxa" w:w="9360"/>
        <w:jc w:val="left"/>
        <w:tblLayout w:type="fixed"/>
        <w:tblLook w:firstColumn="1" w:firstRow="1" w:lastColumn="0" w:lastRow="0" w:noHBand="0" w:noVBand="1" w:val="04A0"/>
        <w:tblInd w:w="120" w:type="dxa"/>
        <w:tblBorders>
          <w:top w:val="single" w:sz="6" w:space="0" w:color="DDD3C1"/>
          <w:left w:val="single" w:sz="6" w:space="0" w:color="DDD3C1"/>
          <w:bottom w:val="single" w:sz="6" w:space="0" w:color="DDD3C1"/>
          <w:right w:val="single" w:sz="6" w:space="0" w:color="DDD3C1"/>
          <w:insideH w:val="single" w:sz="6" w:space="0" w:color="DDD3C1"/>
          <w:insideV w:val="single" w:sz="6" w:space="0" w:color="DDD3C1"/>
        </w:tblBorders>
      </w:tblPr>
      <w:tblGrid>
        <w:gridCol w:w="1900"/>
        <w:gridCol w:w="4800"/>
        <w:gridCol w:w="2660"/>
      </w:tblGrid>
      <w:tr>
        <w:trPr>
          <w:tblHeader w:val="true"/>
        </w:trPr>
        <w:tc>
          <w:tcPr>
            <w:tcW w:type="dxa" w:w="1900"/>
            <w:tcMar>
              <w:top w:w="100" w:type="dxa"/>
              <w:start w:w="120" w:type="dxa"/>
              <w:bottom w:w="100" w:type="dxa"/>
              <w:end w:w="120" w:type="dxa"/>
            </w:tcMar>
            <w:shd w:fill="18264F"/>
            <w:vAlign w:val="center"/>
          </w:tcPr>
          <w:p>
            <w:pPr>
              <w:spacing w:after="0"/>
            </w:pPr>
            <w:r>
              <w:rPr>
                <w:rFonts w:ascii="Aptos" w:hAnsi="Aptos"/>
                <w:b/>
                <w:i w:val="0"/>
                <w:color w:val="FFFFFF"/>
                <w:sz w:val="18"/>
              </w:rPr>
              <w:t>Module</w:t>
            </w:r>
          </w:p>
        </w:tc>
        <w:tc>
          <w:tcPr>
            <w:tcW w:type="dxa" w:w="4800"/>
            <w:tcMar>
              <w:top w:w="100" w:type="dxa"/>
              <w:start w:w="120" w:type="dxa"/>
              <w:bottom w:w="100" w:type="dxa"/>
              <w:end w:w="120" w:type="dxa"/>
            </w:tcMar>
            <w:shd w:fill="18264F"/>
            <w:vAlign w:val="center"/>
          </w:tcPr>
          <w:p>
            <w:pPr>
              <w:spacing w:after="0"/>
            </w:pPr>
            <w:r>
              <w:rPr>
                <w:rFonts w:ascii="Aptos" w:hAnsi="Aptos"/>
                <w:b/>
                <w:i w:val="0"/>
                <w:color w:val="FFFFFF"/>
                <w:sz w:val="18"/>
              </w:rPr>
              <w:t>Learning purpose</w:t>
            </w:r>
          </w:p>
        </w:tc>
        <w:tc>
          <w:tcPr>
            <w:tcW w:type="dxa" w:w="2660"/>
            <w:tcMar>
              <w:top w:w="100" w:type="dxa"/>
              <w:start w:w="120" w:type="dxa"/>
              <w:bottom w:w="100" w:type="dxa"/>
              <w:end w:w="120" w:type="dxa"/>
            </w:tcMar>
            <w:shd w:fill="18264F"/>
            <w:vAlign w:val="center"/>
          </w:tcPr>
          <w:p>
            <w:pPr>
              <w:spacing w:after="0"/>
            </w:pPr>
            <w:r>
              <w:rPr>
                <w:rFonts w:ascii="Aptos" w:hAnsi="Aptos"/>
                <w:b/>
                <w:i w:val="0"/>
                <w:color w:val="FFFFFF"/>
                <w:sz w:val="18"/>
              </w:rPr>
              <w:t>Completion evidence</w:t>
            </w:r>
          </w:p>
        </w:tc>
      </w:tr>
      <w:tr>
        <w:tc>
          <w:tcPr>
            <w:tcW w:type="dxa" w:w="1900"/>
            <w:vAlign w:val="center"/>
          </w:tcPr>
          <w:p>
            <w:pPr>
              <w:spacing w:after="0" w:line="252" w:lineRule="auto"/>
            </w:pPr>
            <w:r>
              <w:rPr>
                <w:rFonts w:ascii="Aptos" w:hAnsi="Aptos"/>
                <w:b w:val="0"/>
                <w:i w:val="0"/>
                <w:color w:val="17213A"/>
                <w:sz w:val="16"/>
              </w:rPr>
              <w:t>Welcome and intent</w:t>
            </w:r>
          </w:p>
        </w:tc>
        <w:tc>
          <w:tcPr>
            <w:tcW w:type="dxa" w:w="4800"/>
            <w:vAlign w:val="center"/>
          </w:tcPr>
          <w:p>
            <w:pPr>
              <w:spacing w:after="0" w:line="252" w:lineRule="auto"/>
            </w:pPr>
            <w:r>
              <w:rPr>
                <w:rFonts w:ascii="Aptos" w:hAnsi="Aptos"/>
                <w:b w:val="0"/>
                <w:i w:val="0"/>
                <w:color w:val="17213A"/>
                <w:sz w:val="16"/>
              </w:rPr>
              <w:t>Set expectations; explain respectful study and available editions.</w:t>
            </w:r>
          </w:p>
        </w:tc>
        <w:tc>
          <w:tcPr>
            <w:tcW w:type="dxa" w:w="2660"/>
            <w:vAlign w:val="center"/>
          </w:tcPr>
          <w:p>
            <w:pPr>
              <w:spacing w:after="0" w:line="252" w:lineRule="auto"/>
            </w:pPr>
            <w:r>
              <w:rPr>
                <w:rFonts w:ascii="Aptos" w:hAnsi="Aptos"/>
                <w:b w:val="0"/>
                <w:i w:val="0"/>
                <w:color w:val="17213A"/>
                <w:sz w:val="16"/>
              </w:rPr>
              <w:t>Acknowledgement and selected goal.</w:t>
            </w:r>
          </w:p>
        </w:tc>
      </w:tr>
      <w:tr>
        <w:tc>
          <w:tcPr>
            <w:tcW w:type="dxa" w:w="1900"/>
            <w:vAlign w:val="center"/>
            <w:shd w:fill="F8F6F1"/>
          </w:tcPr>
          <w:p>
            <w:pPr>
              <w:spacing w:after="0" w:line="252" w:lineRule="auto"/>
            </w:pPr>
            <w:r>
              <w:rPr>
                <w:rFonts w:ascii="Aptos" w:hAnsi="Aptos"/>
                <w:b w:val="0"/>
                <w:i w:val="0"/>
                <w:color w:val="17213A"/>
                <w:sz w:val="16"/>
              </w:rPr>
              <w:t>What is the Bhagavad Gita?</w:t>
            </w:r>
          </w:p>
        </w:tc>
        <w:tc>
          <w:tcPr>
            <w:tcW w:type="dxa" w:w="4800"/>
            <w:vAlign w:val="center"/>
            <w:shd w:fill="F8F6F1"/>
          </w:tcPr>
          <w:p>
            <w:pPr>
              <w:spacing w:after="0" w:line="252" w:lineRule="auto"/>
            </w:pPr>
            <w:r>
              <w:rPr>
                <w:rFonts w:ascii="Aptos" w:hAnsi="Aptos"/>
                <w:b w:val="0"/>
                <w:i w:val="0"/>
                <w:color w:val="17213A"/>
                <w:sz w:val="16"/>
              </w:rPr>
              <w:t>Place the dialogue within the Mahabharata and distinguish text, setting and later commentary.</w:t>
            </w:r>
          </w:p>
        </w:tc>
        <w:tc>
          <w:tcPr>
            <w:tcW w:type="dxa" w:w="2660"/>
            <w:vAlign w:val="center"/>
            <w:shd w:fill="F8F6F1"/>
          </w:tcPr>
          <w:p>
            <w:pPr>
              <w:spacing w:after="0" w:line="252" w:lineRule="auto"/>
            </w:pPr>
            <w:r>
              <w:rPr>
                <w:rFonts w:ascii="Aptos" w:hAnsi="Aptos"/>
                <w:b w:val="0"/>
                <w:i w:val="0"/>
                <w:color w:val="17213A"/>
                <w:sz w:val="16"/>
              </w:rPr>
              <w:t>Short knowledge check.</w:t>
            </w:r>
          </w:p>
        </w:tc>
      </w:tr>
      <w:tr>
        <w:tc>
          <w:tcPr>
            <w:tcW w:type="dxa" w:w="1900"/>
            <w:vAlign w:val="center"/>
          </w:tcPr>
          <w:p>
            <w:pPr>
              <w:spacing w:after="0" w:line="252" w:lineRule="auto"/>
            </w:pPr>
            <w:r>
              <w:rPr>
                <w:rFonts w:ascii="Aptos" w:hAnsi="Aptos"/>
                <w:b w:val="0"/>
                <w:i w:val="0"/>
                <w:color w:val="17213A"/>
                <w:sz w:val="16"/>
              </w:rPr>
              <w:t>People, setting and key terms</w:t>
            </w:r>
          </w:p>
        </w:tc>
        <w:tc>
          <w:tcPr>
            <w:tcW w:type="dxa" w:w="4800"/>
            <w:vAlign w:val="center"/>
          </w:tcPr>
          <w:p>
            <w:pPr>
              <w:spacing w:after="0" w:line="252" w:lineRule="auto"/>
            </w:pPr>
            <w:r>
              <w:rPr>
                <w:rFonts w:ascii="Aptos" w:hAnsi="Aptos"/>
                <w:b w:val="0"/>
                <w:i w:val="0"/>
                <w:color w:val="17213A"/>
                <w:sz w:val="16"/>
              </w:rPr>
              <w:t>Introduce Krishna, Arjuna, Kurukshetra, dharma, yoga, atman and karma at the chosen age level.</w:t>
            </w:r>
          </w:p>
        </w:tc>
        <w:tc>
          <w:tcPr>
            <w:tcW w:type="dxa" w:w="2660"/>
            <w:vAlign w:val="center"/>
          </w:tcPr>
          <w:p>
            <w:pPr>
              <w:spacing w:after="0" w:line="252" w:lineRule="auto"/>
            </w:pPr>
            <w:r>
              <w:rPr>
                <w:rFonts w:ascii="Aptos" w:hAnsi="Aptos"/>
                <w:b w:val="0"/>
                <w:i w:val="0"/>
                <w:color w:val="17213A"/>
                <w:sz w:val="16"/>
              </w:rPr>
              <w:t>Interactive concept map / quiz.</w:t>
            </w:r>
          </w:p>
        </w:tc>
      </w:tr>
      <w:tr>
        <w:tc>
          <w:tcPr>
            <w:tcW w:type="dxa" w:w="1900"/>
            <w:vAlign w:val="center"/>
            <w:shd w:fill="F8F6F1"/>
          </w:tcPr>
          <w:p>
            <w:pPr>
              <w:spacing w:after="0" w:line="252" w:lineRule="auto"/>
            </w:pPr>
            <w:r>
              <w:rPr>
                <w:rFonts w:ascii="Aptos" w:hAnsi="Aptos"/>
                <w:b w:val="0"/>
                <w:i w:val="0"/>
                <w:color w:val="17213A"/>
                <w:sz w:val="16"/>
              </w:rPr>
              <w:t>How to read a verse</w:t>
            </w:r>
          </w:p>
        </w:tc>
        <w:tc>
          <w:tcPr>
            <w:tcW w:type="dxa" w:w="4800"/>
            <w:vAlign w:val="center"/>
            <w:shd w:fill="F8F6F1"/>
          </w:tcPr>
          <w:p>
            <w:pPr>
              <w:spacing w:after="0" w:line="252" w:lineRule="auto"/>
            </w:pPr>
            <w:r>
              <w:rPr>
                <w:rFonts w:ascii="Aptos" w:hAnsi="Aptos"/>
                <w:b w:val="0"/>
                <w:i w:val="0"/>
                <w:color w:val="17213A"/>
                <w:sz w:val="16"/>
              </w:rPr>
              <w:t>Explain Sanskrit, transliteration, translation, commentary, citation and audio pronunciation.</w:t>
            </w:r>
          </w:p>
        </w:tc>
        <w:tc>
          <w:tcPr>
            <w:tcW w:type="dxa" w:w="2660"/>
            <w:vAlign w:val="center"/>
            <w:shd w:fill="F8F6F1"/>
          </w:tcPr>
          <w:p>
            <w:pPr>
              <w:spacing w:after="0" w:line="252" w:lineRule="auto"/>
            </w:pPr>
            <w:r>
              <w:rPr>
                <w:rFonts w:ascii="Aptos" w:hAnsi="Aptos"/>
                <w:b w:val="0"/>
                <w:i w:val="0"/>
                <w:color w:val="17213A"/>
                <w:sz w:val="16"/>
              </w:rPr>
              <w:t>Verse-layer activity.</w:t>
            </w:r>
          </w:p>
        </w:tc>
      </w:tr>
      <w:tr>
        <w:tc>
          <w:tcPr>
            <w:tcW w:type="dxa" w:w="1900"/>
            <w:vAlign w:val="center"/>
          </w:tcPr>
          <w:p>
            <w:pPr>
              <w:spacing w:after="0" w:line="252" w:lineRule="auto"/>
            </w:pPr>
            <w:r>
              <w:rPr>
                <w:rFonts w:ascii="Aptos" w:hAnsi="Aptos"/>
                <w:b w:val="0"/>
                <w:i w:val="0"/>
                <w:color w:val="17213A"/>
                <w:sz w:val="16"/>
              </w:rPr>
              <w:t>Learning preferences and accessibility</w:t>
            </w:r>
          </w:p>
        </w:tc>
        <w:tc>
          <w:tcPr>
            <w:tcW w:type="dxa" w:w="4800"/>
            <w:vAlign w:val="center"/>
          </w:tcPr>
          <w:p>
            <w:pPr>
              <w:spacing w:after="0" w:line="252" w:lineRule="auto"/>
            </w:pPr>
            <w:r>
              <w:rPr>
                <w:rFonts w:ascii="Aptos" w:hAnsi="Aptos"/>
                <w:b w:val="0"/>
                <w:i w:val="0"/>
                <w:color w:val="17213A"/>
                <w:sz w:val="16"/>
              </w:rPr>
              <w:t>Choose language, media, text size, captions, audio and download settings.</w:t>
            </w:r>
          </w:p>
        </w:tc>
        <w:tc>
          <w:tcPr>
            <w:tcW w:type="dxa" w:w="2660"/>
            <w:vAlign w:val="center"/>
          </w:tcPr>
          <w:p>
            <w:pPr>
              <w:spacing w:after="0" w:line="252" w:lineRule="auto"/>
            </w:pPr>
            <w:r>
              <w:rPr>
                <w:rFonts w:ascii="Aptos" w:hAnsi="Aptos"/>
                <w:b w:val="0"/>
                <w:i w:val="0"/>
                <w:color w:val="17213A"/>
                <w:sz w:val="16"/>
              </w:rPr>
              <w:t>Saved preferences.</w:t>
            </w:r>
          </w:p>
        </w:tc>
      </w:tr>
      <w:tr>
        <w:tc>
          <w:tcPr>
            <w:tcW w:type="dxa" w:w="1900"/>
            <w:vAlign w:val="center"/>
            <w:shd w:fill="F8F6F1"/>
          </w:tcPr>
          <w:p>
            <w:pPr>
              <w:spacing w:after="0" w:line="252" w:lineRule="auto"/>
            </w:pPr>
            <w:r>
              <w:rPr>
                <w:rFonts w:ascii="Aptos" w:hAnsi="Aptos"/>
                <w:b w:val="0"/>
                <w:i w:val="0"/>
                <w:color w:val="17213A"/>
                <w:sz w:val="16"/>
              </w:rPr>
              <w:t>Readiness diagnostic</w:t>
            </w:r>
          </w:p>
        </w:tc>
        <w:tc>
          <w:tcPr>
            <w:tcW w:type="dxa" w:w="4800"/>
            <w:vAlign w:val="center"/>
            <w:shd w:fill="F8F6F1"/>
          </w:tcPr>
          <w:p>
            <w:pPr>
              <w:spacing w:after="0" w:line="252" w:lineRule="auto"/>
            </w:pPr>
            <w:r>
              <w:rPr>
                <w:rFonts w:ascii="Aptos" w:hAnsi="Aptos"/>
                <w:b w:val="0"/>
                <w:i w:val="0"/>
                <w:color w:val="17213A"/>
                <w:sz w:val="16"/>
              </w:rPr>
              <w:t>Identify prior knowledge and direct the learner to bridge lessons or Chapter 1.</w:t>
            </w:r>
          </w:p>
        </w:tc>
        <w:tc>
          <w:tcPr>
            <w:tcW w:type="dxa" w:w="2660"/>
            <w:vAlign w:val="center"/>
            <w:shd w:fill="F8F6F1"/>
          </w:tcPr>
          <w:p>
            <w:pPr>
              <w:spacing w:after="0" w:line="252" w:lineRule="auto"/>
            </w:pPr>
            <w:r>
              <w:rPr>
                <w:rFonts w:ascii="Aptos" w:hAnsi="Aptos"/>
                <w:b w:val="0"/>
                <w:i w:val="0"/>
                <w:color w:val="17213A"/>
                <w:sz w:val="16"/>
              </w:rPr>
              <w:t>Diagnostic result; not a public grade.</w:t>
            </w:r>
          </w:p>
        </w:tc>
      </w:tr>
    </w:tbl>
    <w:p>
      <w:pPr>
        <w:spacing w:after="20"/>
      </w:pPr>
    </w:p>
    <w:p>
      <w:pPr>
        <w:pStyle w:val="Heading2"/>
      </w:pPr>
      <w:r>
        <w:t>Chapter learning pattern</w:t>
      </w:r>
    </w:p>
    <w:p>
      <w:pPr>
        <w:pStyle w:val="ListNumber"/>
        <w:numPr>
          <w:ilvl w:val="0"/>
          <w:numId w:val="11"/>
        </w:numPr>
      </w:pPr>
      <w:r>
        <w:rPr>
          <w:rFonts w:ascii="Aptos" w:hAnsi="Aptos"/>
          <w:b w:val="0"/>
          <w:i w:val="0"/>
          <w:color w:val="17213A"/>
          <w:sz w:val="20"/>
        </w:rPr>
        <w:t>Orient: chapter narrative, essential question, outcomes and estimated time.</w:t>
      </w:r>
    </w:p>
    <w:p>
      <w:pPr>
        <w:pStyle w:val="ListNumber"/>
        <w:numPr>
          <w:ilvl w:val="0"/>
          <w:numId w:val="11"/>
        </w:numPr>
      </w:pPr>
      <w:r>
        <w:rPr>
          <w:rFonts w:ascii="Aptos" w:hAnsi="Aptos"/>
          <w:b w:val="0"/>
          <w:i w:val="0"/>
          <w:color w:val="17213A"/>
          <w:sz w:val="20"/>
        </w:rPr>
        <w:t>Encounter: selected verses in Sanskrit, transliteration, word meaning and authorised translation.</w:t>
      </w:r>
    </w:p>
    <w:p>
      <w:pPr>
        <w:pStyle w:val="ListNumber"/>
        <w:numPr>
          <w:ilvl w:val="0"/>
          <w:numId w:val="11"/>
        </w:numPr>
      </w:pPr>
      <w:r>
        <w:rPr>
          <w:rFonts w:ascii="Aptos" w:hAnsi="Aptos"/>
          <w:b w:val="0"/>
          <w:i w:val="0"/>
          <w:color w:val="17213A"/>
          <w:sz w:val="20"/>
        </w:rPr>
        <w:t>Understand: guru commentary and age-appropriate learning explanation clearly labelled.</w:t>
      </w:r>
    </w:p>
    <w:p>
      <w:pPr>
        <w:pStyle w:val="ListNumber"/>
        <w:numPr>
          <w:ilvl w:val="0"/>
          <w:numId w:val="11"/>
        </w:numPr>
      </w:pPr>
      <w:r>
        <w:rPr>
          <w:rFonts w:ascii="Aptos" w:hAnsi="Aptos"/>
          <w:b w:val="0"/>
          <w:i w:val="0"/>
          <w:color w:val="17213A"/>
          <w:sz w:val="20"/>
        </w:rPr>
        <w:t>Explore: video, audio, slides, stories, diagrams and optional full-text reading.</w:t>
      </w:r>
    </w:p>
    <w:p>
      <w:pPr>
        <w:pStyle w:val="ListNumber"/>
        <w:numPr>
          <w:ilvl w:val="0"/>
          <w:numId w:val="11"/>
        </w:numPr>
      </w:pPr>
      <w:r>
        <w:rPr>
          <w:rFonts w:ascii="Aptos" w:hAnsi="Aptos"/>
          <w:b w:val="0"/>
          <w:i w:val="0"/>
          <w:color w:val="17213A"/>
          <w:sz w:val="20"/>
        </w:rPr>
        <w:t>Apply: scenario, discussion, journal or practice connected to life without trivialising doctrine.</w:t>
      </w:r>
    </w:p>
    <w:p>
      <w:pPr>
        <w:pStyle w:val="ListNumber"/>
        <w:numPr>
          <w:ilvl w:val="0"/>
          <w:numId w:val="11"/>
        </w:numPr>
      </w:pPr>
      <w:r>
        <w:rPr>
          <w:rFonts w:ascii="Aptos" w:hAnsi="Aptos"/>
          <w:b w:val="0"/>
          <w:i w:val="0"/>
          <w:color w:val="17213A"/>
          <w:sz w:val="20"/>
        </w:rPr>
        <w:t>Check: low-stakes retrieval and misconception feedback.</w:t>
      </w:r>
    </w:p>
    <w:p>
      <w:pPr>
        <w:pStyle w:val="ListNumber"/>
        <w:numPr>
          <w:ilvl w:val="0"/>
          <w:numId w:val="11"/>
        </w:numPr>
      </w:pPr>
      <w:r>
        <w:rPr>
          <w:rFonts w:ascii="Aptos" w:hAnsi="Aptos"/>
          <w:b w:val="0"/>
          <w:i w:val="0"/>
          <w:color w:val="17213A"/>
          <w:sz w:val="20"/>
        </w:rPr>
        <w:t>Reflect: private prompt; sharing is always explicit and optional.</w:t>
      </w:r>
    </w:p>
    <w:p>
      <w:pPr>
        <w:pStyle w:val="ListNumber"/>
        <w:numPr>
          <w:ilvl w:val="0"/>
          <w:numId w:val="11"/>
        </w:numPr>
      </w:pPr>
      <w:r>
        <w:rPr>
          <w:rFonts w:ascii="Aptos" w:hAnsi="Aptos"/>
          <w:b w:val="0"/>
          <w:i w:val="0"/>
          <w:color w:val="17213A"/>
          <w:sz w:val="20"/>
        </w:rPr>
        <w:t>Demonstrate: chapter assessment or teacher-reviewed task.</w:t>
      </w:r>
    </w:p>
    <w:p>
      <w:pPr>
        <w:pStyle w:val="ListNumber"/>
        <w:numPr>
          <w:ilvl w:val="0"/>
          <w:numId w:val="11"/>
        </w:numPr>
      </w:pPr>
      <w:r>
        <w:rPr>
          <w:rFonts w:ascii="Aptos" w:hAnsi="Aptos"/>
          <w:b w:val="0"/>
          <w:i w:val="0"/>
          <w:color w:val="17213A"/>
          <w:sz w:val="20"/>
        </w:rPr>
        <w:t>Consolidate: summary, glossary, spaced revision and chapter achievement.</w:t>
      </w:r>
    </w:p>
    <w:p>
      <w:pPr>
        <w:pStyle w:val="Heading2"/>
      </w:pPr>
      <w:r>
        <w:t>Recommended 18-chapter curriculum spine</w:t>
      </w:r>
    </w:p>
    <w:tbl>
      <w:tblPr>
        <w:tblW w:type="dxa" w:w="9360"/>
        <w:jc w:val="left"/>
        <w:tblLayout w:type="fixed"/>
        <w:tblLook w:firstColumn="1" w:firstRow="1" w:lastColumn="0" w:lastRow="0" w:noHBand="0" w:noVBand="1" w:val="04A0"/>
        <w:tblInd w:w="120" w:type="dxa"/>
        <w:tblBorders>
          <w:top w:val="single" w:sz="6" w:space="0" w:color="DDD3C1"/>
          <w:left w:val="single" w:sz="6" w:space="0" w:color="DDD3C1"/>
          <w:bottom w:val="single" w:sz="6" w:space="0" w:color="DDD3C1"/>
          <w:right w:val="single" w:sz="6" w:space="0" w:color="DDD3C1"/>
          <w:insideH w:val="single" w:sz="6" w:space="0" w:color="DDD3C1"/>
          <w:insideV w:val="single" w:sz="6" w:space="0" w:color="DDD3C1"/>
        </w:tblBorders>
      </w:tblPr>
      <w:tblGrid>
        <w:gridCol w:w="650"/>
        <w:gridCol w:w="2900"/>
        <w:gridCol w:w="5810"/>
      </w:tblGrid>
      <w:tr>
        <w:trPr>
          <w:tblHeader w:val="true"/>
        </w:trPr>
        <w:tc>
          <w:tcPr>
            <w:tcW w:type="dxa" w:w="650"/>
            <w:tcMar>
              <w:top w:w="100" w:type="dxa"/>
              <w:start w:w="120" w:type="dxa"/>
              <w:bottom w:w="100" w:type="dxa"/>
              <w:end w:w="120" w:type="dxa"/>
            </w:tcMar>
            <w:shd w:fill="18264F"/>
            <w:vAlign w:val="center"/>
          </w:tcPr>
          <w:p>
            <w:pPr>
              <w:spacing w:after="0"/>
            </w:pPr>
            <w:r>
              <w:rPr>
                <w:rFonts w:ascii="Aptos" w:hAnsi="Aptos"/>
                <w:b/>
                <w:i w:val="0"/>
                <w:color w:val="FFFFFF"/>
                <w:sz w:val="18"/>
              </w:rPr>
              <w:t>Ch.</w:t>
            </w:r>
          </w:p>
        </w:tc>
        <w:tc>
          <w:tcPr>
            <w:tcW w:type="dxa" w:w="2900"/>
            <w:tcMar>
              <w:top w:w="100" w:type="dxa"/>
              <w:start w:w="120" w:type="dxa"/>
              <w:bottom w:w="100" w:type="dxa"/>
              <w:end w:w="120" w:type="dxa"/>
            </w:tcMar>
            <w:shd w:fill="18264F"/>
            <w:vAlign w:val="center"/>
          </w:tcPr>
          <w:p>
            <w:pPr>
              <w:spacing w:after="0"/>
            </w:pPr>
            <w:r>
              <w:rPr>
                <w:rFonts w:ascii="Aptos" w:hAnsi="Aptos"/>
                <w:b/>
                <w:i w:val="0"/>
                <w:color w:val="FFFFFF"/>
                <w:sz w:val="18"/>
              </w:rPr>
              <w:t>Title</w:t>
            </w:r>
          </w:p>
        </w:tc>
        <w:tc>
          <w:tcPr>
            <w:tcW w:type="dxa" w:w="5810"/>
            <w:tcMar>
              <w:top w:w="100" w:type="dxa"/>
              <w:start w:w="120" w:type="dxa"/>
              <w:bottom w:w="100" w:type="dxa"/>
              <w:end w:w="120" w:type="dxa"/>
            </w:tcMar>
            <w:shd w:fill="18264F"/>
            <w:vAlign w:val="center"/>
          </w:tcPr>
          <w:p>
            <w:pPr>
              <w:spacing w:after="0"/>
            </w:pPr>
            <w:r>
              <w:rPr>
                <w:rFonts w:ascii="Aptos" w:hAnsi="Aptos"/>
                <w:b/>
                <w:i w:val="0"/>
                <w:color w:val="FFFFFF"/>
                <w:sz w:val="18"/>
              </w:rPr>
              <w:t>Learner-facing focus</w:t>
            </w:r>
          </w:p>
        </w:tc>
      </w:tr>
      <w:tr>
        <w:tc>
          <w:tcPr>
            <w:tcW w:type="dxa" w:w="650"/>
            <w:vAlign w:val="center"/>
          </w:tcPr>
          <w:p>
            <w:pPr>
              <w:spacing w:after="0" w:line="252" w:lineRule="auto"/>
            </w:pPr>
            <w:r>
              <w:rPr>
                <w:rFonts w:ascii="Aptos" w:hAnsi="Aptos"/>
                <w:b w:val="0"/>
                <w:i w:val="0"/>
                <w:color w:val="17213A"/>
                <w:sz w:val="16"/>
              </w:rPr>
              <w:t>1</w:t>
            </w:r>
          </w:p>
        </w:tc>
        <w:tc>
          <w:tcPr>
            <w:tcW w:type="dxa" w:w="2900"/>
            <w:vAlign w:val="center"/>
          </w:tcPr>
          <w:p>
            <w:pPr>
              <w:spacing w:after="0" w:line="252" w:lineRule="auto"/>
            </w:pPr>
            <w:r>
              <w:rPr>
                <w:rFonts w:ascii="Aptos" w:hAnsi="Aptos"/>
                <w:b w:val="0"/>
                <w:i w:val="0"/>
                <w:color w:val="17213A"/>
                <w:sz w:val="16"/>
              </w:rPr>
              <w:t>Arjuna Viṣāda Yoga</w:t>
            </w:r>
          </w:p>
        </w:tc>
        <w:tc>
          <w:tcPr>
            <w:tcW w:type="dxa" w:w="5810"/>
            <w:vAlign w:val="center"/>
          </w:tcPr>
          <w:p>
            <w:pPr>
              <w:spacing w:after="0" w:line="252" w:lineRule="auto"/>
            </w:pPr>
            <w:r>
              <w:rPr>
                <w:rFonts w:ascii="Aptos" w:hAnsi="Aptos"/>
                <w:b w:val="0"/>
                <w:i w:val="0"/>
                <w:color w:val="17213A"/>
                <w:sz w:val="16"/>
              </w:rPr>
              <w:t>Recognising moral conflict and the need for guidance.</w:t>
            </w:r>
          </w:p>
        </w:tc>
      </w:tr>
      <w:tr>
        <w:tc>
          <w:tcPr>
            <w:tcW w:type="dxa" w:w="650"/>
            <w:vAlign w:val="center"/>
            <w:shd w:fill="F8F6F1"/>
          </w:tcPr>
          <w:p>
            <w:pPr>
              <w:spacing w:after="0" w:line="252" w:lineRule="auto"/>
            </w:pPr>
            <w:r>
              <w:rPr>
                <w:rFonts w:ascii="Aptos" w:hAnsi="Aptos"/>
                <w:b w:val="0"/>
                <w:i w:val="0"/>
                <w:color w:val="17213A"/>
                <w:sz w:val="16"/>
              </w:rPr>
              <w:t>2</w:t>
            </w:r>
          </w:p>
        </w:tc>
        <w:tc>
          <w:tcPr>
            <w:tcW w:type="dxa" w:w="2900"/>
            <w:vAlign w:val="center"/>
            <w:shd w:fill="F8F6F1"/>
          </w:tcPr>
          <w:p>
            <w:pPr>
              <w:spacing w:after="0" w:line="252" w:lineRule="auto"/>
            </w:pPr>
            <w:r>
              <w:rPr>
                <w:rFonts w:ascii="Aptos" w:hAnsi="Aptos"/>
                <w:b w:val="0"/>
                <w:i w:val="0"/>
                <w:color w:val="17213A"/>
                <w:sz w:val="16"/>
              </w:rPr>
              <w:t>Sāṅkhya Yoga</w:t>
            </w:r>
          </w:p>
        </w:tc>
        <w:tc>
          <w:tcPr>
            <w:tcW w:type="dxa" w:w="5810"/>
            <w:vAlign w:val="center"/>
            <w:shd w:fill="F8F6F1"/>
          </w:tcPr>
          <w:p>
            <w:pPr>
              <w:spacing w:after="0" w:line="252" w:lineRule="auto"/>
            </w:pPr>
            <w:r>
              <w:rPr>
                <w:rFonts w:ascii="Aptos" w:hAnsi="Aptos"/>
                <w:b w:val="0"/>
                <w:i w:val="0"/>
                <w:color w:val="17213A"/>
                <w:sz w:val="16"/>
              </w:rPr>
              <w:t>Self, steadiness, right action and foundational teachings.</w:t>
            </w:r>
          </w:p>
        </w:tc>
      </w:tr>
      <w:tr>
        <w:tc>
          <w:tcPr>
            <w:tcW w:type="dxa" w:w="650"/>
            <w:vAlign w:val="center"/>
          </w:tcPr>
          <w:p>
            <w:pPr>
              <w:spacing w:after="0" w:line="252" w:lineRule="auto"/>
            </w:pPr>
            <w:r>
              <w:rPr>
                <w:rFonts w:ascii="Aptos" w:hAnsi="Aptos"/>
                <w:b w:val="0"/>
                <w:i w:val="0"/>
                <w:color w:val="17213A"/>
                <w:sz w:val="16"/>
              </w:rPr>
              <w:t>3</w:t>
            </w:r>
          </w:p>
        </w:tc>
        <w:tc>
          <w:tcPr>
            <w:tcW w:type="dxa" w:w="2900"/>
            <w:vAlign w:val="center"/>
          </w:tcPr>
          <w:p>
            <w:pPr>
              <w:spacing w:after="0" w:line="252" w:lineRule="auto"/>
            </w:pPr>
            <w:r>
              <w:rPr>
                <w:rFonts w:ascii="Aptos" w:hAnsi="Aptos"/>
                <w:b w:val="0"/>
                <w:i w:val="0"/>
                <w:color w:val="17213A"/>
                <w:sz w:val="16"/>
              </w:rPr>
              <w:t>Karma Yoga</w:t>
            </w:r>
          </w:p>
        </w:tc>
        <w:tc>
          <w:tcPr>
            <w:tcW w:type="dxa" w:w="5810"/>
            <w:vAlign w:val="center"/>
          </w:tcPr>
          <w:p>
            <w:pPr>
              <w:spacing w:after="0" w:line="252" w:lineRule="auto"/>
            </w:pPr>
            <w:r>
              <w:rPr>
                <w:rFonts w:ascii="Aptos" w:hAnsi="Aptos"/>
                <w:b w:val="0"/>
                <w:i w:val="0"/>
                <w:color w:val="17213A"/>
                <w:sz w:val="16"/>
              </w:rPr>
              <w:t>Duty, contribution and action without possessive attachment.</w:t>
            </w:r>
          </w:p>
        </w:tc>
      </w:tr>
      <w:tr>
        <w:tc>
          <w:tcPr>
            <w:tcW w:type="dxa" w:w="650"/>
            <w:vAlign w:val="center"/>
            <w:shd w:fill="F8F6F1"/>
          </w:tcPr>
          <w:p>
            <w:pPr>
              <w:spacing w:after="0" w:line="252" w:lineRule="auto"/>
            </w:pPr>
            <w:r>
              <w:rPr>
                <w:rFonts w:ascii="Aptos" w:hAnsi="Aptos"/>
                <w:b w:val="0"/>
                <w:i w:val="0"/>
                <w:color w:val="17213A"/>
                <w:sz w:val="16"/>
              </w:rPr>
              <w:t>4</w:t>
            </w:r>
          </w:p>
        </w:tc>
        <w:tc>
          <w:tcPr>
            <w:tcW w:type="dxa" w:w="2900"/>
            <w:vAlign w:val="center"/>
            <w:shd w:fill="F8F6F1"/>
          </w:tcPr>
          <w:p>
            <w:pPr>
              <w:spacing w:after="0" w:line="252" w:lineRule="auto"/>
            </w:pPr>
            <w:r>
              <w:rPr>
                <w:rFonts w:ascii="Aptos" w:hAnsi="Aptos"/>
                <w:b w:val="0"/>
                <w:i w:val="0"/>
                <w:color w:val="17213A"/>
                <w:sz w:val="16"/>
              </w:rPr>
              <w:t>Jñāna Karma Sannyāsa Yoga</w:t>
            </w:r>
          </w:p>
        </w:tc>
        <w:tc>
          <w:tcPr>
            <w:tcW w:type="dxa" w:w="5810"/>
            <w:vAlign w:val="center"/>
            <w:shd w:fill="F8F6F1"/>
          </w:tcPr>
          <w:p>
            <w:pPr>
              <w:spacing w:after="0" w:line="252" w:lineRule="auto"/>
            </w:pPr>
            <w:r>
              <w:rPr>
                <w:rFonts w:ascii="Aptos" w:hAnsi="Aptos"/>
                <w:b w:val="0"/>
                <w:i w:val="0"/>
                <w:color w:val="17213A"/>
                <w:sz w:val="16"/>
              </w:rPr>
              <w:t>Knowledge, tradition, divine descent and wise action.</w:t>
            </w:r>
          </w:p>
        </w:tc>
      </w:tr>
      <w:tr>
        <w:tc>
          <w:tcPr>
            <w:tcW w:type="dxa" w:w="650"/>
            <w:vAlign w:val="center"/>
          </w:tcPr>
          <w:p>
            <w:pPr>
              <w:spacing w:after="0" w:line="252" w:lineRule="auto"/>
            </w:pPr>
            <w:r>
              <w:rPr>
                <w:rFonts w:ascii="Aptos" w:hAnsi="Aptos"/>
                <w:b w:val="0"/>
                <w:i w:val="0"/>
                <w:color w:val="17213A"/>
                <w:sz w:val="16"/>
              </w:rPr>
              <w:t>5</w:t>
            </w:r>
          </w:p>
        </w:tc>
        <w:tc>
          <w:tcPr>
            <w:tcW w:type="dxa" w:w="2900"/>
            <w:vAlign w:val="center"/>
          </w:tcPr>
          <w:p>
            <w:pPr>
              <w:spacing w:after="0" w:line="252" w:lineRule="auto"/>
            </w:pPr>
            <w:r>
              <w:rPr>
                <w:rFonts w:ascii="Aptos" w:hAnsi="Aptos"/>
                <w:b w:val="0"/>
                <w:i w:val="0"/>
                <w:color w:val="17213A"/>
                <w:sz w:val="16"/>
              </w:rPr>
              <w:t>Karma Sannyāsa Yoga</w:t>
            </w:r>
          </w:p>
        </w:tc>
        <w:tc>
          <w:tcPr>
            <w:tcW w:type="dxa" w:w="5810"/>
            <w:vAlign w:val="center"/>
          </w:tcPr>
          <w:p>
            <w:pPr>
              <w:spacing w:after="0" w:line="252" w:lineRule="auto"/>
            </w:pPr>
            <w:r>
              <w:rPr>
                <w:rFonts w:ascii="Aptos" w:hAnsi="Aptos"/>
                <w:b w:val="0"/>
                <w:i w:val="0"/>
                <w:color w:val="17213A"/>
                <w:sz w:val="16"/>
              </w:rPr>
              <w:t>Renunciation in action and inner freedom.</w:t>
            </w:r>
          </w:p>
        </w:tc>
      </w:tr>
      <w:tr>
        <w:tc>
          <w:tcPr>
            <w:tcW w:type="dxa" w:w="650"/>
            <w:vAlign w:val="center"/>
            <w:shd w:fill="F8F6F1"/>
          </w:tcPr>
          <w:p>
            <w:pPr>
              <w:spacing w:after="0" w:line="252" w:lineRule="auto"/>
            </w:pPr>
            <w:r>
              <w:rPr>
                <w:rFonts w:ascii="Aptos" w:hAnsi="Aptos"/>
                <w:b w:val="0"/>
                <w:i w:val="0"/>
                <w:color w:val="17213A"/>
                <w:sz w:val="16"/>
              </w:rPr>
              <w:t>6</w:t>
            </w:r>
          </w:p>
        </w:tc>
        <w:tc>
          <w:tcPr>
            <w:tcW w:type="dxa" w:w="2900"/>
            <w:vAlign w:val="center"/>
            <w:shd w:fill="F8F6F1"/>
          </w:tcPr>
          <w:p>
            <w:pPr>
              <w:spacing w:after="0" w:line="252" w:lineRule="auto"/>
            </w:pPr>
            <w:r>
              <w:rPr>
                <w:rFonts w:ascii="Aptos" w:hAnsi="Aptos"/>
                <w:b w:val="0"/>
                <w:i w:val="0"/>
                <w:color w:val="17213A"/>
                <w:sz w:val="16"/>
              </w:rPr>
              <w:t>Dhyāna Yoga</w:t>
            </w:r>
          </w:p>
        </w:tc>
        <w:tc>
          <w:tcPr>
            <w:tcW w:type="dxa" w:w="5810"/>
            <w:vAlign w:val="center"/>
            <w:shd w:fill="F8F6F1"/>
          </w:tcPr>
          <w:p>
            <w:pPr>
              <w:spacing w:after="0" w:line="252" w:lineRule="auto"/>
            </w:pPr>
            <w:r>
              <w:rPr>
                <w:rFonts w:ascii="Aptos" w:hAnsi="Aptos"/>
                <w:b w:val="0"/>
                <w:i w:val="0"/>
                <w:color w:val="17213A"/>
                <w:sz w:val="16"/>
              </w:rPr>
              <w:t>Discipline of mind, meditation and balance.</w:t>
            </w:r>
          </w:p>
        </w:tc>
      </w:tr>
      <w:tr>
        <w:tc>
          <w:tcPr>
            <w:tcW w:type="dxa" w:w="650"/>
            <w:vAlign w:val="center"/>
          </w:tcPr>
          <w:p>
            <w:pPr>
              <w:spacing w:after="0" w:line="252" w:lineRule="auto"/>
            </w:pPr>
            <w:r>
              <w:rPr>
                <w:rFonts w:ascii="Aptos" w:hAnsi="Aptos"/>
                <w:b w:val="0"/>
                <w:i w:val="0"/>
                <w:color w:val="17213A"/>
                <w:sz w:val="16"/>
              </w:rPr>
              <w:t>7</w:t>
            </w:r>
          </w:p>
        </w:tc>
        <w:tc>
          <w:tcPr>
            <w:tcW w:type="dxa" w:w="2900"/>
            <w:vAlign w:val="center"/>
          </w:tcPr>
          <w:p>
            <w:pPr>
              <w:spacing w:after="0" w:line="252" w:lineRule="auto"/>
            </w:pPr>
            <w:r>
              <w:rPr>
                <w:rFonts w:ascii="Aptos" w:hAnsi="Aptos"/>
                <w:b w:val="0"/>
                <w:i w:val="0"/>
                <w:color w:val="17213A"/>
                <w:sz w:val="16"/>
              </w:rPr>
              <w:t>Jñāna Vijñāna Yoga</w:t>
            </w:r>
          </w:p>
        </w:tc>
        <w:tc>
          <w:tcPr>
            <w:tcW w:type="dxa" w:w="5810"/>
            <w:vAlign w:val="center"/>
          </w:tcPr>
          <w:p>
            <w:pPr>
              <w:spacing w:after="0" w:line="252" w:lineRule="auto"/>
            </w:pPr>
            <w:r>
              <w:rPr>
                <w:rFonts w:ascii="Aptos" w:hAnsi="Aptos"/>
                <w:b w:val="0"/>
                <w:i w:val="0"/>
                <w:color w:val="17213A"/>
                <w:sz w:val="16"/>
              </w:rPr>
              <w:t>Knowing the Divine in principle and experience.</w:t>
            </w:r>
          </w:p>
        </w:tc>
      </w:tr>
      <w:tr>
        <w:tc>
          <w:tcPr>
            <w:tcW w:type="dxa" w:w="650"/>
            <w:vAlign w:val="center"/>
            <w:shd w:fill="F8F6F1"/>
          </w:tcPr>
          <w:p>
            <w:pPr>
              <w:spacing w:after="0" w:line="252" w:lineRule="auto"/>
            </w:pPr>
            <w:r>
              <w:rPr>
                <w:rFonts w:ascii="Aptos" w:hAnsi="Aptos"/>
                <w:b w:val="0"/>
                <w:i w:val="0"/>
                <w:color w:val="17213A"/>
                <w:sz w:val="16"/>
              </w:rPr>
              <w:t>8</w:t>
            </w:r>
          </w:p>
        </w:tc>
        <w:tc>
          <w:tcPr>
            <w:tcW w:type="dxa" w:w="2900"/>
            <w:vAlign w:val="center"/>
            <w:shd w:fill="F8F6F1"/>
          </w:tcPr>
          <w:p>
            <w:pPr>
              <w:spacing w:after="0" w:line="252" w:lineRule="auto"/>
            </w:pPr>
            <w:r>
              <w:rPr>
                <w:rFonts w:ascii="Aptos" w:hAnsi="Aptos"/>
                <w:b w:val="0"/>
                <w:i w:val="0"/>
                <w:color w:val="17213A"/>
                <w:sz w:val="16"/>
              </w:rPr>
              <w:t>Akṣara Brahma Yoga</w:t>
            </w:r>
          </w:p>
        </w:tc>
        <w:tc>
          <w:tcPr>
            <w:tcW w:type="dxa" w:w="5810"/>
            <w:vAlign w:val="center"/>
            <w:shd w:fill="F8F6F1"/>
          </w:tcPr>
          <w:p>
            <w:pPr>
              <w:spacing w:after="0" w:line="252" w:lineRule="auto"/>
            </w:pPr>
            <w:r>
              <w:rPr>
                <w:rFonts w:ascii="Aptos" w:hAnsi="Aptos"/>
                <w:b w:val="0"/>
                <w:i w:val="0"/>
                <w:color w:val="17213A"/>
                <w:sz w:val="16"/>
              </w:rPr>
              <w:t>The imperishable, remembrance and life’s final orientation.</w:t>
            </w:r>
          </w:p>
        </w:tc>
      </w:tr>
      <w:tr>
        <w:tc>
          <w:tcPr>
            <w:tcW w:type="dxa" w:w="650"/>
            <w:vAlign w:val="center"/>
          </w:tcPr>
          <w:p>
            <w:pPr>
              <w:spacing w:after="0" w:line="252" w:lineRule="auto"/>
            </w:pPr>
            <w:r>
              <w:rPr>
                <w:rFonts w:ascii="Aptos" w:hAnsi="Aptos"/>
                <w:b w:val="0"/>
                <w:i w:val="0"/>
                <w:color w:val="17213A"/>
                <w:sz w:val="16"/>
              </w:rPr>
              <w:t>9</w:t>
            </w:r>
          </w:p>
        </w:tc>
        <w:tc>
          <w:tcPr>
            <w:tcW w:type="dxa" w:w="2900"/>
            <w:vAlign w:val="center"/>
          </w:tcPr>
          <w:p>
            <w:pPr>
              <w:spacing w:after="0" w:line="252" w:lineRule="auto"/>
            </w:pPr>
            <w:r>
              <w:rPr>
                <w:rFonts w:ascii="Aptos" w:hAnsi="Aptos"/>
                <w:b w:val="0"/>
                <w:i w:val="0"/>
                <w:color w:val="17213A"/>
                <w:sz w:val="16"/>
              </w:rPr>
              <w:t>Rāja Vidyā Rāja Guhya Yoga</w:t>
            </w:r>
          </w:p>
        </w:tc>
        <w:tc>
          <w:tcPr>
            <w:tcW w:type="dxa" w:w="5810"/>
            <w:vAlign w:val="center"/>
          </w:tcPr>
          <w:p>
            <w:pPr>
              <w:spacing w:after="0" w:line="252" w:lineRule="auto"/>
            </w:pPr>
            <w:r>
              <w:rPr>
                <w:rFonts w:ascii="Aptos" w:hAnsi="Aptos"/>
                <w:b w:val="0"/>
                <w:i w:val="0"/>
                <w:color w:val="17213A"/>
                <w:sz w:val="16"/>
              </w:rPr>
              <w:t>Sovereign knowledge, devotion and divine immanence.</w:t>
            </w:r>
          </w:p>
        </w:tc>
      </w:tr>
    </w:tbl>
    <w:p>
      <w:pPr>
        <w:spacing w:after="20"/>
      </w:pPr>
    </w:p>
    <w:p>
      <w:pPr>
        <w:pStyle w:val="Heading2"/>
      </w:pPr>
      <w:r>
        <w:t>Recommended 18-chapter curriculum spine (continued)</w:t>
      </w:r>
    </w:p>
    <w:tbl>
      <w:tblPr>
        <w:tblW w:type="dxa" w:w="9360"/>
        <w:jc w:val="left"/>
        <w:tblLayout w:type="fixed"/>
        <w:tblLook w:firstColumn="1" w:firstRow="1" w:lastColumn="0" w:lastRow="0" w:noHBand="0" w:noVBand="1" w:val="04A0"/>
        <w:tblInd w:w="120" w:type="dxa"/>
        <w:tblBorders>
          <w:top w:val="single" w:sz="6" w:space="0" w:color="DDD3C1"/>
          <w:left w:val="single" w:sz="6" w:space="0" w:color="DDD3C1"/>
          <w:bottom w:val="single" w:sz="6" w:space="0" w:color="DDD3C1"/>
          <w:right w:val="single" w:sz="6" w:space="0" w:color="DDD3C1"/>
          <w:insideH w:val="single" w:sz="6" w:space="0" w:color="DDD3C1"/>
          <w:insideV w:val="single" w:sz="6" w:space="0" w:color="DDD3C1"/>
        </w:tblBorders>
      </w:tblPr>
      <w:tblGrid>
        <w:gridCol w:w="650"/>
        <w:gridCol w:w="2900"/>
        <w:gridCol w:w="5810"/>
      </w:tblGrid>
      <w:tr>
        <w:trPr>
          <w:tblHeader w:val="true"/>
        </w:trPr>
        <w:tc>
          <w:tcPr>
            <w:tcW w:type="dxa" w:w="650"/>
            <w:tcMar>
              <w:top w:w="100" w:type="dxa"/>
              <w:start w:w="120" w:type="dxa"/>
              <w:bottom w:w="100" w:type="dxa"/>
              <w:end w:w="120" w:type="dxa"/>
            </w:tcMar>
            <w:shd w:fill="18264F"/>
            <w:vAlign w:val="center"/>
          </w:tcPr>
          <w:p>
            <w:pPr>
              <w:spacing w:after="0"/>
            </w:pPr>
            <w:r>
              <w:rPr>
                <w:rFonts w:ascii="Aptos" w:hAnsi="Aptos"/>
                <w:b/>
                <w:i w:val="0"/>
                <w:color w:val="FFFFFF"/>
                <w:sz w:val="18"/>
              </w:rPr>
              <w:t>Ch.</w:t>
            </w:r>
          </w:p>
        </w:tc>
        <w:tc>
          <w:tcPr>
            <w:tcW w:type="dxa" w:w="2900"/>
            <w:tcMar>
              <w:top w:w="100" w:type="dxa"/>
              <w:start w:w="120" w:type="dxa"/>
              <w:bottom w:w="100" w:type="dxa"/>
              <w:end w:w="120" w:type="dxa"/>
            </w:tcMar>
            <w:shd w:fill="18264F"/>
            <w:vAlign w:val="center"/>
          </w:tcPr>
          <w:p>
            <w:pPr>
              <w:spacing w:after="0"/>
            </w:pPr>
            <w:r>
              <w:rPr>
                <w:rFonts w:ascii="Aptos" w:hAnsi="Aptos"/>
                <w:b/>
                <w:i w:val="0"/>
                <w:color w:val="FFFFFF"/>
                <w:sz w:val="18"/>
              </w:rPr>
              <w:t>Title</w:t>
            </w:r>
          </w:p>
        </w:tc>
        <w:tc>
          <w:tcPr>
            <w:tcW w:type="dxa" w:w="5810"/>
            <w:tcMar>
              <w:top w:w="100" w:type="dxa"/>
              <w:start w:w="120" w:type="dxa"/>
              <w:bottom w:w="100" w:type="dxa"/>
              <w:end w:w="120" w:type="dxa"/>
            </w:tcMar>
            <w:shd w:fill="18264F"/>
            <w:vAlign w:val="center"/>
          </w:tcPr>
          <w:p>
            <w:pPr>
              <w:spacing w:after="0"/>
            </w:pPr>
            <w:r>
              <w:rPr>
                <w:rFonts w:ascii="Aptos" w:hAnsi="Aptos"/>
                <w:b/>
                <w:i w:val="0"/>
                <w:color w:val="FFFFFF"/>
                <w:sz w:val="18"/>
              </w:rPr>
              <w:t>Learner-facing focus</w:t>
            </w:r>
          </w:p>
        </w:tc>
      </w:tr>
      <w:tr>
        <w:tc>
          <w:tcPr>
            <w:tcW w:type="dxa" w:w="650"/>
            <w:vAlign w:val="center"/>
          </w:tcPr>
          <w:p>
            <w:pPr>
              <w:spacing w:after="0" w:line="252" w:lineRule="auto"/>
            </w:pPr>
            <w:r>
              <w:rPr>
                <w:rFonts w:ascii="Aptos" w:hAnsi="Aptos"/>
                <w:b w:val="0"/>
                <w:i w:val="0"/>
                <w:color w:val="17213A"/>
                <w:sz w:val="16"/>
              </w:rPr>
              <w:t>10</w:t>
            </w:r>
          </w:p>
        </w:tc>
        <w:tc>
          <w:tcPr>
            <w:tcW w:type="dxa" w:w="2900"/>
            <w:vAlign w:val="center"/>
          </w:tcPr>
          <w:p>
            <w:pPr>
              <w:spacing w:after="0" w:line="252" w:lineRule="auto"/>
            </w:pPr>
            <w:r>
              <w:rPr>
                <w:rFonts w:ascii="Aptos" w:hAnsi="Aptos"/>
                <w:b w:val="0"/>
                <w:i w:val="0"/>
                <w:color w:val="17213A"/>
                <w:sz w:val="16"/>
              </w:rPr>
              <w:t>Vibhūti Yoga</w:t>
            </w:r>
          </w:p>
        </w:tc>
        <w:tc>
          <w:tcPr>
            <w:tcW w:type="dxa" w:w="5810"/>
            <w:vAlign w:val="center"/>
          </w:tcPr>
          <w:p>
            <w:pPr>
              <w:spacing w:after="0" w:line="252" w:lineRule="auto"/>
            </w:pPr>
            <w:r>
              <w:rPr>
                <w:rFonts w:ascii="Aptos" w:hAnsi="Aptos"/>
                <w:b w:val="0"/>
                <w:i w:val="0"/>
                <w:color w:val="17213A"/>
                <w:sz w:val="16"/>
              </w:rPr>
              <w:t>Recognising divine excellences in the world.</w:t>
            </w:r>
          </w:p>
        </w:tc>
      </w:tr>
      <w:tr>
        <w:tc>
          <w:tcPr>
            <w:tcW w:type="dxa" w:w="650"/>
            <w:vAlign w:val="center"/>
            <w:shd w:fill="F8F6F1"/>
          </w:tcPr>
          <w:p>
            <w:pPr>
              <w:spacing w:after="0" w:line="252" w:lineRule="auto"/>
            </w:pPr>
            <w:r>
              <w:rPr>
                <w:rFonts w:ascii="Aptos" w:hAnsi="Aptos"/>
                <w:b w:val="0"/>
                <w:i w:val="0"/>
                <w:color w:val="17213A"/>
                <w:sz w:val="16"/>
              </w:rPr>
              <w:t>11</w:t>
            </w:r>
          </w:p>
        </w:tc>
        <w:tc>
          <w:tcPr>
            <w:tcW w:type="dxa" w:w="2900"/>
            <w:vAlign w:val="center"/>
            <w:shd w:fill="F8F6F1"/>
          </w:tcPr>
          <w:p>
            <w:pPr>
              <w:spacing w:after="0" w:line="252" w:lineRule="auto"/>
            </w:pPr>
            <w:r>
              <w:rPr>
                <w:rFonts w:ascii="Aptos" w:hAnsi="Aptos"/>
                <w:b w:val="0"/>
                <w:i w:val="0"/>
                <w:color w:val="17213A"/>
                <w:sz w:val="16"/>
              </w:rPr>
              <w:t>Viśvarūpa Darśana Yoga</w:t>
            </w:r>
          </w:p>
        </w:tc>
        <w:tc>
          <w:tcPr>
            <w:tcW w:type="dxa" w:w="5810"/>
            <w:vAlign w:val="center"/>
            <w:shd w:fill="F8F6F1"/>
          </w:tcPr>
          <w:p>
            <w:pPr>
              <w:spacing w:after="0" w:line="252" w:lineRule="auto"/>
            </w:pPr>
            <w:r>
              <w:rPr>
                <w:rFonts w:ascii="Aptos" w:hAnsi="Aptos"/>
                <w:b w:val="0"/>
                <w:i w:val="0"/>
                <w:color w:val="17213A"/>
                <w:sz w:val="16"/>
              </w:rPr>
              <w:t>Encountering the universal form and limits of ordinary perception.</w:t>
            </w:r>
          </w:p>
        </w:tc>
      </w:tr>
      <w:tr>
        <w:tc>
          <w:tcPr>
            <w:tcW w:type="dxa" w:w="650"/>
            <w:vAlign w:val="center"/>
          </w:tcPr>
          <w:p>
            <w:pPr>
              <w:spacing w:after="0" w:line="252" w:lineRule="auto"/>
            </w:pPr>
            <w:r>
              <w:rPr>
                <w:rFonts w:ascii="Aptos" w:hAnsi="Aptos"/>
                <w:b w:val="0"/>
                <w:i w:val="0"/>
                <w:color w:val="17213A"/>
                <w:sz w:val="16"/>
              </w:rPr>
              <w:t>12</w:t>
            </w:r>
          </w:p>
        </w:tc>
        <w:tc>
          <w:tcPr>
            <w:tcW w:type="dxa" w:w="2900"/>
            <w:vAlign w:val="center"/>
          </w:tcPr>
          <w:p>
            <w:pPr>
              <w:spacing w:after="0" w:line="252" w:lineRule="auto"/>
            </w:pPr>
            <w:r>
              <w:rPr>
                <w:rFonts w:ascii="Aptos" w:hAnsi="Aptos"/>
                <w:b w:val="0"/>
                <w:i w:val="0"/>
                <w:color w:val="17213A"/>
                <w:sz w:val="16"/>
              </w:rPr>
              <w:t>Bhakti Yoga</w:t>
            </w:r>
          </w:p>
        </w:tc>
        <w:tc>
          <w:tcPr>
            <w:tcW w:type="dxa" w:w="5810"/>
            <w:vAlign w:val="center"/>
          </w:tcPr>
          <w:p>
            <w:pPr>
              <w:spacing w:after="0" w:line="252" w:lineRule="auto"/>
            </w:pPr>
            <w:r>
              <w:rPr>
                <w:rFonts w:ascii="Aptos" w:hAnsi="Aptos"/>
                <w:b w:val="0"/>
                <w:i w:val="0"/>
                <w:color w:val="17213A"/>
                <w:sz w:val="16"/>
              </w:rPr>
              <w:t>Qualities and practices of devotion.</w:t>
            </w:r>
          </w:p>
        </w:tc>
      </w:tr>
      <w:tr>
        <w:tc>
          <w:tcPr>
            <w:tcW w:type="dxa" w:w="650"/>
            <w:vAlign w:val="center"/>
            <w:shd w:fill="F8F6F1"/>
          </w:tcPr>
          <w:p>
            <w:pPr>
              <w:spacing w:after="0" w:line="252" w:lineRule="auto"/>
            </w:pPr>
            <w:r>
              <w:rPr>
                <w:rFonts w:ascii="Aptos" w:hAnsi="Aptos"/>
                <w:b w:val="0"/>
                <w:i w:val="0"/>
                <w:color w:val="17213A"/>
                <w:sz w:val="16"/>
              </w:rPr>
              <w:t>13</w:t>
            </w:r>
          </w:p>
        </w:tc>
        <w:tc>
          <w:tcPr>
            <w:tcW w:type="dxa" w:w="2900"/>
            <w:vAlign w:val="center"/>
            <w:shd w:fill="F8F6F1"/>
          </w:tcPr>
          <w:p>
            <w:pPr>
              <w:spacing w:after="0" w:line="252" w:lineRule="auto"/>
            </w:pPr>
            <w:r>
              <w:rPr>
                <w:rFonts w:ascii="Aptos" w:hAnsi="Aptos"/>
                <w:b w:val="0"/>
                <w:i w:val="0"/>
                <w:color w:val="17213A"/>
                <w:sz w:val="16"/>
              </w:rPr>
              <w:t>Kṣetra Kṣetrajña Vibhāga Yoga</w:t>
            </w:r>
          </w:p>
        </w:tc>
        <w:tc>
          <w:tcPr>
            <w:tcW w:type="dxa" w:w="5810"/>
            <w:vAlign w:val="center"/>
            <w:shd w:fill="F8F6F1"/>
          </w:tcPr>
          <w:p>
            <w:pPr>
              <w:spacing w:after="0" w:line="252" w:lineRule="auto"/>
            </w:pPr>
            <w:r>
              <w:rPr>
                <w:rFonts w:ascii="Aptos" w:hAnsi="Aptos"/>
                <w:b w:val="0"/>
                <w:i w:val="0"/>
                <w:color w:val="17213A"/>
                <w:sz w:val="16"/>
              </w:rPr>
              <w:t>Field, knower, nature and consciousness.</w:t>
            </w:r>
          </w:p>
        </w:tc>
      </w:tr>
      <w:tr>
        <w:tc>
          <w:tcPr>
            <w:tcW w:type="dxa" w:w="650"/>
            <w:vAlign w:val="center"/>
          </w:tcPr>
          <w:p>
            <w:pPr>
              <w:spacing w:after="0" w:line="252" w:lineRule="auto"/>
            </w:pPr>
            <w:r>
              <w:rPr>
                <w:rFonts w:ascii="Aptos" w:hAnsi="Aptos"/>
                <w:b w:val="0"/>
                <w:i w:val="0"/>
                <w:color w:val="17213A"/>
                <w:sz w:val="16"/>
              </w:rPr>
              <w:t>14</w:t>
            </w:r>
          </w:p>
        </w:tc>
        <w:tc>
          <w:tcPr>
            <w:tcW w:type="dxa" w:w="2900"/>
            <w:vAlign w:val="center"/>
          </w:tcPr>
          <w:p>
            <w:pPr>
              <w:spacing w:after="0" w:line="252" w:lineRule="auto"/>
            </w:pPr>
            <w:r>
              <w:rPr>
                <w:rFonts w:ascii="Aptos" w:hAnsi="Aptos"/>
                <w:b w:val="0"/>
                <w:i w:val="0"/>
                <w:color w:val="17213A"/>
                <w:sz w:val="16"/>
              </w:rPr>
              <w:t>Guṇatraya Vibhāga Yoga</w:t>
            </w:r>
          </w:p>
        </w:tc>
        <w:tc>
          <w:tcPr>
            <w:tcW w:type="dxa" w:w="5810"/>
            <w:vAlign w:val="center"/>
          </w:tcPr>
          <w:p>
            <w:pPr>
              <w:spacing w:after="0" w:line="252" w:lineRule="auto"/>
            </w:pPr>
            <w:r>
              <w:rPr>
                <w:rFonts w:ascii="Aptos" w:hAnsi="Aptos"/>
                <w:b w:val="0"/>
                <w:i w:val="0"/>
                <w:color w:val="17213A"/>
                <w:sz w:val="16"/>
              </w:rPr>
              <w:t>Understanding the three guṇas and moving beyond them.</w:t>
            </w:r>
          </w:p>
        </w:tc>
      </w:tr>
      <w:tr>
        <w:tc>
          <w:tcPr>
            <w:tcW w:type="dxa" w:w="650"/>
            <w:vAlign w:val="center"/>
            <w:shd w:fill="F8F6F1"/>
          </w:tcPr>
          <w:p>
            <w:pPr>
              <w:spacing w:after="0" w:line="252" w:lineRule="auto"/>
            </w:pPr>
            <w:r>
              <w:rPr>
                <w:rFonts w:ascii="Aptos" w:hAnsi="Aptos"/>
                <w:b w:val="0"/>
                <w:i w:val="0"/>
                <w:color w:val="17213A"/>
                <w:sz w:val="16"/>
              </w:rPr>
              <w:t>15</w:t>
            </w:r>
          </w:p>
        </w:tc>
        <w:tc>
          <w:tcPr>
            <w:tcW w:type="dxa" w:w="2900"/>
            <w:vAlign w:val="center"/>
            <w:shd w:fill="F8F6F1"/>
          </w:tcPr>
          <w:p>
            <w:pPr>
              <w:spacing w:after="0" w:line="252" w:lineRule="auto"/>
            </w:pPr>
            <w:r>
              <w:rPr>
                <w:rFonts w:ascii="Aptos" w:hAnsi="Aptos"/>
                <w:b w:val="0"/>
                <w:i w:val="0"/>
                <w:color w:val="17213A"/>
                <w:sz w:val="16"/>
              </w:rPr>
              <w:t>Puruṣottama Yoga</w:t>
            </w:r>
          </w:p>
        </w:tc>
        <w:tc>
          <w:tcPr>
            <w:tcW w:type="dxa" w:w="5810"/>
            <w:vAlign w:val="center"/>
            <w:shd w:fill="F8F6F1"/>
          </w:tcPr>
          <w:p>
            <w:pPr>
              <w:spacing w:after="0" w:line="252" w:lineRule="auto"/>
            </w:pPr>
            <w:r>
              <w:rPr>
                <w:rFonts w:ascii="Aptos" w:hAnsi="Aptos"/>
                <w:b w:val="0"/>
                <w:i w:val="0"/>
                <w:color w:val="17213A"/>
                <w:sz w:val="16"/>
              </w:rPr>
              <w:t>The cosmic tree, the individual self and the Supreme Person.</w:t>
            </w:r>
          </w:p>
        </w:tc>
      </w:tr>
      <w:tr>
        <w:tc>
          <w:tcPr>
            <w:tcW w:type="dxa" w:w="650"/>
            <w:vAlign w:val="center"/>
          </w:tcPr>
          <w:p>
            <w:pPr>
              <w:spacing w:after="0" w:line="252" w:lineRule="auto"/>
            </w:pPr>
            <w:r>
              <w:rPr>
                <w:rFonts w:ascii="Aptos" w:hAnsi="Aptos"/>
                <w:b w:val="0"/>
                <w:i w:val="0"/>
                <w:color w:val="17213A"/>
                <w:sz w:val="16"/>
              </w:rPr>
              <w:t>16</w:t>
            </w:r>
          </w:p>
        </w:tc>
        <w:tc>
          <w:tcPr>
            <w:tcW w:type="dxa" w:w="2900"/>
            <w:vAlign w:val="center"/>
          </w:tcPr>
          <w:p>
            <w:pPr>
              <w:spacing w:after="0" w:line="252" w:lineRule="auto"/>
            </w:pPr>
            <w:r>
              <w:rPr>
                <w:rFonts w:ascii="Aptos" w:hAnsi="Aptos"/>
                <w:b w:val="0"/>
                <w:i w:val="0"/>
                <w:color w:val="17213A"/>
                <w:sz w:val="16"/>
              </w:rPr>
              <w:t>Daivāsura Sampad Vibhāga Yoga</w:t>
            </w:r>
          </w:p>
        </w:tc>
        <w:tc>
          <w:tcPr>
            <w:tcW w:type="dxa" w:w="5810"/>
            <w:vAlign w:val="center"/>
          </w:tcPr>
          <w:p>
            <w:pPr>
              <w:spacing w:after="0" w:line="252" w:lineRule="auto"/>
            </w:pPr>
            <w:r>
              <w:rPr>
                <w:rFonts w:ascii="Aptos" w:hAnsi="Aptos"/>
                <w:b w:val="0"/>
                <w:i w:val="0"/>
                <w:color w:val="17213A"/>
                <w:sz w:val="16"/>
              </w:rPr>
              <w:t>Constructive and destructive dispositions.</w:t>
            </w:r>
          </w:p>
        </w:tc>
      </w:tr>
      <w:tr>
        <w:tc>
          <w:tcPr>
            <w:tcW w:type="dxa" w:w="650"/>
            <w:vAlign w:val="center"/>
            <w:shd w:fill="F8F6F1"/>
          </w:tcPr>
          <w:p>
            <w:pPr>
              <w:spacing w:after="0" w:line="252" w:lineRule="auto"/>
            </w:pPr>
            <w:r>
              <w:rPr>
                <w:rFonts w:ascii="Aptos" w:hAnsi="Aptos"/>
                <w:b w:val="0"/>
                <w:i w:val="0"/>
                <w:color w:val="17213A"/>
                <w:sz w:val="16"/>
              </w:rPr>
              <w:t>17</w:t>
            </w:r>
          </w:p>
        </w:tc>
        <w:tc>
          <w:tcPr>
            <w:tcW w:type="dxa" w:w="2900"/>
            <w:vAlign w:val="center"/>
            <w:shd w:fill="F8F6F1"/>
          </w:tcPr>
          <w:p>
            <w:pPr>
              <w:spacing w:after="0" w:line="252" w:lineRule="auto"/>
            </w:pPr>
            <w:r>
              <w:rPr>
                <w:rFonts w:ascii="Aptos" w:hAnsi="Aptos"/>
                <w:b w:val="0"/>
                <w:i w:val="0"/>
                <w:color w:val="17213A"/>
                <w:sz w:val="16"/>
              </w:rPr>
              <w:t>Śraddhātraya Vibhāga Yoga</w:t>
            </w:r>
          </w:p>
        </w:tc>
        <w:tc>
          <w:tcPr>
            <w:tcW w:type="dxa" w:w="5810"/>
            <w:vAlign w:val="center"/>
            <w:shd w:fill="F8F6F1"/>
          </w:tcPr>
          <w:p>
            <w:pPr>
              <w:spacing w:after="0" w:line="252" w:lineRule="auto"/>
            </w:pPr>
            <w:r>
              <w:rPr>
                <w:rFonts w:ascii="Aptos" w:hAnsi="Aptos"/>
                <w:b w:val="0"/>
                <w:i w:val="0"/>
                <w:color w:val="17213A"/>
                <w:sz w:val="16"/>
              </w:rPr>
              <w:t>Faith, motivation and the qualities shaping practice.</w:t>
            </w:r>
          </w:p>
        </w:tc>
      </w:tr>
      <w:tr>
        <w:tc>
          <w:tcPr>
            <w:tcW w:type="dxa" w:w="650"/>
            <w:vAlign w:val="center"/>
          </w:tcPr>
          <w:p>
            <w:pPr>
              <w:spacing w:after="0" w:line="252" w:lineRule="auto"/>
            </w:pPr>
            <w:r>
              <w:rPr>
                <w:rFonts w:ascii="Aptos" w:hAnsi="Aptos"/>
                <w:b w:val="0"/>
                <w:i w:val="0"/>
                <w:color w:val="17213A"/>
                <w:sz w:val="16"/>
              </w:rPr>
              <w:t>18</w:t>
            </w:r>
          </w:p>
        </w:tc>
        <w:tc>
          <w:tcPr>
            <w:tcW w:type="dxa" w:w="2900"/>
            <w:vAlign w:val="center"/>
          </w:tcPr>
          <w:p>
            <w:pPr>
              <w:spacing w:after="0" w:line="252" w:lineRule="auto"/>
            </w:pPr>
            <w:r>
              <w:rPr>
                <w:rFonts w:ascii="Aptos" w:hAnsi="Aptos"/>
                <w:b w:val="0"/>
                <w:i w:val="0"/>
                <w:color w:val="17213A"/>
                <w:sz w:val="16"/>
              </w:rPr>
              <w:t>Mokṣa Sannyāsa Yoga</w:t>
            </w:r>
          </w:p>
        </w:tc>
        <w:tc>
          <w:tcPr>
            <w:tcW w:type="dxa" w:w="5810"/>
            <w:vAlign w:val="center"/>
          </w:tcPr>
          <w:p>
            <w:pPr>
              <w:spacing w:after="0" w:line="252" w:lineRule="auto"/>
            </w:pPr>
            <w:r>
              <w:rPr>
                <w:rFonts w:ascii="Aptos" w:hAnsi="Aptos"/>
                <w:b w:val="0"/>
                <w:i w:val="0"/>
                <w:color w:val="17213A"/>
                <w:sz w:val="16"/>
              </w:rPr>
              <w:t>Integration, surrender, freedom and the final counsel.</w:t>
            </w:r>
          </w:p>
        </w:tc>
      </w:tr>
    </w:tbl>
    <w:p>
      <w:pPr>
        <w:spacing w:after="20"/>
      </w:pPr>
    </w:p>
    <w:tbl>
      <w:tblPr>
        <w:tblW w:type="dxa" w:w="9360"/>
        <w:jc w:val="left"/>
        <w:tblLayout w:type="fixed"/>
        <w:tblLook w:firstColumn="1" w:firstRow="1" w:lastColumn="0" w:lastRow="0" w:noHBand="0" w:noVBand="1" w:val="04A0"/>
        <w:tblInd w:w="120" w:type="dxa"/>
        <w:tblBorders>
          <w:top w:val="single" w:sz="10" w:space="0" w:color="18264F"/>
          <w:left w:val="single" w:sz="10" w:space="0" w:color="18264F"/>
          <w:bottom w:val="single" w:sz="10" w:space="0" w:color="18264F"/>
          <w:right w:val="single" w:sz="10" w:space="0" w:color="18264F"/>
          <w:insideH w:val="single" w:sz="10" w:space="0" w:color="18264F"/>
          <w:insideV w:val="single" w:sz="10" w:space="0" w:color="18264F"/>
        </w:tblBorders>
      </w:tblPr>
      <w:tblGrid>
        <w:gridCol w:w="9360"/>
      </w:tblGrid>
      <w:tr>
        <w:trPr>
          <w:tblHeader/>
        </w:trPr>
        <w:tc>
          <w:tcPr>
            <w:tcW w:type="dxa" w:w="9360"/>
            <w:tcMar>
              <w:top w:w="100" w:type="dxa"/>
              <w:start w:w="120" w:type="dxa"/>
              <w:bottom w:w="100" w:type="dxa"/>
              <w:end w:w="120" w:type="dxa"/>
            </w:tcMar>
            <w:shd w:fill="EDF1F8"/>
            <w:vAlign w:val="center"/>
          </w:tcPr>
          <w:p>
            <w:pPr>
              <w:spacing w:after="0" w:line="269" w:lineRule="auto"/>
            </w:pPr>
            <w:r>
              <w:rPr>
                <w:rFonts w:ascii="Aptos" w:hAnsi="Aptos"/>
                <w:b/>
                <w:i w:val="0"/>
                <w:color w:val="18264F"/>
                <w:sz w:val="18"/>
              </w:rPr>
              <w:t xml:space="preserve">CURRICULUM NOTE: </w:t>
            </w:r>
            <w:r>
              <w:rPr>
                <w:rFonts w:ascii="Aptos" w:hAnsi="Aptos"/>
                <w:b w:val="0"/>
                <w:i w:val="0"/>
                <w:color w:val="17213A"/>
                <w:sz w:val="20"/>
              </w:rPr>
              <w:t>The focus statements are a neutral information architecture, not final theological language. Each authorised edition must approve its own outcomes, explanations, verse selections and assessments.</w:t>
            </w:r>
          </w:p>
        </w:tc>
      </w:tr>
    </w:tbl>
    <w:p>
      <w:pPr>
        <w:spacing w:after="40"/>
      </w:pPr>
    </w:p>
    <w:p>
      <w:pPr>
        <w:pStyle w:val="Heading2"/>
      </w:pPr>
      <w:r>
        <w:t>Assessment design</w:t>
      </w:r>
    </w:p>
    <w:p>
      <w:pPr>
        <w:pStyle w:val="ListBullet"/>
      </w:pPr>
      <w:r>
        <w:rPr>
          <w:rFonts w:ascii="Aptos" w:hAnsi="Aptos"/>
          <w:b w:val="0"/>
          <w:i w:val="0"/>
          <w:color w:val="17213A"/>
          <w:sz w:val="20"/>
        </w:rPr>
        <w:t>Use diagnostics for routing, formative checks for feedback, chapter assessments for mastery and a final capstone for integration.</w:t>
      </w:r>
    </w:p>
    <w:p>
      <w:pPr>
        <w:pStyle w:val="ListBullet"/>
      </w:pPr>
      <w:r>
        <w:rPr>
          <w:rFonts w:ascii="Aptos" w:hAnsi="Aptos"/>
          <w:b w:val="0"/>
          <w:i w:val="0"/>
          <w:color w:val="17213A"/>
          <w:sz w:val="20"/>
        </w:rPr>
        <w:t>Maintain question banks tagged by outcome, verse, difficulty, age band, language and edition; never reuse an item across incompatible editions without review.</w:t>
      </w:r>
    </w:p>
    <w:p>
      <w:pPr>
        <w:pStyle w:val="ListBullet"/>
      </w:pPr>
      <w:r>
        <w:rPr>
          <w:rFonts w:ascii="Aptos" w:hAnsi="Aptos"/>
          <w:b w:val="0"/>
          <w:i w:val="0"/>
          <w:color w:val="17213A"/>
          <w:sz w:val="20"/>
        </w:rPr>
        <w:t>Support multiple attempts with targeted revision. Avoid punitive lockouts and reveal explanations after a pedagogically appropriate point.</w:t>
      </w:r>
    </w:p>
    <w:p>
      <w:pPr>
        <w:pStyle w:val="ListBullet"/>
      </w:pPr>
      <w:r>
        <w:rPr>
          <w:rFonts w:ascii="Aptos" w:hAnsi="Aptos"/>
          <w:b w:val="0"/>
          <w:i w:val="0"/>
          <w:color w:val="17213A"/>
          <w:sz w:val="20"/>
        </w:rPr>
        <w:t>Allow tenant-configurable pass rules within a governed range; the prototype’s 60% threshold is a starting configuration, not a universal standard.</w:t>
      </w:r>
    </w:p>
    <w:p>
      <w:pPr>
        <w:pStyle w:val="ListBullet"/>
      </w:pPr>
      <w:r>
        <w:rPr>
          <w:rFonts w:ascii="Aptos" w:hAnsi="Aptos"/>
          <w:b w:val="0"/>
          <w:i w:val="0"/>
          <w:color w:val="17213A"/>
          <w:sz w:val="20"/>
        </w:rPr>
        <w:t>For schools, combine auto-marked knowledge checks with teacher-reviewed tasks and rubrics.</w:t>
      </w:r>
    </w:p>
    <w:p>
      <w:pPr>
        <w:sectPr>
          <w:pgSz w:w="12240" w:h="15840"/>
          <w:pgMar w:top="1440" w:right="1440" w:bottom="1440" w:left="1440" w:header="708" w:footer="708" w:gutter="0"/>
          <w:cols w:space="720"/>
          <w:docGrid w:linePitch="360"/>
        </w:sectPr>
      </w:pPr>
    </w:p>
    <w:p>
      <w:pPr>
        <w:pStyle w:val="Heading2"/>
      </w:pPr>
      <w:r>
        <w:t>Certificates and recognition</w:t>
      </w:r>
    </w:p>
    <w:p>
      <w:pPr>
        <w:pStyle w:val="ListBullet"/>
      </w:pPr>
      <w:r>
        <w:rPr>
          <w:rFonts w:ascii="Aptos" w:hAnsi="Aptos"/>
          <w:b w:val="0"/>
          <w:i w:val="0"/>
          <w:color w:val="17213A"/>
          <w:sz w:val="20"/>
        </w:rPr>
        <w:t>Issue tamper-evident digital certificates with unique verification URL/QR, edition, course version, issuer, learner name, issue date and status.</w:t>
      </w:r>
    </w:p>
    <w:p>
      <w:pPr>
        <w:pStyle w:val="ListBullet"/>
      </w:pPr>
      <w:r>
        <w:rPr>
          <w:rFonts w:ascii="Aptos" w:hAnsi="Aptos"/>
          <w:b w:val="0"/>
          <w:i w:val="0"/>
          <w:color w:val="17213A"/>
          <w:sz w:val="20"/>
        </w:rPr>
        <w:t>Support revocation and corrected reissue with audit history.</w:t>
      </w:r>
    </w:p>
    <w:p>
      <w:pPr>
        <w:pStyle w:val="ListBullet"/>
      </w:pPr>
      <w:r>
        <w:rPr>
          <w:rFonts w:ascii="Aptos" w:hAnsi="Aptos"/>
          <w:b w:val="0"/>
          <w:i w:val="0"/>
          <w:color w:val="17213A"/>
          <w:sz w:val="20"/>
        </w:rPr>
        <w:t>Distinguish completion from accredited qualification; wording must match the issuer’s authority.</w:t>
      </w:r>
    </w:p>
    <w:p>
      <w:pPr>
        <w:sectPr>
          <w:pgSz w:w="12240" w:h="15840"/>
          <w:pgMar w:top="1440" w:right="1440" w:bottom="1440" w:left="1440" w:header="708" w:footer="708" w:gutter="0"/>
          <w:cols w:space="720"/>
          <w:docGrid w:linePitch="360"/>
        </w:sectPr>
      </w:pPr>
    </w:p>
    <w:p>
      <w:pPr>
        <w:spacing w:after="100"/>
      </w:pPr>
      <w:r>
        <w:rPr>
          <w:rFonts w:ascii="Aptos" w:hAnsi="Aptos"/>
          <w:b/>
          <w:i w:val="0"/>
          <w:caps/>
          <w:color w:val="D9832E"/>
          <w:sz w:val="16"/>
        </w:rPr>
        <w:t>SECTION 8</w:t>
      </w:r>
    </w:p>
    <w:p>
      <w:pPr>
        <w:pStyle w:val="Heading1"/>
      </w:pPr>
      <w:r>
        <w:t>User interface specification</w:t>
      </w:r>
    </w:p>
    <w:tbl>
      <w:tblPr>
        <w:tblW w:type="dxa" w:w="9360"/>
        <w:jc w:val="left"/>
        <w:tblLayout w:type="fixed"/>
        <w:tblLook w:firstColumn="1" w:firstRow="1" w:lastColumn="0" w:lastRow="0" w:noHBand="0" w:noVBand="1" w:val="04A0"/>
        <w:tblInd w:w="120" w:type="dxa"/>
        <w:tblBorders>
          <w:top w:val="single" w:sz="10" w:space="0" w:color="18264F"/>
          <w:left w:val="single" w:sz="10" w:space="0" w:color="18264F"/>
          <w:bottom w:val="single" w:sz="10" w:space="0" w:color="18264F"/>
          <w:right w:val="single" w:sz="10" w:space="0" w:color="18264F"/>
          <w:insideH w:val="single" w:sz="10" w:space="0" w:color="18264F"/>
          <w:insideV w:val="single" w:sz="10" w:space="0" w:color="18264F"/>
        </w:tblBorders>
      </w:tblPr>
      <w:tblGrid>
        <w:gridCol w:w="9360"/>
      </w:tblGrid>
      <w:tr>
        <w:trPr>
          <w:tblHeader/>
        </w:trPr>
        <w:tc>
          <w:tcPr>
            <w:tcW w:type="dxa" w:w="9360"/>
            <w:tcMar>
              <w:top w:w="100" w:type="dxa"/>
              <w:start w:w="120" w:type="dxa"/>
              <w:bottom w:w="100" w:type="dxa"/>
              <w:end w:w="120" w:type="dxa"/>
            </w:tcMar>
            <w:shd w:fill="EDF1F8"/>
            <w:vAlign w:val="center"/>
          </w:tcPr>
          <w:p>
            <w:pPr>
              <w:spacing w:after="0" w:line="269" w:lineRule="auto"/>
            </w:pPr>
            <w:r>
              <w:rPr>
                <w:rFonts w:ascii="Aptos" w:hAnsi="Aptos"/>
                <w:b/>
                <w:i w:val="0"/>
                <w:color w:val="18264F"/>
                <w:sz w:val="18"/>
              </w:rPr>
              <w:t xml:space="preserve">DESIGN DIRECTION: </w:t>
            </w:r>
            <w:r>
              <w:rPr>
                <w:rFonts w:ascii="Aptos" w:hAnsi="Aptos"/>
                <w:b w:val="0"/>
                <w:i w:val="0"/>
                <w:color w:val="17213A"/>
                <w:sz w:val="20"/>
              </w:rPr>
              <w:t>Retain the prototype’s calm ivory, indigo and saffron visual language, generous spacing, scripture-first typography and clear source labels. Evolve it into a documented, accessible multi-brand design system rather than redesigning the personality of the product.</w:t>
            </w:r>
          </w:p>
        </w:tc>
      </w:tr>
    </w:tbl>
    <w:p>
      <w:pPr>
        <w:spacing w:after="40"/>
      </w:pPr>
    </w:p>
    <w:p>
      <w:pPr>
        <w:pStyle w:val="Heading2"/>
      </w:pPr>
      <w:r>
        <w:t>Screen 1 — Tenant-aware home</w:t>
      </w:r>
    </w:p>
    <w:p>
      <w:pPr>
        <w:pStyle w:val="ListBullet"/>
      </w:pPr>
      <w:r>
        <w:rPr>
          <w:rFonts w:ascii="Aptos" w:hAnsi="Aptos"/>
          <w:b w:val="0"/>
          <w:i w:val="0"/>
          <w:color w:val="17213A"/>
          <w:sz w:val="20"/>
        </w:rPr>
        <w:t>Organisation identity, edition label and language selector are visible without overpowering the learner goal.</w:t>
      </w:r>
    </w:p>
    <w:p>
      <w:pPr>
        <w:pStyle w:val="ListBullet"/>
      </w:pPr>
      <w:r>
        <w:rPr>
          <w:rFonts w:ascii="Aptos" w:hAnsi="Aptos"/>
          <w:b w:val="0"/>
          <w:i w:val="0"/>
          <w:color w:val="17213A"/>
          <w:sz w:val="20"/>
        </w:rPr>
        <w:t>Primary actions: Start/continue course, choose a learning path, browse scripture and school/organisation sign-in.</w:t>
      </w:r>
    </w:p>
    <w:p>
      <w:pPr>
        <w:pStyle w:val="ListBullet"/>
      </w:pPr>
      <w:r>
        <w:rPr>
          <w:rFonts w:ascii="Aptos" w:hAnsi="Aptos"/>
          <w:b w:val="0"/>
          <w:i w:val="0"/>
          <w:color w:val="17213A"/>
          <w:sz w:val="20"/>
        </w:rPr>
        <w:t>Trust strip: approving organisation, translator/commentator, review status, accessibility and last content update.</w:t>
      </w:r>
    </w:p>
    <w:p>
      <w:pPr>
        <w:pStyle w:val="ListBullet"/>
      </w:pPr>
      <w:r>
        <w:rPr>
          <w:rFonts w:ascii="Aptos" w:hAnsi="Aptos"/>
          <w:b w:val="0"/>
          <w:i w:val="0"/>
          <w:color w:val="17213A"/>
          <w:sz w:val="20"/>
        </w:rPr>
        <w:t>Guest pathway remains available where the tenant permits it.</w:t>
      </w:r>
    </w:p>
    <w:p>
      <w:pPr>
        <w:pStyle w:val="Heading2"/>
      </w:pPr>
      <w:r>
        <w:t>Screen 2 — Edition selector</w:t>
      </w:r>
    </w:p>
    <w:p>
      <w:pPr>
        <w:pStyle w:val="ListBullet"/>
      </w:pPr>
      <w:r>
        <w:rPr>
          <w:rFonts w:ascii="Aptos" w:hAnsi="Aptos"/>
          <w:b w:val="0"/>
          <w:i w:val="0"/>
          <w:color w:val="17213A"/>
          <w:sz w:val="20"/>
        </w:rPr>
        <w:t>Cards identify organisation, guru/translator, language, doctrinal tradition, version and access conditions.</w:t>
      </w:r>
    </w:p>
    <w:p>
      <w:pPr>
        <w:pStyle w:val="ListBullet"/>
      </w:pPr>
      <w:r>
        <w:rPr>
          <w:rFonts w:ascii="Aptos" w:hAnsi="Aptos"/>
          <w:b w:val="0"/>
          <w:i w:val="0"/>
          <w:color w:val="17213A"/>
          <w:sz w:val="20"/>
        </w:rPr>
        <w:t>Plain explanation that switching editions changes translation/commentary and may change assessments; learner progress is mapped only where equivalence is approved.</w:t>
      </w:r>
    </w:p>
    <w:p>
      <w:pPr>
        <w:pStyle w:val="ListBullet"/>
      </w:pPr>
      <w:r>
        <w:rPr>
          <w:rFonts w:ascii="Aptos" w:hAnsi="Aptos"/>
          <w:b w:val="0"/>
          <w:i w:val="0"/>
          <w:color w:val="17213A"/>
          <w:sz w:val="20"/>
        </w:rPr>
        <w:t>Tenant may lock a programme to one edition while still permitting comparative reading outside assessed lessons.</w:t>
      </w:r>
    </w:p>
    <w:p>
      <w:pPr>
        <w:pStyle w:val="Heading2"/>
      </w:pPr>
      <w:r>
        <w:t>Screen 3 — Course overview</w:t>
      </w:r>
    </w:p>
    <w:p>
      <w:pPr>
        <w:pStyle w:val="ListBullet"/>
      </w:pPr>
      <w:r>
        <w:rPr>
          <w:rFonts w:ascii="Aptos" w:hAnsi="Aptos"/>
          <w:b w:val="0"/>
          <w:i w:val="0"/>
          <w:color w:val="17213A"/>
          <w:sz w:val="20"/>
        </w:rPr>
        <w:t>Course purpose, intended audience, prerequisites, outcomes, total effort, formats, certificate and approving authority.</w:t>
      </w:r>
    </w:p>
    <w:p>
      <w:pPr>
        <w:pStyle w:val="ListBullet"/>
      </w:pPr>
      <w:r>
        <w:rPr>
          <w:rFonts w:ascii="Aptos" w:hAnsi="Aptos"/>
          <w:b w:val="0"/>
          <w:i w:val="0"/>
          <w:color w:val="17213A"/>
          <w:sz w:val="20"/>
        </w:rPr>
        <w:t>18-chapter pathway with states: not started, available, in progress, revision recommended, passed and locked by programme schedule.</w:t>
      </w:r>
    </w:p>
    <w:p>
      <w:pPr>
        <w:pStyle w:val="ListBullet"/>
      </w:pPr>
      <w:r>
        <w:rPr>
          <w:rFonts w:ascii="Aptos" w:hAnsi="Aptos"/>
          <w:b w:val="0"/>
          <w:i w:val="0"/>
          <w:color w:val="17213A"/>
          <w:sz w:val="20"/>
        </w:rPr>
        <w:t>Resume card gives the next meaningful action; do not show a generic percentage without context.</w:t>
      </w:r>
    </w:p>
    <w:p>
      <w:pPr>
        <w:pStyle w:val="Heading2"/>
      </w:pPr>
      <w:r>
        <w:t>Screen 4 — Readiness diagnostic</w:t>
      </w:r>
    </w:p>
    <w:p>
      <w:pPr>
        <w:pStyle w:val="ListBullet"/>
      </w:pPr>
      <w:r>
        <w:rPr>
          <w:rFonts w:ascii="Aptos" w:hAnsi="Aptos"/>
          <w:b w:val="0"/>
          <w:i w:val="0"/>
          <w:color w:val="17213A"/>
          <w:sz w:val="20"/>
        </w:rPr>
        <w:t>Short, non-threatening assessment with skip option where permitted; clearly states how the result will be used.</w:t>
      </w:r>
    </w:p>
    <w:p>
      <w:pPr>
        <w:pStyle w:val="ListBullet"/>
      </w:pPr>
      <w:r>
        <w:rPr>
          <w:rFonts w:ascii="Aptos" w:hAnsi="Aptos"/>
          <w:b w:val="0"/>
          <w:i w:val="0"/>
          <w:color w:val="17213A"/>
          <w:sz w:val="20"/>
        </w:rPr>
        <w:t>Outcome screen recommends foundation modules or direct course start and explains why.</w:t>
      </w:r>
    </w:p>
    <w:p>
      <w:pPr>
        <w:sectPr>
          <w:pgSz w:w="12240" w:h="15840"/>
          <w:pgMar w:top="1440" w:right="1440" w:bottom="1440" w:left="1440" w:header="708" w:footer="708" w:gutter="0"/>
          <w:cols w:space="720"/>
          <w:docGrid w:linePitch="360"/>
        </w:sectPr>
      </w:pPr>
    </w:p>
    <w:p>
      <w:pPr>
        <w:pStyle w:val="Heading2"/>
      </w:pPr>
      <w:r>
        <w:t>Screen 5 — Lesson player</w:t>
      </w:r>
    </w:p>
    <w:p>
      <w:pPr>
        <w:pStyle w:val="ListBullet"/>
      </w:pPr>
      <w:r>
        <w:rPr>
          <w:rFonts w:ascii="Aptos" w:hAnsi="Aptos"/>
          <w:b w:val="0"/>
          <w:i w:val="0"/>
          <w:color w:val="17213A"/>
          <w:sz w:val="20"/>
        </w:rPr>
        <w:t>Desktop two-panel model: activity rail plus content; mobile uses a compact progress header and bottom next action.</w:t>
      </w:r>
    </w:p>
    <w:p>
      <w:pPr>
        <w:pStyle w:val="ListBullet"/>
      </w:pPr>
      <w:r>
        <w:rPr>
          <w:rFonts w:ascii="Aptos" w:hAnsi="Aptos"/>
          <w:b w:val="0"/>
          <w:i w:val="0"/>
          <w:color w:val="17213A"/>
          <w:sz w:val="20"/>
        </w:rPr>
        <w:t>Tabs or segments for Watch, Listen, Read, Explore and Practise; completion requires meaningful activity, not tab opening.</w:t>
      </w:r>
    </w:p>
    <w:p>
      <w:pPr>
        <w:pStyle w:val="ListBullet"/>
      </w:pPr>
      <w:r>
        <w:rPr>
          <w:rFonts w:ascii="Aptos" w:hAnsi="Aptos"/>
          <w:b w:val="0"/>
          <w:i w:val="0"/>
          <w:color w:val="17213A"/>
          <w:sz w:val="20"/>
        </w:rPr>
        <w:t>Persistent controls: language, edition, text size, audio speed, captions/transcript, download, bookmark and report issue.</w:t>
      </w:r>
    </w:p>
    <w:p>
      <w:pPr>
        <w:pStyle w:val="ListBullet"/>
      </w:pPr>
      <w:r>
        <w:rPr>
          <w:rFonts w:ascii="Aptos" w:hAnsi="Aptos"/>
          <w:b w:val="0"/>
          <w:i w:val="0"/>
          <w:color w:val="17213A"/>
          <w:sz w:val="20"/>
        </w:rPr>
        <w:t>Private reflection is autosaved and excluded from teacher/admin views by default.</w:t>
      </w:r>
    </w:p>
    <w:p>
      <w:pPr>
        <w:pStyle w:val="Heading2"/>
      </w:pPr>
      <w:r>
        <w:t>Screen 6 — Verse study view</w:t>
      </w:r>
    </w:p>
    <w:p>
      <w:pPr>
        <w:pStyle w:val="ListBullet"/>
      </w:pPr>
      <w:r>
        <w:rPr>
          <w:rFonts w:ascii="Aptos" w:hAnsi="Aptos"/>
          <w:b w:val="0"/>
          <w:i w:val="0"/>
          <w:color w:val="17213A"/>
          <w:sz w:val="20"/>
        </w:rPr>
        <w:t>Reference and chapter context; Devanagari; optional alternative script; transliteration; word-by-word meaning; authorised translation; commentary; learning explanation; audio.</w:t>
      </w:r>
    </w:p>
    <w:p>
      <w:pPr>
        <w:pStyle w:val="ListBullet"/>
      </w:pPr>
      <w:r>
        <w:rPr>
          <w:rFonts w:ascii="Aptos" w:hAnsi="Aptos"/>
          <w:b w:val="0"/>
          <w:i w:val="0"/>
          <w:color w:val="17213A"/>
          <w:sz w:val="20"/>
        </w:rPr>
        <w:t>Each layer has provenance and version metadata available through “About this text”.</w:t>
      </w:r>
    </w:p>
    <w:p>
      <w:pPr>
        <w:pStyle w:val="ListBullet"/>
      </w:pPr>
      <w:r>
        <w:rPr>
          <w:rFonts w:ascii="Aptos" w:hAnsi="Aptos"/>
          <w:b w:val="0"/>
          <w:i w:val="0"/>
          <w:color w:val="17213A"/>
          <w:sz w:val="20"/>
        </w:rPr>
        <w:t>Comparative view is opt-in and displays editions side by side without implying equivalence or ranking.</w:t>
      </w:r>
    </w:p>
    <w:p>
      <w:pPr>
        <w:sectPr>
          <w:pgSz w:w="12240" w:h="15840"/>
          <w:pgMar w:top="1440" w:right="1440" w:bottom="1440" w:left="1440" w:header="708" w:footer="708" w:gutter="0"/>
          <w:cols w:space="720"/>
          <w:docGrid w:linePitch="360"/>
        </w:sectPr>
      </w:pPr>
    </w:p>
    <w:p>
      <w:pPr>
        <w:pStyle w:val="Heading1"/>
      </w:pPr>
      <w:r>
        <w:t>User interface specification (continued)</w:t>
      </w:r>
    </w:p>
    <w:p>
      <w:pPr>
        <w:pStyle w:val="Heading2"/>
      </w:pPr>
      <w:r>
        <w:t>Screen 7 — Assessment and feedback</w:t>
      </w:r>
    </w:p>
    <w:p>
      <w:pPr>
        <w:pStyle w:val="ListBullet"/>
      </w:pPr>
      <w:r>
        <w:rPr>
          <w:rFonts w:ascii="Aptos" w:hAnsi="Aptos"/>
          <w:b w:val="0"/>
          <w:i w:val="0"/>
          <w:color w:val="17213A"/>
          <w:sz w:val="20"/>
        </w:rPr>
        <w:t>One question per screen on mobile; grouped mode optional on desktop; visible progress and save/resume.</w:t>
      </w:r>
    </w:p>
    <w:p>
      <w:pPr>
        <w:pStyle w:val="ListBullet"/>
      </w:pPr>
      <w:r>
        <w:rPr>
          <w:rFonts w:ascii="Aptos" w:hAnsi="Aptos"/>
          <w:b w:val="0"/>
          <w:i w:val="0"/>
          <w:color w:val="17213A"/>
          <w:sz w:val="20"/>
        </w:rPr>
        <w:t>Immediate formative feedback; delayed summative feedback where item security requires it.</w:t>
      </w:r>
    </w:p>
    <w:p>
      <w:pPr>
        <w:pStyle w:val="ListBullet"/>
      </w:pPr>
      <w:r>
        <w:rPr>
          <w:rFonts w:ascii="Aptos" w:hAnsi="Aptos"/>
          <w:b w:val="0"/>
          <w:i w:val="0"/>
          <w:color w:val="17213A"/>
          <w:sz w:val="20"/>
        </w:rPr>
        <w:t>Results explain mastered outcomes, revision targets, next action, attempt policy and accommodation used.</w:t>
      </w:r>
    </w:p>
    <w:p>
      <w:pPr>
        <w:pStyle w:val="Heading2"/>
      </w:pPr>
      <w:r>
        <w:t>Screen 8 — Learner dashboard</w:t>
      </w:r>
    </w:p>
    <w:p>
      <w:pPr>
        <w:pStyle w:val="ListBullet"/>
      </w:pPr>
      <w:r>
        <w:rPr>
          <w:rFonts w:ascii="Aptos" w:hAnsi="Aptos"/>
          <w:b w:val="0"/>
          <w:i w:val="0"/>
          <w:color w:val="17213A"/>
          <w:sz w:val="20"/>
        </w:rPr>
        <w:t>Continue learning, weekly plan, chapter map, upcoming class, recent achievements, bookmarks and offline downloads.</w:t>
      </w:r>
    </w:p>
    <w:p>
      <w:pPr>
        <w:pStyle w:val="ListBullet"/>
      </w:pPr>
      <w:r>
        <w:rPr>
          <w:rFonts w:ascii="Aptos" w:hAnsi="Aptos"/>
          <w:b w:val="0"/>
          <w:i w:val="0"/>
          <w:color w:val="17213A"/>
          <w:sz w:val="20"/>
        </w:rPr>
        <w:t>Progress language emphasises learning evidence: “3 outcomes mastered; revisit equanimity” rather than only “42%”.</w:t>
      </w:r>
    </w:p>
    <w:p>
      <w:pPr>
        <w:pStyle w:val="Heading2"/>
      </w:pPr>
      <w:r>
        <w:t>Screen 9 — Teacher workspace</w:t>
      </w:r>
    </w:p>
    <w:p>
      <w:pPr>
        <w:pStyle w:val="ListBullet"/>
      </w:pPr>
      <w:r>
        <w:rPr>
          <w:rFonts w:ascii="Aptos" w:hAnsi="Aptos"/>
          <w:b w:val="0"/>
          <w:i w:val="0"/>
          <w:color w:val="17213A"/>
          <w:sz w:val="20"/>
        </w:rPr>
        <w:t>Cohort snapshot, assignment calendar, learner support flags, outcome mastery, submissions and accessibility accommodations.</w:t>
      </w:r>
    </w:p>
    <w:p>
      <w:pPr>
        <w:pStyle w:val="ListBullet"/>
      </w:pPr>
      <w:r>
        <w:rPr>
          <w:rFonts w:ascii="Aptos" w:hAnsi="Aptos"/>
          <w:b w:val="0"/>
          <w:i w:val="0"/>
          <w:color w:val="17213A"/>
          <w:sz w:val="20"/>
        </w:rPr>
        <w:t>Teacher can schedule, assign, provide feedback and export permitted reports; cannot read private reflections.</w:t>
      </w:r>
    </w:p>
    <w:p>
      <w:pPr>
        <w:pStyle w:val="Heading2"/>
      </w:pPr>
      <w:r>
        <w:t>Screen 10 — Content Studio</w:t>
      </w:r>
    </w:p>
    <w:p>
      <w:pPr>
        <w:pStyle w:val="ListBullet"/>
      </w:pPr>
      <w:r>
        <w:rPr>
          <w:rFonts w:ascii="Aptos" w:hAnsi="Aptos"/>
          <w:b w:val="0"/>
          <w:i w:val="0"/>
          <w:color w:val="17213A"/>
          <w:sz w:val="20"/>
        </w:rPr>
        <w:t>Structured editor for scripture reference, content layers, outcomes, activities, question items, glossary, media, citations and rights.</w:t>
      </w:r>
    </w:p>
    <w:p>
      <w:pPr>
        <w:pStyle w:val="ListBullet"/>
      </w:pPr>
      <w:r>
        <w:rPr>
          <w:rFonts w:ascii="Aptos" w:hAnsi="Aptos"/>
          <w:b w:val="0"/>
          <w:i w:val="0"/>
          <w:color w:val="17213A"/>
          <w:sz w:val="20"/>
        </w:rPr>
        <w:t>Side-by-side preview for desktop/mobile, languages and age variants; validation catches missing provenance, captions, alt text or approvals.</w:t>
      </w:r>
    </w:p>
    <w:p>
      <w:pPr>
        <w:pStyle w:val="Heading2"/>
      </w:pPr>
      <w:r>
        <w:t>Screen 11 — Tenant administration</w:t>
      </w:r>
    </w:p>
    <w:p>
      <w:pPr>
        <w:pStyle w:val="ListBullet"/>
      </w:pPr>
      <w:r>
        <w:rPr>
          <w:rFonts w:ascii="Aptos" w:hAnsi="Aptos"/>
          <w:b w:val="0"/>
          <w:i w:val="0"/>
          <w:color w:val="17213A"/>
          <w:sz w:val="20"/>
        </w:rPr>
        <w:t>Brand and domain, enabled editions, roles, cohorts, SSO/LTI, policies, retention, certificates, support contacts, feature flags and reports.</w:t>
      </w:r>
    </w:p>
    <w:p>
      <w:pPr>
        <w:pStyle w:val="Heading2"/>
      </w:pPr>
      <w:r>
        <w:t>Design system requirements</w:t>
      </w:r>
    </w:p>
    <w:tbl>
      <w:tblPr>
        <w:tblW w:type="dxa" w:w="9360"/>
        <w:jc w:val="left"/>
        <w:tblLayout w:type="fixed"/>
        <w:tblLook w:firstColumn="1" w:firstRow="1" w:lastColumn="0" w:lastRow="0" w:noHBand="0" w:noVBand="1" w:val="04A0"/>
        <w:tblInd w:w="120" w:type="dxa"/>
        <w:tblBorders>
          <w:top w:val="single" w:sz="6" w:space="0" w:color="DDD3C1"/>
          <w:left w:val="single" w:sz="6" w:space="0" w:color="DDD3C1"/>
          <w:bottom w:val="single" w:sz="6" w:space="0" w:color="DDD3C1"/>
          <w:right w:val="single" w:sz="6" w:space="0" w:color="DDD3C1"/>
          <w:insideH w:val="single" w:sz="6" w:space="0" w:color="DDD3C1"/>
          <w:insideV w:val="single" w:sz="6" w:space="0" w:color="DDD3C1"/>
        </w:tblBorders>
      </w:tblPr>
      <w:tblGrid>
        <w:gridCol w:w="1900"/>
        <w:gridCol w:w="7460"/>
      </w:tblGrid>
      <w:tr>
        <w:trPr>
          <w:tblHeader w:val="true"/>
        </w:trPr>
        <w:tc>
          <w:tcPr>
            <w:tcW w:type="dxa" w:w="1900"/>
            <w:tcMar>
              <w:top w:w="100" w:type="dxa"/>
              <w:start w:w="120" w:type="dxa"/>
              <w:bottom w:w="100" w:type="dxa"/>
              <w:end w:w="120" w:type="dxa"/>
            </w:tcMar>
            <w:shd w:fill="18264F"/>
            <w:vAlign w:val="center"/>
          </w:tcPr>
          <w:p>
            <w:pPr>
              <w:spacing w:after="0"/>
            </w:pPr>
            <w:r>
              <w:rPr>
                <w:rFonts w:ascii="Aptos" w:hAnsi="Aptos"/>
                <w:b/>
                <w:i w:val="0"/>
                <w:color w:val="FFFFFF"/>
                <w:sz w:val="18"/>
              </w:rPr>
              <w:t>Foundation</w:t>
            </w:r>
          </w:p>
        </w:tc>
        <w:tc>
          <w:tcPr>
            <w:tcW w:type="dxa" w:w="7460"/>
            <w:tcMar>
              <w:top w:w="100" w:type="dxa"/>
              <w:start w:w="120" w:type="dxa"/>
              <w:bottom w:w="100" w:type="dxa"/>
              <w:end w:w="120" w:type="dxa"/>
            </w:tcMar>
            <w:shd w:fill="18264F"/>
            <w:vAlign w:val="center"/>
          </w:tcPr>
          <w:p>
            <w:pPr>
              <w:spacing w:after="0"/>
            </w:pPr>
            <w:r>
              <w:rPr>
                <w:rFonts w:ascii="Aptos" w:hAnsi="Aptos"/>
                <w:b/>
                <w:i w:val="0"/>
                <w:color w:val="FFFFFF"/>
                <w:sz w:val="18"/>
              </w:rPr>
              <w:t>Requirement</w:t>
            </w:r>
          </w:p>
        </w:tc>
      </w:tr>
      <w:tr>
        <w:tc>
          <w:tcPr>
            <w:tcW w:type="dxa" w:w="1900"/>
            <w:vAlign w:val="center"/>
          </w:tcPr>
          <w:p>
            <w:pPr>
              <w:spacing w:after="0" w:line="252" w:lineRule="auto"/>
            </w:pPr>
            <w:r>
              <w:rPr>
                <w:rFonts w:ascii="Aptos" w:hAnsi="Aptos"/>
                <w:b w:val="0"/>
                <w:i w:val="0"/>
                <w:color w:val="17213A"/>
                <w:sz w:val="17"/>
              </w:rPr>
              <w:t>Brand tokens</w:t>
            </w:r>
          </w:p>
        </w:tc>
        <w:tc>
          <w:tcPr>
            <w:tcW w:type="dxa" w:w="7460"/>
            <w:vAlign w:val="center"/>
          </w:tcPr>
          <w:p>
            <w:pPr>
              <w:spacing w:after="0" w:line="252" w:lineRule="auto"/>
            </w:pPr>
            <w:r>
              <w:rPr>
                <w:rFonts w:ascii="Aptos" w:hAnsi="Aptos"/>
                <w:b w:val="0"/>
                <w:i w:val="0"/>
                <w:color w:val="17213A"/>
                <w:sz w:val="17"/>
              </w:rPr>
              <w:t>Core semantic tokens plus tenant token set; contrast validation prevents inaccessible combinations.</w:t>
            </w:r>
          </w:p>
        </w:tc>
      </w:tr>
      <w:tr>
        <w:tc>
          <w:tcPr>
            <w:tcW w:type="dxa" w:w="1900"/>
            <w:vAlign w:val="center"/>
            <w:shd w:fill="F8F6F1"/>
          </w:tcPr>
          <w:p>
            <w:pPr>
              <w:spacing w:after="0" w:line="252" w:lineRule="auto"/>
            </w:pPr>
            <w:r>
              <w:rPr>
                <w:rFonts w:ascii="Aptos" w:hAnsi="Aptos"/>
                <w:b w:val="0"/>
                <w:i w:val="0"/>
                <w:color w:val="17213A"/>
                <w:sz w:val="17"/>
              </w:rPr>
              <w:t>Typography</w:t>
            </w:r>
          </w:p>
        </w:tc>
        <w:tc>
          <w:tcPr>
            <w:tcW w:type="dxa" w:w="7460"/>
            <w:vAlign w:val="center"/>
            <w:shd w:fill="F8F6F1"/>
          </w:tcPr>
          <w:p>
            <w:pPr>
              <w:spacing w:after="0" w:line="252" w:lineRule="auto"/>
            </w:pPr>
            <w:r>
              <w:rPr>
                <w:rFonts w:ascii="Aptos" w:hAnsi="Aptos"/>
                <w:b w:val="0"/>
                <w:i w:val="0"/>
                <w:color w:val="17213A"/>
                <w:sz w:val="17"/>
              </w:rPr>
              <w:t>Latin and Indian-script font stacks tested for line height, conjuncts, diacritics and offline packaging.</w:t>
            </w:r>
          </w:p>
        </w:tc>
      </w:tr>
      <w:tr>
        <w:tc>
          <w:tcPr>
            <w:tcW w:type="dxa" w:w="1900"/>
            <w:vAlign w:val="center"/>
          </w:tcPr>
          <w:p>
            <w:pPr>
              <w:spacing w:after="0" w:line="252" w:lineRule="auto"/>
            </w:pPr>
            <w:r>
              <w:rPr>
                <w:rFonts w:ascii="Aptos" w:hAnsi="Aptos"/>
                <w:b w:val="0"/>
                <w:i w:val="0"/>
                <w:color w:val="17213A"/>
                <w:sz w:val="17"/>
              </w:rPr>
              <w:t>Components</w:t>
            </w:r>
          </w:p>
        </w:tc>
        <w:tc>
          <w:tcPr>
            <w:tcW w:type="dxa" w:w="7460"/>
            <w:vAlign w:val="center"/>
          </w:tcPr>
          <w:p>
            <w:pPr>
              <w:spacing w:after="0" w:line="252" w:lineRule="auto"/>
            </w:pPr>
            <w:r>
              <w:rPr>
                <w:rFonts w:ascii="Aptos" w:hAnsi="Aptos"/>
                <w:b w:val="0"/>
                <w:i w:val="0"/>
                <w:color w:val="17213A"/>
                <w:sz w:val="17"/>
              </w:rPr>
              <w:t>Documented states for navigation, lesson media, verse layers, cards, forms, questions, feedback, data visualisation and empty/error/offline states.</w:t>
            </w:r>
          </w:p>
        </w:tc>
      </w:tr>
      <w:tr>
        <w:tc>
          <w:tcPr>
            <w:tcW w:type="dxa" w:w="1900"/>
            <w:vAlign w:val="center"/>
            <w:shd w:fill="F8F6F1"/>
          </w:tcPr>
          <w:p>
            <w:pPr>
              <w:spacing w:after="0" w:line="252" w:lineRule="auto"/>
            </w:pPr>
            <w:r>
              <w:rPr>
                <w:rFonts w:ascii="Aptos" w:hAnsi="Aptos"/>
                <w:b w:val="0"/>
                <w:i w:val="0"/>
                <w:color w:val="17213A"/>
                <w:sz w:val="17"/>
              </w:rPr>
              <w:t>Content patterns</w:t>
            </w:r>
          </w:p>
        </w:tc>
        <w:tc>
          <w:tcPr>
            <w:tcW w:type="dxa" w:w="7460"/>
            <w:vAlign w:val="center"/>
            <w:shd w:fill="F8F6F1"/>
          </w:tcPr>
          <w:p>
            <w:pPr>
              <w:spacing w:after="0" w:line="252" w:lineRule="auto"/>
            </w:pPr>
            <w:r>
              <w:rPr>
                <w:rFonts w:ascii="Aptos" w:hAnsi="Aptos"/>
                <w:b w:val="0"/>
                <w:i w:val="0"/>
                <w:color w:val="17213A"/>
                <w:sz w:val="17"/>
              </w:rPr>
              <w:t>Templates for beginner explanation, source note, doctrinal note, reflection, classroom activity, warning and citation.</w:t>
            </w:r>
          </w:p>
        </w:tc>
      </w:tr>
      <w:tr>
        <w:tc>
          <w:tcPr>
            <w:tcW w:type="dxa" w:w="1900"/>
            <w:vAlign w:val="center"/>
          </w:tcPr>
          <w:p>
            <w:pPr>
              <w:spacing w:after="0" w:line="252" w:lineRule="auto"/>
            </w:pPr>
            <w:r>
              <w:rPr>
                <w:rFonts w:ascii="Aptos" w:hAnsi="Aptos"/>
                <w:b w:val="0"/>
                <w:i w:val="0"/>
                <w:color w:val="17213A"/>
                <w:sz w:val="17"/>
              </w:rPr>
              <w:t>Motion</w:t>
            </w:r>
          </w:p>
        </w:tc>
        <w:tc>
          <w:tcPr>
            <w:tcW w:type="dxa" w:w="7460"/>
            <w:vAlign w:val="center"/>
          </w:tcPr>
          <w:p>
            <w:pPr>
              <w:spacing w:after="0" w:line="252" w:lineRule="auto"/>
            </w:pPr>
            <w:r>
              <w:rPr>
                <w:rFonts w:ascii="Aptos" w:hAnsi="Aptos"/>
                <w:b w:val="0"/>
                <w:i w:val="0"/>
                <w:color w:val="17213A"/>
                <w:sz w:val="17"/>
              </w:rPr>
              <w:t>Subtle and optional; respects reduced motion; never required to understand content.</w:t>
            </w:r>
          </w:p>
        </w:tc>
      </w:tr>
      <w:tr>
        <w:tc>
          <w:tcPr>
            <w:tcW w:type="dxa" w:w="1900"/>
            <w:vAlign w:val="center"/>
            <w:shd w:fill="F8F6F1"/>
          </w:tcPr>
          <w:p>
            <w:pPr>
              <w:spacing w:after="0" w:line="252" w:lineRule="auto"/>
            </w:pPr>
            <w:r>
              <w:rPr>
                <w:rFonts w:ascii="Aptos" w:hAnsi="Aptos"/>
                <w:b w:val="0"/>
                <w:i w:val="0"/>
                <w:color w:val="17213A"/>
                <w:sz w:val="17"/>
              </w:rPr>
              <w:t>Quality</w:t>
            </w:r>
          </w:p>
        </w:tc>
        <w:tc>
          <w:tcPr>
            <w:tcW w:type="dxa" w:w="7460"/>
            <w:vAlign w:val="center"/>
            <w:shd w:fill="F8F6F1"/>
          </w:tcPr>
          <w:p>
            <w:pPr>
              <w:spacing w:after="0" w:line="252" w:lineRule="auto"/>
            </w:pPr>
            <w:r>
              <w:rPr>
                <w:rFonts w:ascii="Aptos" w:hAnsi="Aptos"/>
                <w:b w:val="0"/>
                <w:i w:val="0"/>
                <w:color w:val="17213A"/>
                <w:sz w:val="17"/>
              </w:rPr>
              <w:t>Automated visual regression and accessibility tests across tenant themes and target devices.</w:t>
            </w:r>
          </w:p>
        </w:tc>
      </w:tr>
    </w:tbl>
    <w:p>
      <w:pPr>
        <w:spacing w:after="20"/>
      </w:pPr>
    </w:p>
    <w:p>
      <w:pPr>
        <w:sectPr>
          <w:pgSz w:w="12240" w:h="15840"/>
          <w:pgMar w:top="1440" w:right="1440" w:bottom="1440" w:left="1440" w:header="708" w:footer="708" w:gutter="0"/>
          <w:cols w:space="720"/>
          <w:docGrid w:linePitch="360"/>
        </w:sectPr>
      </w:pPr>
    </w:p>
    <w:p>
      <w:pPr>
        <w:spacing w:after="100"/>
      </w:pPr>
      <w:r>
        <w:rPr>
          <w:rFonts w:ascii="Aptos" w:hAnsi="Aptos"/>
          <w:b/>
          <w:i w:val="0"/>
          <w:caps/>
          <w:color w:val="D9832E"/>
          <w:sz w:val="16"/>
        </w:rPr>
        <w:t>SECTION 9</w:t>
      </w:r>
    </w:p>
    <w:p>
      <w:pPr>
        <w:pStyle w:val="Heading1"/>
      </w:pPr>
      <w:r>
        <w:t>End-to-end workflows</w:t>
      </w:r>
    </w:p>
    <w:p>
      <w:pPr>
        <w:pStyle w:val="Heading2"/>
      </w:pPr>
      <w:r>
        <w:t>Learner enrolment and course completion</w:t>
      </w:r>
    </w:p>
    <w:p>
      <w:pPr>
        <w:pStyle w:val="ListNumber"/>
        <w:numPr>
          <w:ilvl w:val="0"/>
          <w:numId w:val="12"/>
        </w:numPr>
      </w:pPr>
      <w:r>
        <w:rPr>
          <w:rFonts w:ascii="Aptos" w:hAnsi="Aptos"/>
          <w:b w:val="0"/>
          <w:i w:val="0"/>
          <w:color w:val="17213A"/>
          <w:sz w:val="20"/>
        </w:rPr>
        <w:t>Arrive through Living Bliss, tenant domain, school LMS or invitation.</w:t>
      </w:r>
    </w:p>
    <w:p>
      <w:pPr>
        <w:pStyle w:val="ListNumber"/>
        <w:numPr>
          <w:ilvl w:val="0"/>
          <w:numId w:val="12"/>
        </w:numPr>
      </w:pPr>
      <w:r>
        <w:rPr>
          <w:rFonts w:ascii="Aptos" w:hAnsi="Aptos"/>
          <w:b w:val="0"/>
          <w:i w:val="0"/>
          <w:color w:val="17213A"/>
          <w:sz w:val="20"/>
        </w:rPr>
        <w:t>Resolve tenant, programme, edition, language, age/guardian and entitlement.</w:t>
      </w:r>
    </w:p>
    <w:p>
      <w:pPr>
        <w:pStyle w:val="ListNumber"/>
        <w:numPr>
          <w:ilvl w:val="0"/>
          <w:numId w:val="12"/>
        </w:numPr>
      </w:pPr>
      <w:r>
        <w:rPr>
          <w:rFonts w:ascii="Aptos" w:hAnsi="Aptos"/>
          <w:b w:val="0"/>
          <w:i w:val="0"/>
          <w:color w:val="17213A"/>
          <w:sz w:val="20"/>
        </w:rPr>
        <w:t>Explain course and privacy; allow guest preview when policy permits.</w:t>
      </w:r>
    </w:p>
    <w:p>
      <w:pPr>
        <w:pStyle w:val="ListNumber"/>
        <w:numPr>
          <w:ilvl w:val="0"/>
          <w:numId w:val="12"/>
        </w:numPr>
      </w:pPr>
      <w:r>
        <w:rPr>
          <w:rFonts w:ascii="Aptos" w:hAnsi="Aptos"/>
          <w:b w:val="0"/>
          <w:i w:val="0"/>
          <w:color w:val="17213A"/>
          <w:sz w:val="20"/>
        </w:rPr>
        <w:t>Create/link account and capture only required consent and preferences.</w:t>
      </w:r>
    </w:p>
    <w:p>
      <w:pPr>
        <w:pStyle w:val="ListNumber"/>
        <w:numPr>
          <w:ilvl w:val="0"/>
          <w:numId w:val="12"/>
        </w:numPr>
      </w:pPr>
      <w:r>
        <w:rPr>
          <w:rFonts w:ascii="Aptos" w:hAnsi="Aptos"/>
          <w:b w:val="0"/>
          <w:i w:val="0"/>
          <w:color w:val="17213A"/>
          <w:sz w:val="20"/>
        </w:rPr>
        <w:t>Complete or bypass the readiness diagnostic according to programme rules.</w:t>
      </w:r>
    </w:p>
    <w:p>
      <w:pPr>
        <w:pStyle w:val="ListNumber"/>
        <w:numPr>
          <w:ilvl w:val="0"/>
          <w:numId w:val="12"/>
        </w:numPr>
      </w:pPr>
      <w:r>
        <w:rPr>
          <w:rFonts w:ascii="Aptos" w:hAnsi="Aptos"/>
          <w:b w:val="0"/>
          <w:i w:val="0"/>
          <w:color w:val="17213A"/>
          <w:sz w:val="20"/>
        </w:rPr>
        <w:t>Follow foundation bridge or begin Chapter 1.</w:t>
      </w:r>
    </w:p>
    <w:p>
      <w:pPr>
        <w:pStyle w:val="ListNumber"/>
        <w:numPr>
          <w:ilvl w:val="0"/>
          <w:numId w:val="12"/>
        </w:numPr>
      </w:pPr>
      <w:r>
        <w:rPr>
          <w:rFonts w:ascii="Aptos" w:hAnsi="Aptos"/>
          <w:b w:val="0"/>
          <w:i w:val="0"/>
          <w:color w:val="17213A"/>
          <w:sz w:val="20"/>
        </w:rPr>
        <w:t>Complete lessons, checks, reflection and assessment; sync across devices.</w:t>
      </w:r>
    </w:p>
    <w:p>
      <w:pPr>
        <w:pStyle w:val="ListNumber"/>
        <w:numPr>
          <w:ilvl w:val="0"/>
          <w:numId w:val="12"/>
        </w:numPr>
      </w:pPr>
      <w:r>
        <w:rPr>
          <w:rFonts w:ascii="Aptos" w:hAnsi="Aptos"/>
          <w:b w:val="0"/>
          <w:i w:val="0"/>
          <w:color w:val="17213A"/>
          <w:sz w:val="20"/>
        </w:rPr>
        <w:t>Receive targeted revision after an unsuccessful attempt; retry within policy.</w:t>
      </w:r>
    </w:p>
    <w:p>
      <w:pPr>
        <w:pStyle w:val="ListNumber"/>
        <w:numPr>
          <w:ilvl w:val="0"/>
          <w:numId w:val="12"/>
        </w:numPr>
      </w:pPr>
      <w:r>
        <w:rPr>
          <w:rFonts w:ascii="Aptos" w:hAnsi="Aptos"/>
          <w:b w:val="0"/>
          <w:i w:val="0"/>
          <w:color w:val="17213A"/>
          <w:sz w:val="20"/>
        </w:rPr>
        <w:t>Complete capstone and required chapters.</w:t>
      </w:r>
    </w:p>
    <w:p>
      <w:pPr>
        <w:pStyle w:val="ListNumber"/>
        <w:numPr>
          <w:ilvl w:val="0"/>
          <w:numId w:val="12"/>
        </w:numPr>
      </w:pPr>
      <w:r>
        <w:rPr>
          <w:rFonts w:ascii="Aptos" w:hAnsi="Aptos"/>
          <w:b w:val="0"/>
          <w:i w:val="0"/>
          <w:color w:val="17213A"/>
          <w:sz w:val="20"/>
        </w:rPr>
        <w:t>Issue certificate and revision plan; offer next learning pathway.</w:t>
      </w:r>
    </w:p>
    <w:p>
      <w:pPr>
        <w:pStyle w:val="Heading2"/>
      </w:pPr>
      <w:r>
        <w:t>Teacher-led cohort workflow</w:t>
      </w:r>
    </w:p>
    <w:p>
      <w:pPr>
        <w:pStyle w:val="ListNumber"/>
        <w:numPr>
          <w:ilvl w:val="0"/>
          <w:numId w:val="13"/>
        </w:numPr>
      </w:pPr>
      <w:r>
        <w:rPr>
          <w:rFonts w:ascii="Aptos" w:hAnsi="Aptos"/>
          <w:b w:val="0"/>
          <w:i w:val="0"/>
          <w:color w:val="17213A"/>
          <w:sz w:val="20"/>
        </w:rPr>
        <w:t>Administrator creates term, class, edition, language, teacher and roster or imports them through SSO/LTI/SIS.</w:t>
      </w:r>
    </w:p>
    <w:p>
      <w:pPr>
        <w:pStyle w:val="ListNumber"/>
        <w:numPr>
          <w:ilvl w:val="0"/>
          <w:numId w:val="13"/>
        </w:numPr>
      </w:pPr>
      <w:r>
        <w:rPr>
          <w:rFonts w:ascii="Aptos" w:hAnsi="Aptos"/>
          <w:b w:val="0"/>
          <w:i w:val="0"/>
          <w:color w:val="17213A"/>
          <w:sz w:val="20"/>
        </w:rPr>
        <w:t>Teacher selects approved course template, adjusts schedule and assigns permitted activities.</w:t>
      </w:r>
    </w:p>
    <w:p>
      <w:pPr>
        <w:pStyle w:val="ListNumber"/>
        <w:numPr>
          <w:ilvl w:val="0"/>
          <w:numId w:val="13"/>
        </w:numPr>
      </w:pPr>
      <w:r>
        <w:rPr>
          <w:rFonts w:ascii="Aptos" w:hAnsi="Aptos"/>
          <w:b w:val="0"/>
          <w:i w:val="0"/>
          <w:color w:val="17213A"/>
          <w:sz w:val="20"/>
        </w:rPr>
        <w:t>Students launch through the school environment; consent and identity rules are applied.</w:t>
      </w:r>
    </w:p>
    <w:p>
      <w:pPr>
        <w:pStyle w:val="ListNumber"/>
        <w:numPr>
          <w:ilvl w:val="0"/>
          <w:numId w:val="13"/>
        </w:numPr>
      </w:pPr>
      <w:r>
        <w:rPr>
          <w:rFonts w:ascii="Aptos" w:hAnsi="Aptos"/>
          <w:b w:val="0"/>
          <w:i w:val="0"/>
          <w:color w:val="17213A"/>
          <w:sz w:val="20"/>
        </w:rPr>
        <w:t>Teacher monitors participation and outcome mastery, then supports learners through class discussion and feedback.</w:t>
      </w:r>
    </w:p>
    <w:p>
      <w:pPr>
        <w:pStyle w:val="ListNumber"/>
        <w:numPr>
          <w:ilvl w:val="0"/>
          <w:numId w:val="13"/>
        </w:numPr>
      </w:pPr>
      <w:r>
        <w:rPr>
          <w:rFonts w:ascii="Aptos" w:hAnsi="Aptos"/>
          <w:b w:val="0"/>
          <w:i w:val="0"/>
          <w:color w:val="17213A"/>
          <w:sz w:val="20"/>
        </w:rPr>
        <w:t>System returns permitted grades/results to the LMS and produces programme reports.</w:t>
      </w:r>
    </w:p>
    <w:p>
      <w:pPr>
        <w:pStyle w:val="ListNumber"/>
        <w:numPr>
          <w:ilvl w:val="0"/>
          <w:numId w:val="13"/>
        </w:numPr>
      </w:pPr>
      <w:r>
        <w:rPr>
          <w:rFonts w:ascii="Aptos" w:hAnsi="Aptos"/>
          <w:b w:val="0"/>
          <w:i w:val="0"/>
          <w:color w:val="17213A"/>
          <w:sz w:val="20"/>
        </w:rPr>
        <w:t>At term close, retention and access rules archive or delete data as configured.</w:t>
      </w:r>
    </w:p>
    <w:p>
      <w:pPr>
        <w:pStyle w:val="Heading2"/>
      </w:pPr>
      <w:r>
        <w:t>Organisation onboarding workflow</w:t>
      </w:r>
    </w:p>
    <w:p>
      <w:pPr>
        <w:pStyle w:val="ListNumber"/>
        <w:numPr>
          <w:ilvl w:val="0"/>
          <w:numId w:val="14"/>
        </w:numPr>
      </w:pPr>
      <w:r>
        <w:rPr>
          <w:rFonts w:ascii="Aptos" w:hAnsi="Aptos"/>
          <w:b w:val="0"/>
          <w:i w:val="0"/>
          <w:color w:val="17213A"/>
          <w:sz w:val="20"/>
        </w:rPr>
        <w:t>Commercial, legal and product fit assessment.</w:t>
      </w:r>
    </w:p>
    <w:p>
      <w:pPr>
        <w:pStyle w:val="ListNumber"/>
        <w:numPr>
          <w:ilvl w:val="0"/>
          <w:numId w:val="14"/>
        </w:numPr>
      </w:pPr>
      <w:r>
        <w:rPr>
          <w:rFonts w:ascii="Aptos" w:hAnsi="Aptos"/>
          <w:b w:val="0"/>
          <w:i w:val="0"/>
          <w:color w:val="17213A"/>
          <w:sz w:val="20"/>
        </w:rPr>
        <w:t>Nominate tenant owner, scholarly authority, data controller contacts and implementation team.</w:t>
      </w:r>
    </w:p>
    <w:p>
      <w:pPr>
        <w:pStyle w:val="ListNumber"/>
        <w:numPr>
          <w:ilvl w:val="0"/>
          <w:numId w:val="14"/>
        </w:numPr>
      </w:pPr>
      <w:r>
        <w:rPr>
          <w:rFonts w:ascii="Aptos" w:hAnsi="Aptos"/>
          <w:b w:val="0"/>
          <w:i w:val="0"/>
          <w:color w:val="17213A"/>
          <w:sz w:val="20"/>
        </w:rPr>
        <w:t>Register brand, domains, languages, policies, identity, certificate and reporting requirements.</w:t>
      </w:r>
    </w:p>
    <w:p>
      <w:pPr>
        <w:pStyle w:val="ListNumber"/>
        <w:numPr>
          <w:ilvl w:val="0"/>
          <w:numId w:val="14"/>
        </w:numPr>
      </w:pPr>
      <w:r>
        <w:rPr>
          <w:rFonts w:ascii="Aptos" w:hAnsi="Aptos"/>
          <w:b w:val="0"/>
          <w:i w:val="0"/>
          <w:color w:val="17213A"/>
          <w:sz w:val="20"/>
        </w:rPr>
        <w:t>Ingest authorised source/translation/commentary and record rights.</w:t>
      </w:r>
    </w:p>
    <w:p>
      <w:pPr>
        <w:pStyle w:val="ListNumber"/>
        <w:numPr>
          <w:ilvl w:val="0"/>
          <w:numId w:val="14"/>
        </w:numPr>
      </w:pPr>
      <w:r>
        <w:rPr>
          <w:rFonts w:ascii="Aptos" w:hAnsi="Aptos"/>
          <w:b w:val="0"/>
          <w:i w:val="0"/>
          <w:color w:val="17213A"/>
          <w:sz w:val="20"/>
        </w:rPr>
        <w:t>Map content to common course schema; approve local curriculum and assessments.</w:t>
      </w:r>
    </w:p>
    <w:p>
      <w:pPr>
        <w:pStyle w:val="ListNumber"/>
        <w:numPr>
          <w:ilvl w:val="0"/>
          <w:numId w:val="14"/>
        </w:numPr>
      </w:pPr>
      <w:r>
        <w:rPr>
          <w:rFonts w:ascii="Aptos" w:hAnsi="Aptos"/>
          <w:b w:val="0"/>
          <w:i w:val="0"/>
          <w:color w:val="17213A"/>
          <w:sz w:val="20"/>
        </w:rPr>
        <w:t>Configure and test tenant in sandbox; migrate pilot users if applicable.</w:t>
      </w:r>
    </w:p>
    <w:p>
      <w:pPr>
        <w:pStyle w:val="ListNumber"/>
        <w:numPr>
          <w:ilvl w:val="0"/>
          <w:numId w:val="14"/>
        </w:numPr>
      </w:pPr>
      <w:r>
        <w:rPr>
          <w:rFonts w:ascii="Aptos" w:hAnsi="Aptos"/>
          <w:b w:val="0"/>
          <w:i w:val="0"/>
          <w:color w:val="17213A"/>
          <w:sz w:val="20"/>
        </w:rPr>
        <w:t>Run security, accessibility, content and operational acceptance.</w:t>
      </w:r>
    </w:p>
    <w:p>
      <w:pPr>
        <w:pStyle w:val="ListNumber"/>
        <w:numPr>
          <w:ilvl w:val="0"/>
          <w:numId w:val="14"/>
        </w:numPr>
      </w:pPr>
      <w:r>
        <w:rPr>
          <w:rFonts w:ascii="Aptos" w:hAnsi="Aptos"/>
          <w:b w:val="0"/>
          <w:i w:val="0"/>
          <w:color w:val="17213A"/>
          <w:sz w:val="20"/>
        </w:rPr>
        <w:t>Launch pilot, evaluate, correct and progressively expand.</w:t>
      </w:r>
    </w:p>
    <w:p>
      <w:pPr>
        <w:jc w:val="center"/>
      </w:pPr>
      <w:r>
        <w:drawing>
          <wp:inline xmlns:a="http://schemas.openxmlformats.org/drawingml/2006/main" xmlns:pic="http://schemas.openxmlformats.org/drawingml/2006/picture">
            <wp:extent cx="5943600" cy="2674620"/>
            <wp:docPr id="4" name="Picture 4" descr="Figure 3. Scholarly and rights-controlled publishing workflow."/>
            <wp:cNvGraphicFramePr>
              <a:graphicFrameLocks noChangeAspect="1"/>
            </wp:cNvGraphicFramePr>
            <a:graphic>
              <a:graphicData uri="http://schemas.openxmlformats.org/drawingml/2006/picture">
                <pic:pic>
                  <pic:nvPicPr>
                    <pic:cNvPr id="0" name="publishing_workflow.png"/>
                    <pic:cNvPicPr/>
                  </pic:nvPicPr>
                  <pic:blipFill>
                    <a:blip r:embed="rId14"/>
                    <a:stretch>
                      <a:fillRect/>
                    </a:stretch>
                  </pic:blipFill>
                  <pic:spPr>
                    <a:xfrm>
                      <a:off x="0" y="0"/>
                      <a:ext cx="5943600" cy="2674620"/>
                    </a:xfrm>
                    <a:prstGeom prst="rect"/>
                  </pic:spPr>
                </pic:pic>
              </a:graphicData>
            </a:graphic>
          </wp:inline>
        </w:drawing>
      </w:r>
    </w:p>
    <w:p>
      <w:pPr>
        <w:spacing w:after="180"/>
        <w:jc w:val="center"/>
      </w:pPr>
      <w:r>
        <w:rPr>
          <w:rFonts w:ascii="Aptos" w:hAnsi="Aptos"/>
          <w:b w:val="0"/>
          <w:i/>
          <w:color w:val="6D7282"/>
          <w:sz w:val="17"/>
        </w:rPr>
        <w:t>Figure 3. Scholarly and rights-controlled publishing workflow.</w:t>
      </w:r>
    </w:p>
    <w:p>
      <w:pPr>
        <w:sectPr>
          <w:pgSz w:w="12240" w:h="15840"/>
          <w:pgMar w:top="1440" w:right="1440" w:bottom="1440" w:left="1440" w:header="708" w:footer="708" w:gutter="0"/>
          <w:cols w:space="720"/>
          <w:docGrid w:linePitch="360"/>
        </w:sectPr>
      </w:pPr>
    </w:p>
    <w:p>
      <w:pPr>
        <w:spacing w:after="100"/>
      </w:pPr>
      <w:r>
        <w:rPr>
          <w:rFonts w:ascii="Aptos" w:hAnsi="Aptos"/>
          <w:b/>
          <w:i w:val="0"/>
          <w:caps/>
          <w:color w:val="D9832E"/>
          <w:sz w:val="16"/>
        </w:rPr>
        <w:t>SECTION 10</w:t>
      </w:r>
    </w:p>
    <w:p>
      <w:pPr>
        <w:pStyle w:val="Heading1"/>
      </w:pPr>
      <w:r>
        <w:t>Multi-organisation and edition architecture</w:t>
      </w:r>
    </w:p>
    <w:p>
      <w:pPr>
        <w:pStyle w:val="Heading2"/>
      </w:pPr>
      <w:r>
        <w:t>Configuration hierarchy</w:t>
      </w:r>
    </w:p>
    <w:tbl>
      <w:tblPr>
        <w:tblW w:type="dxa" w:w="9360"/>
        <w:jc w:val="left"/>
        <w:tblLayout w:type="fixed"/>
        <w:tblLook w:firstColumn="1" w:firstRow="1" w:lastColumn="0" w:lastRow="0" w:noHBand="0" w:noVBand="1" w:val="04A0"/>
        <w:tblInd w:w="120" w:type="dxa"/>
        <w:tblBorders>
          <w:top w:val="single" w:sz="6" w:space="0" w:color="DDD3C1"/>
          <w:left w:val="single" w:sz="6" w:space="0" w:color="DDD3C1"/>
          <w:bottom w:val="single" w:sz="6" w:space="0" w:color="DDD3C1"/>
          <w:right w:val="single" w:sz="6" w:space="0" w:color="DDD3C1"/>
          <w:insideH w:val="single" w:sz="6" w:space="0" w:color="DDD3C1"/>
          <w:insideV w:val="single" w:sz="6" w:space="0" w:color="DDD3C1"/>
        </w:tblBorders>
      </w:tblPr>
      <w:tblGrid>
        <w:gridCol w:w="1400"/>
        <w:gridCol w:w="1900"/>
        <w:gridCol w:w="3900"/>
        <w:gridCol w:w="2160"/>
      </w:tblGrid>
      <w:tr>
        <w:trPr>
          <w:tblHeader w:val="true"/>
        </w:trPr>
        <w:tc>
          <w:tcPr>
            <w:tcW w:type="dxa" w:w="1400"/>
            <w:tcMar>
              <w:top w:w="100" w:type="dxa"/>
              <w:start w:w="120" w:type="dxa"/>
              <w:bottom w:w="100" w:type="dxa"/>
              <w:end w:w="120" w:type="dxa"/>
            </w:tcMar>
            <w:shd w:fill="18264F"/>
            <w:vAlign w:val="center"/>
          </w:tcPr>
          <w:p>
            <w:pPr>
              <w:spacing w:after="0"/>
            </w:pPr>
            <w:r>
              <w:rPr>
                <w:rFonts w:ascii="Aptos" w:hAnsi="Aptos"/>
                <w:b/>
                <w:i w:val="0"/>
                <w:color w:val="FFFFFF"/>
                <w:sz w:val="18"/>
              </w:rPr>
              <w:t>Layer</w:t>
            </w:r>
          </w:p>
        </w:tc>
        <w:tc>
          <w:tcPr>
            <w:tcW w:type="dxa" w:w="1900"/>
            <w:tcMar>
              <w:top w:w="100" w:type="dxa"/>
              <w:start w:w="120" w:type="dxa"/>
              <w:bottom w:w="100" w:type="dxa"/>
              <w:end w:w="120" w:type="dxa"/>
            </w:tcMar>
            <w:shd w:fill="18264F"/>
            <w:vAlign w:val="center"/>
          </w:tcPr>
          <w:p>
            <w:pPr>
              <w:spacing w:after="0"/>
            </w:pPr>
            <w:r>
              <w:rPr>
                <w:rFonts w:ascii="Aptos" w:hAnsi="Aptos"/>
                <w:b/>
                <w:i w:val="0"/>
                <w:color w:val="FFFFFF"/>
                <w:sz w:val="18"/>
              </w:rPr>
              <w:t>Owned by</w:t>
            </w:r>
          </w:p>
        </w:tc>
        <w:tc>
          <w:tcPr>
            <w:tcW w:type="dxa" w:w="3900"/>
            <w:tcMar>
              <w:top w:w="100" w:type="dxa"/>
              <w:start w:w="120" w:type="dxa"/>
              <w:bottom w:w="100" w:type="dxa"/>
              <w:end w:w="120" w:type="dxa"/>
            </w:tcMar>
            <w:shd w:fill="18264F"/>
            <w:vAlign w:val="center"/>
          </w:tcPr>
          <w:p>
            <w:pPr>
              <w:spacing w:after="0"/>
            </w:pPr>
            <w:r>
              <w:rPr>
                <w:rFonts w:ascii="Aptos" w:hAnsi="Aptos"/>
                <w:b/>
                <w:i w:val="0"/>
                <w:color w:val="FFFFFF"/>
                <w:sz w:val="18"/>
              </w:rPr>
              <w:t>Examples</w:t>
            </w:r>
          </w:p>
        </w:tc>
        <w:tc>
          <w:tcPr>
            <w:tcW w:type="dxa" w:w="2160"/>
            <w:tcMar>
              <w:top w:w="100" w:type="dxa"/>
              <w:start w:w="120" w:type="dxa"/>
              <w:bottom w:w="100" w:type="dxa"/>
              <w:end w:w="120" w:type="dxa"/>
            </w:tcMar>
            <w:shd w:fill="18264F"/>
            <w:vAlign w:val="center"/>
          </w:tcPr>
          <w:p>
            <w:pPr>
              <w:spacing w:after="0"/>
            </w:pPr>
            <w:r>
              <w:rPr>
                <w:rFonts w:ascii="Aptos" w:hAnsi="Aptos"/>
                <w:b/>
                <w:i w:val="0"/>
                <w:color w:val="FFFFFF"/>
                <w:sz w:val="18"/>
              </w:rPr>
              <w:t>Change impact</w:t>
            </w:r>
          </w:p>
        </w:tc>
      </w:tr>
      <w:tr>
        <w:tc>
          <w:tcPr>
            <w:tcW w:type="dxa" w:w="1400"/>
            <w:vAlign w:val="center"/>
          </w:tcPr>
          <w:p>
            <w:pPr>
              <w:spacing w:after="0" w:line="252" w:lineRule="auto"/>
            </w:pPr>
            <w:r>
              <w:rPr>
                <w:rFonts w:ascii="Aptos" w:hAnsi="Aptos"/>
                <w:b w:val="0"/>
                <w:i w:val="0"/>
                <w:color w:val="17213A"/>
                <w:sz w:val="16"/>
              </w:rPr>
              <w:t>Platform</w:t>
            </w:r>
          </w:p>
        </w:tc>
        <w:tc>
          <w:tcPr>
            <w:tcW w:type="dxa" w:w="1900"/>
            <w:vAlign w:val="center"/>
          </w:tcPr>
          <w:p>
            <w:pPr>
              <w:spacing w:after="0" w:line="252" w:lineRule="auto"/>
            </w:pPr>
            <w:r>
              <w:rPr>
                <w:rFonts w:ascii="Aptos" w:hAnsi="Aptos"/>
                <w:b w:val="0"/>
                <w:i w:val="0"/>
                <w:color w:val="17213A"/>
                <w:sz w:val="16"/>
              </w:rPr>
              <w:t>Living Bliss / platform operator</w:t>
            </w:r>
          </w:p>
        </w:tc>
        <w:tc>
          <w:tcPr>
            <w:tcW w:type="dxa" w:w="3900"/>
            <w:vAlign w:val="center"/>
          </w:tcPr>
          <w:p>
            <w:pPr>
              <w:spacing w:after="0" w:line="252" w:lineRule="auto"/>
            </w:pPr>
            <w:r>
              <w:rPr>
                <w:rFonts w:ascii="Aptos" w:hAnsi="Aptos"/>
                <w:b w:val="0"/>
                <w:i w:val="0"/>
                <w:color w:val="17213A"/>
                <w:sz w:val="16"/>
              </w:rPr>
              <w:t>Identity, learning engine, schema, APIs, security, component system.</w:t>
            </w:r>
          </w:p>
        </w:tc>
        <w:tc>
          <w:tcPr>
            <w:tcW w:type="dxa" w:w="2160"/>
            <w:vAlign w:val="center"/>
          </w:tcPr>
          <w:p>
            <w:pPr>
              <w:spacing w:after="0" w:line="252" w:lineRule="auto"/>
            </w:pPr>
            <w:r>
              <w:rPr>
                <w:rFonts w:ascii="Aptos" w:hAnsi="Aptos"/>
                <w:b w:val="0"/>
                <w:i w:val="0"/>
                <w:color w:val="17213A"/>
                <w:sz w:val="16"/>
              </w:rPr>
              <w:t>All tenants after controlled release.</w:t>
            </w:r>
          </w:p>
        </w:tc>
      </w:tr>
      <w:tr>
        <w:tc>
          <w:tcPr>
            <w:tcW w:type="dxa" w:w="1400"/>
            <w:vAlign w:val="center"/>
            <w:shd w:fill="F8F6F1"/>
          </w:tcPr>
          <w:p>
            <w:pPr>
              <w:spacing w:after="0" w:line="252" w:lineRule="auto"/>
            </w:pPr>
            <w:r>
              <w:rPr>
                <w:rFonts w:ascii="Aptos" w:hAnsi="Aptos"/>
                <w:b w:val="0"/>
                <w:i w:val="0"/>
                <w:color w:val="17213A"/>
                <w:sz w:val="16"/>
              </w:rPr>
              <w:t>Tenant</w:t>
            </w:r>
          </w:p>
        </w:tc>
        <w:tc>
          <w:tcPr>
            <w:tcW w:type="dxa" w:w="1900"/>
            <w:vAlign w:val="center"/>
            <w:shd w:fill="F8F6F1"/>
          </w:tcPr>
          <w:p>
            <w:pPr>
              <w:spacing w:after="0" w:line="252" w:lineRule="auto"/>
            </w:pPr>
            <w:r>
              <w:rPr>
                <w:rFonts w:ascii="Aptos" w:hAnsi="Aptos"/>
                <w:b w:val="0"/>
                <w:i w:val="0"/>
                <w:color w:val="17213A"/>
                <w:sz w:val="16"/>
              </w:rPr>
              <w:t>Organisation or authority</w:t>
            </w:r>
          </w:p>
        </w:tc>
        <w:tc>
          <w:tcPr>
            <w:tcW w:type="dxa" w:w="3900"/>
            <w:vAlign w:val="center"/>
            <w:shd w:fill="F8F6F1"/>
          </w:tcPr>
          <w:p>
            <w:pPr>
              <w:spacing w:after="0" w:line="252" w:lineRule="auto"/>
            </w:pPr>
            <w:r>
              <w:rPr>
                <w:rFonts w:ascii="Aptos" w:hAnsi="Aptos"/>
                <w:b w:val="0"/>
                <w:i w:val="0"/>
                <w:color w:val="17213A"/>
                <w:sz w:val="16"/>
              </w:rPr>
              <w:t>Brand, domain, policies, roles, integrations, support and enabled features.</w:t>
            </w:r>
          </w:p>
        </w:tc>
        <w:tc>
          <w:tcPr>
            <w:tcW w:type="dxa" w:w="2160"/>
            <w:vAlign w:val="center"/>
            <w:shd w:fill="F8F6F1"/>
          </w:tcPr>
          <w:p>
            <w:pPr>
              <w:spacing w:after="0" w:line="252" w:lineRule="auto"/>
            </w:pPr>
            <w:r>
              <w:rPr>
                <w:rFonts w:ascii="Aptos" w:hAnsi="Aptos"/>
                <w:b w:val="0"/>
                <w:i w:val="0"/>
                <w:color w:val="17213A"/>
                <w:sz w:val="16"/>
              </w:rPr>
              <w:t>That organisation only.</w:t>
            </w:r>
          </w:p>
        </w:tc>
      </w:tr>
      <w:tr>
        <w:tc>
          <w:tcPr>
            <w:tcW w:type="dxa" w:w="1400"/>
            <w:vAlign w:val="center"/>
          </w:tcPr>
          <w:p>
            <w:pPr>
              <w:spacing w:after="0" w:line="252" w:lineRule="auto"/>
            </w:pPr>
            <w:r>
              <w:rPr>
                <w:rFonts w:ascii="Aptos" w:hAnsi="Aptos"/>
                <w:b w:val="0"/>
                <w:i w:val="0"/>
                <w:color w:val="17213A"/>
                <w:sz w:val="16"/>
              </w:rPr>
              <w:t>Edition</w:t>
            </w:r>
          </w:p>
        </w:tc>
        <w:tc>
          <w:tcPr>
            <w:tcW w:type="dxa" w:w="1900"/>
            <w:vAlign w:val="center"/>
          </w:tcPr>
          <w:p>
            <w:pPr>
              <w:spacing w:after="0" w:line="252" w:lineRule="auto"/>
            </w:pPr>
            <w:r>
              <w:rPr>
                <w:rFonts w:ascii="Aptos" w:hAnsi="Aptos"/>
                <w:b w:val="0"/>
                <w:i w:val="0"/>
                <w:color w:val="17213A"/>
                <w:sz w:val="16"/>
              </w:rPr>
              <w:t>Named scholarly authority</w:t>
            </w:r>
          </w:p>
        </w:tc>
        <w:tc>
          <w:tcPr>
            <w:tcW w:type="dxa" w:w="3900"/>
            <w:vAlign w:val="center"/>
          </w:tcPr>
          <w:p>
            <w:pPr>
              <w:spacing w:after="0" w:line="252" w:lineRule="auto"/>
            </w:pPr>
            <w:r>
              <w:rPr>
                <w:rFonts w:ascii="Aptos" w:hAnsi="Aptos"/>
                <w:b w:val="0"/>
                <w:i w:val="0"/>
                <w:color w:val="17213A"/>
                <w:sz w:val="16"/>
              </w:rPr>
              <w:t>Translation, commentary, glossary, media, assessments and approvals.</w:t>
            </w:r>
          </w:p>
        </w:tc>
        <w:tc>
          <w:tcPr>
            <w:tcW w:type="dxa" w:w="2160"/>
            <w:vAlign w:val="center"/>
          </w:tcPr>
          <w:p>
            <w:pPr>
              <w:spacing w:after="0" w:line="252" w:lineRule="auto"/>
            </w:pPr>
            <w:r>
              <w:rPr>
                <w:rFonts w:ascii="Aptos" w:hAnsi="Aptos"/>
                <w:b w:val="0"/>
                <w:i w:val="0"/>
                <w:color w:val="17213A"/>
                <w:sz w:val="16"/>
              </w:rPr>
              <w:t>Programmes using that edition.</w:t>
            </w:r>
          </w:p>
        </w:tc>
      </w:tr>
      <w:tr>
        <w:tc>
          <w:tcPr>
            <w:tcW w:type="dxa" w:w="1400"/>
            <w:vAlign w:val="center"/>
            <w:shd w:fill="F8F6F1"/>
          </w:tcPr>
          <w:p>
            <w:pPr>
              <w:spacing w:after="0" w:line="252" w:lineRule="auto"/>
            </w:pPr>
            <w:r>
              <w:rPr>
                <w:rFonts w:ascii="Aptos" w:hAnsi="Aptos"/>
                <w:b w:val="0"/>
                <w:i w:val="0"/>
                <w:color w:val="17213A"/>
                <w:sz w:val="16"/>
              </w:rPr>
              <w:t>Programme</w:t>
            </w:r>
          </w:p>
        </w:tc>
        <w:tc>
          <w:tcPr>
            <w:tcW w:type="dxa" w:w="1900"/>
            <w:vAlign w:val="center"/>
            <w:shd w:fill="F8F6F1"/>
          </w:tcPr>
          <w:p>
            <w:pPr>
              <w:spacing w:after="0" w:line="252" w:lineRule="auto"/>
            </w:pPr>
            <w:r>
              <w:rPr>
                <w:rFonts w:ascii="Aptos" w:hAnsi="Aptos"/>
                <w:b w:val="0"/>
                <w:i w:val="0"/>
                <w:color w:val="17213A"/>
                <w:sz w:val="16"/>
              </w:rPr>
              <w:t>School/centre/course owner</w:t>
            </w:r>
          </w:p>
        </w:tc>
        <w:tc>
          <w:tcPr>
            <w:tcW w:type="dxa" w:w="3900"/>
            <w:vAlign w:val="center"/>
            <w:shd w:fill="F8F6F1"/>
          </w:tcPr>
          <w:p>
            <w:pPr>
              <w:spacing w:after="0" w:line="252" w:lineRule="auto"/>
            </w:pPr>
            <w:r>
              <w:rPr>
                <w:rFonts w:ascii="Aptos" w:hAnsi="Aptos"/>
                <w:b w:val="0"/>
                <w:i w:val="0"/>
                <w:color w:val="17213A"/>
                <w:sz w:val="16"/>
              </w:rPr>
              <w:t>Age band, syllabus, schedule, teacher, pass rules and certificate.</w:t>
            </w:r>
          </w:p>
        </w:tc>
        <w:tc>
          <w:tcPr>
            <w:tcW w:type="dxa" w:w="2160"/>
            <w:vAlign w:val="center"/>
            <w:shd w:fill="F8F6F1"/>
          </w:tcPr>
          <w:p>
            <w:pPr>
              <w:spacing w:after="0" w:line="252" w:lineRule="auto"/>
            </w:pPr>
            <w:r>
              <w:rPr>
                <w:rFonts w:ascii="Aptos" w:hAnsi="Aptos"/>
                <w:b w:val="0"/>
                <w:i w:val="0"/>
                <w:color w:val="17213A"/>
                <w:sz w:val="16"/>
              </w:rPr>
              <w:t>Enrolled cohorts only.</w:t>
            </w:r>
          </w:p>
        </w:tc>
      </w:tr>
      <w:tr>
        <w:tc>
          <w:tcPr>
            <w:tcW w:type="dxa" w:w="1400"/>
            <w:vAlign w:val="center"/>
          </w:tcPr>
          <w:p>
            <w:pPr>
              <w:spacing w:after="0" w:line="252" w:lineRule="auto"/>
            </w:pPr>
            <w:r>
              <w:rPr>
                <w:rFonts w:ascii="Aptos" w:hAnsi="Aptos"/>
                <w:b w:val="0"/>
                <w:i w:val="0"/>
                <w:color w:val="17213A"/>
                <w:sz w:val="16"/>
              </w:rPr>
              <w:t>Learner</w:t>
            </w:r>
          </w:p>
        </w:tc>
        <w:tc>
          <w:tcPr>
            <w:tcW w:type="dxa" w:w="1900"/>
            <w:vAlign w:val="center"/>
          </w:tcPr>
          <w:p>
            <w:pPr>
              <w:spacing w:after="0" w:line="252" w:lineRule="auto"/>
            </w:pPr>
            <w:r>
              <w:rPr>
                <w:rFonts w:ascii="Aptos" w:hAnsi="Aptos"/>
                <w:b w:val="0"/>
                <w:i w:val="0"/>
                <w:color w:val="17213A"/>
                <w:sz w:val="16"/>
              </w:rPr>
              <w:t>Individual</w:t>
            </w:r>
          </w:p>
        </w:tc>
        <w:tc>
          <w:tcPr>
            <w:tcW w:type="dxa" w:w="3900"/>
            <w:vAlign w:val="center"/>
          </w:tcPr>
          <w:p>
            <w:pPr>
              <w:spacing w:after="0" w:line="252" w:lineRule="auto"/>
            </w:pPr>
            <w:r>
              <w:rPr>
                <w:rFonts w:ascii="Aptos" w:hAnsi="Aptos"/>
                <w:b w:val="0"/>
                <w:i w:val="0"/>
                <w:color w:val="17213A"/>
                <w:sz w:val="16"/>
              </w:rPr>
              <w:t>Language, accessibility, plan, notes, bookmarks and downloads.</w:t>
            </w:r>
          </w:p>
        </w:tc>
        <w:tc>
          <w:tcPr>
            <w:tcW w:type="dxa" w:w="2160"/>
            <w:vAlign w:val="center"/>
          </w:tcPr>
          <w:p>
            <w:pPr>
              <w:spacing w:after="0" w:line="252" w:lineRule="auto"/>
            </w:pPr>
            <w:r>
              <w:rPr>
                <w:rFonts w:ascii="Aptos" w:hAnsi="Aptos"/>
                <w:b w:val="0"/>
                <w:i w:val="0"/>
                <w:color w:val="17213A"/>
                <w:sz w:val="16"/>
              </w:rPr>
              <w:t>That learner only.</w:t>
            </w:r>
          </w:p>
        </w:tc>
      </w:tr>
    </w:tbl>
    <w:p>
      <w:pPr>
        <w:spacing w:after="20"/>
      </w:pPr>
    </w:p>
    <w:p>
      <w:pPr>
        <w:spacing w:before="0" w:after="120"/>
      </w:pPr>
    </w:p>
    <w:p>
      <w:pPr>
        <w:pStyle w:val="Heading2"/>
      </w:pPr>
      <w:r>
        <w:t>Edition integrity rules</w:t>
      </w:r>
    </w:p>
    <w:p>
      <w:pPr>
        <w:pStyle w:val="ListBullet"/>
      </w:pPr>
      <w:r>
        <w:rPr>
          <w:rFonts w:ascii="Aptos" w:hAnsi="Aptos"/>
          <w:b w:val="0"/>
          <w:i w:val="0"/>
          <w:color w:val="17213A"/>
          <w:sz w:val="20"/>
        </w:rPr>
        <w:t>Every content object carries edition ID, language, version, status, rights scope and approving authority.</w:t>
      </w:r>
    </w:p>
    <w:p>
      <w:pPr>
        <w:pStyle w:val="ListBullet"/>
      </w:pPr>
      <w:r>
        <w:rPr>
          <w:rFonts w:ascii="Aptos" w:hAnsi="Aptos"/>
          <w:b w:val="0"/>
          <w:i w:val="0"/>
          <w:color w:val="17213A"/>
          <w:sz w:val="20"/>
        </w:rPr>
        <w:t>A lesson may inherit core structure, but any inherited text remains traceable to its source and may be overridden only through review.</w:t>
      </w:r>
    </w:p>
    <w:p>
      <w:pPr>
        <w:pStyle w:val="ListBullet"/>
      </w:pPr>
      <w:r>
        <w:rPr>
          <w:rFonts w:ascii="Aptos" w:hAnsi="Aptos"/>
          <w:b w:val="0"/>
          <w:i w:val="0"/>
          <w:color w:val="17213A"/>
          <w:sz w:val="20"/>
        </w:rPr>
        <w:t>Translations and commentaries from different lineages are never silently merged.</w:t>
      </w:r>
    </w:p>
    <w:p>
      <w:pPr>
        <w:pStyle w:val="ListBullet"/>
      </w:pPr>
      <w:r>
        <w:rPr>
          <w:rFonts w:ascii="Aptos" w:hAnsi="Aptos"/>
          <w:b w:val="0"/>
          <w:i w:val="0"/>
          <w:color w:val="17213A"/>
          <w:sz w:val="20"/>
        </w:rPr>
        <w:t>Cross-edition progress equivalence is an explicit mapping approved at outcome and assessment level.</w:t>
      </w:r>
    </w:p>
    <w:p>
      <w:pPr>
        <w:pStyle w:val="ListBullet"/>
      </w:pPr>
      <w:r>
        <w:rPr>
          <w:rFonts w:ascii="Aptos" w:hAnsi="Aptos"/>
          <w:b w:val="0"/>
          <w:i w:val="0"/>
          <w:color w:val="17213A"/>
          <w:sz w:val="20"/>
        </w:rPr>
        <w:t>Tenant export includes its configuration, owned content, rights metadata and permitted learner data in documented formats.</w:t>
      </w:r>
    </w:p>
    <w:p>
      <w:pPr>
        <w:spacing w:before="0" w:after="120"/>
      </w:pPr>
    </w:p>
    <w:p>
      <w:pPr>
        <w:pStyle w:val="Heading2"/>
      </w:pPr>
      <w:r>
        <w:t>White-label capabilities</w:t>
      </w:r>
    </w:p>
    <w:p>
      <w:pPr>
        <w:pStyle w:val="ListBullet"/>
      </w:pPr>
      <w:r>
        <w:rPr>
          <w:rFonts w:ascii="Aptos" w:hAnsi="Aptos"/>
          <w:b w:val="0"/>
          <w:i w:val="0"/>
          <w:color w:val="17213A"/>
          <w:sz w:val="20"/>
        </w:rPr>
        <w:t>Custom domain, app name/icon/splash, logo, colours, typography within accessibility constraints and approved navigation labels.</w:t>
      </w:r>
    </w:p>
    <w:p>
      <w:pPr>
        <w:pStyle w:val="ListBullet"/>
      </w:pPr>
      <w:r>
        <w:rPr>
          <w:rFonts w:ascii="Aptos" w:hAnsi="Aptos"/>
          <w:b w:val="0"/>
          <w:i w:val="0"/>
          <w:color w:val="17213A"/>
          <w:sz w:val="20"/>
        </w:rPr>
        <w:t>Organisation-specific home, welcome, support, events, membership links, policies, certificates and email templates.</w:t>
      </w:r>
    </w:p>
    <w:p>
      <w:pPr>
        <w:pStyle w:val="ListBullet"/>
      </w:pPr>
      <w:r>
        <w:rPr>
          <w:rFonts w:ascii="Aptos" w:hAnsi="Aptos"/>
          <w:b w:val="0"/>
          <w:i w:val="0"/>
          <w:color w:val="17213A"/>
          <w:sz w:val="20"/>
        </w:rPr>
        <w:t>Configurable language defaults, time zone, academic calendar, pass rules, course visibility and feature flags.</w:t>
      </w:r>
    </w:p>
    <w:p>
      <w:pPr>
        <w:pStyle w:val="ListBullet"/>
      </w:pPr>
      <w:r>
        <w:rPr>
          <w:rFonts w:ascii="Aptos" w:hAnsi="Aptos"/>
          <w:b w:val="0"/>
          <w:i w:val="0"/>
          <w:color w:val="17213A"/>
          <w:sz w:val="20"/>
        </w:rPr>
        <w:t>Tenant-level SSO, LMS/SIS integrations, analytics destinations and data residency option where commercially supported.</w:t>
      </w:r>
    </w:p>
    <w:p>
      <w:pPr>
        <w:spacing w:before="0" w:after="120"/>
      </w:pPr>
    </w:p>
    <w:p>
      <w:pPr>
        <w:pStyle w:val="Heading2"/>
      </w:pPr>
      <w:r>
        <w:t>Tenant isolation</w:t>
      </w:r>
    </w:p>
    <w:p>
      <w:pPr>
        <w:spacing w:before="0"/>
      </w:pPr>
      <w:r>
        <w:rPr>
          <w:rFonts w:ascii="Aptos" w:hAnsi="Aptos"/>
          <w:b w:val="0"/>
          <w:i w:val="0"/>
          <w:color w:val="17213A"/>
          <w:sz w:val="21"/>
        </w:rPr>
        <w:t>The solution must enforce tenant context at authentication, authorisation, database queries, cache keys, object storage, search indexes, exports, background jobs and analytics. Automated tests must prove that identifiers from one tenant cannot retrieve another tenant’s data.</w:t>
      </w:r>
    </w:p>
    <w:p>
      <w:pPr>
        <w:sectPr>
          <w:pgSz w:w="12240" w:h="15840"/>
          <w:pgMar w:top="1440" w:right="1440" w:bottom="1440" w:left="1440" w:header="708" w:footer="708" w:gutter="0"/>
          <w:cols w:space="720"/>
          <w:docGrid w:linePitch="360"/>
        </w:sectPr>
      </w:pPr>
    </w:p>
    <w:p>
      <w:pPr>
        <w:spacing w:after="100"/>
      </w:pPr>
      <w:r>
        <w:rPr>
          <w:rFonts w:ascii="Aptos" w:hAnsi="Aptos"/>
          <w:b/>
          <w:i w:val="0"/>
          <w:caps/>
          <w:color w:val="D9832E"/>
          <w:sz w:val="16"/>
        </w:rPr>
        <w:t>SECTION 11</w:t>
      </w:r>
    </w:p>
    <w:p>
      <w:pPr>
        <w:pStyle w:val="Heading1"/>
      </w:pPr>
      <w:r>
        <w:t>Content, rights and scholarly governance</w:t>
      </w:r>
    </w:p>
    <w:p>
      <w:pPr>
        <w:pStyle w:val="Heading2"/>
      </w:pPr>
      <w:r>
        <w:t>Structured scripture content model</w:t>
      </w:r>
    </w:p>
    <w:tbl>
      <w:tblPr>
        <w:tblW w:type="dxa" w:w="9360"/>
        <w:jc w:val="left"/>
        <w:tblLayout w:type="fixed"/>
        <w:tblLook w:firstColumn="1" w:firstRow="1" w:lastColumn="0" w:lastRow="0" w:noHBand="0" w:noVBand="1" w:val="04A0"/>
        <w:tblInd w:w="120" w:type="dxa"/>
        <w:tblBorders>
          <w:top w:val="single" w:sz="6" w:space="0" w:color="DDD3C1"/>
          <w:left w:val="single" w:sz="6" w:space="0" w:color="DDD3C1"/>
          <w:bottom w:val="single" w:sz="6" w:space="0" w:color="DDD3C1"/>
          <w:right w:val="single" w:sz="6" w:space="0" w:color="DDD3C1"/>
          <w:insideH w:val="single" w:sz="6" w:space="0" w:color="DDD3C1"/>
          <w:insideV w:val="single" w:sz="6" w:space="0" w:color="DDD3C1"/>
        </w:tblBorders>
      </w:tblPr>
      <w:tblGrid>
        <w:gridCol w:w="2100"/>
        <w:gridCol w:w="7260"/>
      </w:tblGrid>
      <w:tr>
        <w:trPr>
          <w:tblHeader w:val="true"/>
        </w:trPr>
        <w:tc>
          <w:tcPr>
            <w:tcW w:type="dxa" w:w="2100"/>
            <w:tcMar>
              <w:top w:w="100" w:type="dxa"/>
              <w:start w:w="120" w:type="dxa"/>
              <w:bottom w:w="100" w:type="dxa"/>
              <w:end w:w="120" w:type="dxa"/>
            </w:tcMar>
            <w:shd w:fill="18264F"/>
            <w:vAlign w:val="center"/>
          </w:tcPr>
          <w:p>
            <w:pPr>
              <w:spacing w:after="0"/>
            </w:pPr>
            <w:r>
              <w:rPr>
                <w:rFonts w:ascii="Aptos" w:hAnsi="Aptos"/>
                <w:b/>
                <w:i w:val="0"/>
                <w:color w:val="FFFFFF"/>
                <w:sz w:val="18"/>
              </w:rPr>
              <w:t>Layer</w:t>
            </w:r>
          </w:p>
        </w:tc>
        <w:tc>
          <w:tcPr>
            <w:tcW w:type="dxa" w:w="7260"/>
            <w:tcMar>
              <w:top w:w="100" w:type="dxa"/>
              <w:start w:w="120" w:type="dxa"/>
              <w:bottom w:w="100" w:type="dxa"/>
              <w:end w:w="120" w:type="dxa"/>
            </w:tcMar>
            <w:shd w:fill="18264F"/>
            <w:vAlign w:val="center"/>
          </w:tcPr>
          <w:p>
            <w:pPr>
              <w:spacing w:after="0"/>
            </w:pPr>
            <w:r>
              <w:rPr>
                <w:rFonts w:ascii="Aptos" w:hAnsi="Aptos"/>
                <w:b/>
                <w:i w:val="0"/>
                <w:color w:val="FFFFFF"/>
                <w:sz w:val="18"/>
              </w:rPr>
              <w:t>Required metadata</w:t>
            </w:r>
          </w:p>
        </w:tc>
      </w:tr>
      <w:tr>
        <w:tc>
          <w:tcPr>
            <w:tcW w:type="dxa" w:w="2100"/>
            <w:vAlign w:val="center"/>
          </w:tcPr>
          <w:p>
            <w:pPr>
              <w:spacing w:after="0" w:line="252" w:lineRule="auto"/>
            </w:pPr>
            <w:r>
              <w:rPr>
                <w:rFonts w:ascii="Aptos" w:hAnsi="Aptos"/>
                <w:b w:val="0"/>
                <w:i w:val="0"/>
                <w:color w:val="17213A"/>
                <w:sz w:val="16"/>
              </w:rPr>
              <w:t>Canonical reference</w:t>
            </w:r>
          </w:p>
        </w:tc>
        <w:tc>
          <w:tcPr>
            <w:tcW w:type="dxa" w:w="7260"/>
            <w:vAlign w:val="center"/>
          </w:tcPr>
          <w:p>
            <w:pPr>
              <w:spacing w:after="0" w:line="252" w:lineRule="auto"/>
            </w:pPr>
            <w:r>
              <w:rPr>
                <w:rFonts w:ascii="Aptos" w:hAnsi="Aptos"/>
                <w:b w:val="0"/>
                <w:i w:val="0"/>
                <w:color w:val="17213A"/>
                <w:sz w:val="16"/>
              </w:rPr>
              <w:t>Work, chapter, verse, numbering tradition, source edition and variant notes.</w:t>
            </w:r>
          </w:p>
        </w:tc>
      </w:tr>
      <w:tr>
        <w:tc>
          <w:tcPr>
            <w:tcW w:type="dxa" w:w="2100"/>
            <w:vAlign w:val="center"/>
            <w:shd w:fill="F8F6F1"/>
          </w:tcPr>
          <w:p>
            <w:pPr>
              <w:spacing w:after="0" w:line="252" w:lineRule="auto"/>
            </w:pPr>
            <w:r>
              <w:rPr>
                <w:rFonts w:ascii="Aptos" w:hAnsi="Aptos"/>
                <w:b w:val="0"/>
                <w:i w:val="0"/>
                <w:color w:val="17213A"/>
                <w:sz w:val="16"/>
              </w:rPr>
              <w:t>Source text</w:t>
            </w:r>
          </w:p>
        </w:tc>
        <w:tc>
          <w:tcPr>
            <w:tcW w:type="dxa" w:w="7260"/>
            <w:vAlign w:val="center"/>
            <w:shd w:fill="F8F6F1"/>
          </w:tcPr>
          <w:p>
            <w:pPr>
              <w:spacing w:after="0" w:line="252" w:lineRule="auto"/>
            </w:pPr>
            <w:r>
              <w:rPr>
                <w:rFonts w:ascii="Aptos" w:hAnsi="Aptos"/>
                <w:b w:val="0"/>
                <w:i w:val="0"/>
                <w:color w:val="17213A"/>
                <w:sz w:val="16"/>
              </w:rPr>
              <w:t>Script, Unicode-normalised text, editorial source, checksum and review status.</w:t>
            </w:r>
          </w:p>
        </w:tc>
      </w:tr>
      <w:tr>
        <w:tc>
          <w:tcPr>
            <w:tcW w:type="dxa" w:w="2100"/>
            <w:vAlign w:val="center"/>
          </w:tcPr>
          <w:p>
            <w:pPr>
              <w:spacing w:after="0" w:line="252" w:lineRule="auto"/>
            </w:pPr>
            <w:r>
              <w:rPr>
                <w:rFonts w:ascii="Aptos" w:hAnsi="Aptos"/>
                <w:b w:val="0"/>
                <w:i w:val="0"/>
                <w:color w:val="17213A"/>
                <w:sz w:val="16"/>
              </w:rPr>
              <w:t>Transliteration</w:t>
            </w:r>
          </w:p>
        </w:tc>
        <w:tc>
          <w:tcPr>
            <w:tcW w:type="dxa" w:w="7260"/>
            <w:vAlign w:val="center"/>
          </w:tcPr>
          <w:p>
            <w:pPr>
              <w:spacing w:after="0" w:line="252" w:lineRule="auto"/>
            </w:pPr>
            <w:r>
              <w:rPr>
                <w:rFonts w:ascii="Aptos" w:hAnsi="Aptos"/>
                <w:b w:val="0"/>
                <w:i w:val="0"/>
                <w:color w:val="17213A"/>
                <w:sz w:val="16"/>
              </w:rPr>
              <w:t>Scheme, language, diacritic policy, version and reviewer.</w:t>
            </w:r>
          </w:p>
        </w:tc>
      </w:tr>
      <w:tr>
        <w:tc>
          <w:tcPr>
            <w:tcW w:type="dxa" w:w="2100"/>
            <w:vAlign w:val="center"/>
            <w:shd w:fill="F8F6F1"/>
          </w:tcPr>
          <w:p>
            <w:pPr>
              <w:spacing w:after="0" w:line="252" w:lineRule="auto"/>
            </w:pPr>
            <w:r>
              <w:rPr>
                <w:rFonts w:ascii="Aptos" w:hAnsi="Aptos"/>
                <w:b w:val="0"/>
                <w:i w:val="0"/>
                <w:color w:val="17213A"/>
                <w:sz w:val="16"/>
              </w:rPr>
              <w:t>Word meaning</w:t>
            </w:r>
          </w:p>
        </w:tc>
        <w:tc>
          <w:tcPr>
            <w:tcW w:type="dxa" w:w="7260"/>
            <w:vAlign w:val="center"/>
            <w:shd w:fill="F8F6F1"/>
          </w:tcPr>
          <w:p>
            <w:pPr>
              <w:spacing w:after="0" w:line="252" w:lineRule="auto"/>
            </w:pPr>
            <w:r>
              <w:rPr>
                <w:rFonts w:ascii="Aptos" w:hAnsi="Aptos"/>
                <w:b w:val="0"/>
                <w:i w:val="0"/>
                <w:color w:val="17213A"/>
                <w:sz w:val="16"/>
              </w:rPr>
              <w:t>Token alignment, grammar/semantic notes, language and reviewer.</w:t>
            </w:r>
          </w:p>
        </w:tc>
      </w:tr>
      <w:tr>
        <w:tc>
          <w:tcPr>
            <w:tcW w:type="dxa" w:w="2100"/>
            <w:vAlign w:val="center"/>
          </w:tcPr>
          <w:p>
            <w:pPr>
              <w:spacing w:after="0" w:line="252" w:lineRule="auto"/>
            </w:pPr>
            <w:r>
              <w:rPr>
                <w:rFonts w:ascii="Aptos" w:hAnsi="Aptos"/>
                <w:b w:val="0"/>
                <w:i w:val="0"/>
                <w:color w:val="17213A"/>
                <w:sz w:val="16"/>
              </w:rPr>
              <w:t>Translation</w:t>
            </w:r>
          </w:p>
        </w:tc>
        <w:tc>
          <w:tcPr>
            <w:tcW w:type="dxa" w:w="7260"/>
            <w:vAlign w:val="center"/>
          </w:tcPr>
          <w:p>
            <w:pPr>
              <w:spacing w:after="0" w:line="252" w:lineRule="auto"/>
            </w:pPr>
            <w:r>
              <w:rPr>
                <w:rFonts w:ascii="Aptos" w:hAnsi="Aptos"/>
                <w:b w:val="0"/>
                <w:i w:val="0"/>
                <w:color w:val="17213A"/>
                <w:sz w:val="16"/>
              </w:rPr>
              <w:t>Translator/guru/organisation, edition, copyright, territory, dates and licence.</w:t>
            </w:r>
          </w:p>
        </w:tc>
      </w:tr>
      <w:tr>
        <w:tc>
          <w:tcPr>
            <w:tcW w:type="dxa" w:w="2100"/>
            <w:vAlign w:val="center"/>
            <w:shd w:fill="F8F6F1"/>
          </w:tcPr>
          <w:p>
            <w:pPr>
              <w:spacing w:after="0" w:line="252" w:lineRule="auto"/>
            </w:pPr>
            <w:r>
              <w:rPr>
                <w:rFonts w:ascii="Aptos" w:hAnsi="Aptos"/>
                <w:b w:val="0"/>
                <w:i w:val="0"/>
                <w:color w:val="17213A"/>
                <w:sz w:val="16"/>
              </w:rPr>
              <w:t>Commentary</w:t>
            </w:r>
          </w:p>
        </w:tc>
        <w:tc>
          <w:tcPr>
            <w:tcW w:type="dxa" w:w="7260"/>
            <w:vAlign w:val="center"/>
            <w:shd w:fill="F8F6F1"/>
          </w:tcPr>
          <w:p>
            <w:pPr>
              <w:spacing w:after="0" w:line="252" w:lineRule="auto"/>
            </w:pPr>
            <w:r>
              <w:rPr>
                <w:rFonts w:ascii="Aptos" w:hAnsi="Aptos"/>
                <w:b w:val="0"/>
                <w:i w:val="0"/>
                <w:color w:val="17213A"/>
                <w:sz w:val="16"/>
              </w:rPr>
              <w:t>Author/teacher/lineage, source citation, abridgement status, rights and approval.</w:t>
            </w:r>
          </w:p>
        </w:tc>
      </w:tr>
      <w:tr>
        <w:tc>
          <w:tcPr>
            <w:tcW w:type="dxa" w:w="2100"/>
            <w:vAlign w:val="center"/>
          </w:tcPr>
          <w:p>
            <w:pPr>
              <w:spacing w:after="0" w:line="252" w:lineRule="auto"/>
            </w:pPr>
            <w:r>
              <w:rPr>
                <w:rFonts w:ascii="Aptos" w:hAnsi="Aptos"/>
                <w:b w:val="0"/>
                <w:i w:val="0"/>
                <w:color w:val="17213A"/>
                <w:sz w:val="16"/>
              </w:rPr>
              <w:t>Learning explanation</w:t>
            </w:r>
          </w:p>
        </w:tc>
        <w:tc>
          <w:tcPr>
            <w:tcW w:type="dxa" w:w="7260"/>
            <w:vAlign w:val="center"/>
          </w:tcPr>
          <w:p>
            <w:pPr>
              <w:spacing w:after="0" w:line="252" w:lineRule="auto"/>
            </w:pPr>
            <w:r>
              <w:rPr>
                <w:rFonts w:ascii="Aptos" w:hAnsi="Aptos"/>
                <w:b w:val="0"/>
                <w:i w:val="0"/>
                <w:color w:val="17213A"/>
                <w:sz w:val="16"/>
              </w:rPr>
              <w:t>Audience/age band, outcome alignment, author, reviewers and source links.</w:t>
            </w:r>
          </w:p>
        </w:tc>
      </w:tr>
      <w:tr>
        <w:tc>
          <w:tcPr>
            <w:tcW w:type="dxa" w:w="2100"/>
            <w:vAlign w:val="center"/>
            <w:shd w:fill="F8F6F1"/>
          </w:tcPr>
          <w:p>
            <w:pPr>
              <w:spacing w:after="0" w:line="252" w:lineRule="auto"/>
            </w:pPr>
            <w:r>
              <w:rPr>
                <w:rFonts w:ascii="Aptos" w:hAnsi="Aptos"/>
                <w:b w:val="0"/>
                <w:i w:val="0"/>
                <w:color w:val="17213A"/>
                <w:sz w:val="16"/>
              </w:rPr>
              <w:t>Media</w:t>
            </w:r>
          </w:p>
        </w:tc>
        <w:tc>
          <w:tcPr>
            <w:tcW w:type="dxa" w:w="7260"/>
            <w:vAlign w:val="center"/>
            <w:shd w:fill="F8F6F1"/>
          </w:tcPr>
          <w:p>
            <w:pPr>
              <w:spacing w:after="0" w:line="252" w:lineRule="auto"/>
            </w:pPr>
            <w:r>
              <w:rPr>
                <w:rFonts w:ascii="Aptos" w:hAnsi="Aptos"/>
                <w:b w:val="0"/>
                <w:i w:val="0"/>
                <w:color w:val="17213A"/>
                <w:sz w:val="16"/>
              </w:rPr>
              <w:t>Speaker, transcript/captions, rights, duration, language, accessibility and replacements.</w:t>
            </w:r>
          </w:p>
        </w:tc>
      </w:tr>
      <w:tr>
        <w:tc>
          <w:tcPr>
            <w:tcW w:type="dxa" w:w="2100"/>
            <w:vAlign w:val="center"/>
          </w:tcPr>
          <w:p>
            <w:pPr>
              <w:spacing w:after="0" w:line="252" w:lineRule="auto"/>
            </w:pPr>
            <w:r>
              <w:rPr>
                <w:rFonts w:ascii="Aptos" w:hAnsi="Aptos"/>
                <w:b w:val="0"/>
                <w:i w:val="0"/>
                <w:color w:val="17213A"/>
                <w:sz w:val="16"/>
              </w:rPr>
              <w:t>Assessment</w:t>
            </w:r>
          </w:p>
        </w:tc>
        <w:tc>
          <w:tcPr>
            <w:tcW w:type="dxa" w:w="7260"/>
            <w:vAlign w:val="center"/>
          </w:tcPr>
          <w:p>
            <w:pPr>
              <w:spacing w:after="0" w:line="252" w:lineRule="auto"/>
            </w:pPr>
            <w:r>
              <w:rPr>
                <w:rFonts w:ascii="Aptos" w:hAnsi="Aptos"/>
                <w:b w:val="0"/>
                <w:i w:val="0"/>
                <w:color w:val="17213A"/>
                <w:sz w:val="16"/>
              </w:rPr>
              <w:t>Outcome, edition, difficulty, answer rationale, validity review and exposure controls.</w:t>
            </w:r>
          </w:p>
        </w:tc>
      </w:tr>
    </w:tbl>
    <w:p>
      <w:pPr>
        <w:spacing w:after="20"/>
      </w:pPr>
    </w:p>
    <w:p>
      <w:pPr>
        <w:pStyle w:val="Heading2"/>
      </w:pPr>
      <w:r>
        <w:t>Content lifecycle</w:t>
      </w:r>
    </w:p>
    <w:p>
      <w:pPr>
        <w:pStyle w:val="ListBullet"/>
      </w:pPr>
      <w:r>
        <w:rPr>
          <w:rFonts w:ascii="Aptos" w:hAnsi="Aptos"/>
          <w:b w:val="0"/>
          <w:i w:val="0"/>
          <w:color w:val="17213A"/>
          <w:sz w:val="20"/>
        </w:rPr>
        <w:t>Draft → scholarly review → pedagogical review → language review → accessibility review → rights clearance → approval → scheduled publication → monitoring → superseded/retracted.</w:t>
      </w:r>
    </w:p>
    <w:p>
      <w:pPr>
        <w:pStyle w:val="ListBullet"/>
      </w:pPr>
      <w:r>
        <w:rPr>
          <w:rFonts w:ascii="Aptos" w:hAnsi="Aptos"/>
          <w:b w:val="0"/>
          <w:i w:val="0"/>
          <w:color w:val="17213A"/>
          <w:sz w:val="20"/>
        </w:rPr>
        <w:t>No single user should author, approve and publish high-trust content without an explicitly documented small-team exception.</w:t>
      </w:r>
    </w:p>
    <w:p>
      <w:pPr>
        <w:pStyle w:val="ListBullet"/>
      </w:pPr>
      <w:r>
        <w:rPr>
          <w:rFonts w:ascii="Aptos" w:hAnsi="Aptos"/>
          <w:b w:val="0"/>
          <w:i w:val="0"/>
          <w:color w:val="17213A"/>
          <w:sz w:val="20"/>
        </w:rPr>
        <w:t>Published versions are immutable. Corrections create a new version with release notes and affected-learning analysis.</w:t>
      </w:r>
    </w:p>
    <w:p>
      <w:pPr>
        <w:pStyle w:val="ListBullet"/>
      </w:pPr>
      <w:r>
        <w:rPr>
          <w:rFonts w:ascii="Aptos" w:hAnsi="Aptos"/>
          <w:b w:val="0"/>
          <w:i w:val="0"/>
          <w:color w:val="17213A"/>
          <w:sz w:val="20"/>
        </w:rPr>
        <w:t>Urgent retraction must remove access quickly while preserving the audit record and informing affected tenants.</w:t>
      </w:r>
    </w:p>
    <w:p>
      <w:pPr>
        <w:pStyle w:val="Heading2"/>
      </w:pPr>
      <w:r>
        <w:t>Rights and licensing ledger</w:t>
      </w:r>
    </w:p>
    <w:p>
      <w:pPr>
        <w:pStyle w:val="ListBullet"/>
      </w:pPr>
      <w:r>
        <w:rPr>
          <w:rFonts w:ascii="Aptos" w:hAnsi="Aptos"/>
          <w:b w:val="0"/>
          <w:i w:val="0"/>
          <w:color w:val="17213A"/>
          <w:sz w:val="20"/>
        </w:rPr>
        <w:t>Record owner, work, grant type, media, languages, territories, audience, distribution channels, offline rights, start/end dates, attribution, sublicensing and revocation obligations.</w:t>
      </w:r>
    </w:p>
    <w:p>
      <w:pPr>
        <w:pStyle w:val="ListBullet"/>
      </w:pPr>
      <w:r>
        <w:rPr>
          <w:rFonts w:ascii="Aptos" w:hAnsi="Aptos"/>
          <w:b w:val="0"/>
          <w:i w:val="0"/>
          <w:color w:val="17213A"/>
          <w:sz w:val="20"/>
        </w:rPr>
        <w:t>Publishing and download services must enforce rights; expiry alerts should reach content and legal owners well before lapse.</w:t>
      </w:r>
    </w:p>
    <w:p>
      <w:pPr>
        <w:pStyle w:val="Heading2"/>
      </w:pPr>
      <w:r>
        <w:t>Scholarly transparency in the interface</w:t>
      </w:r>
    </w:p>
    <w:p>
      <w:pPr>
        <w:pStyle w:val="ListBullet"/>
      </w:pPr>
      <w:r>
        <w:rPr>
          <w:rFonts w:ascii="Aptos" w:hAnsi="Aptos"/>
          <w:b w:val="0"/>
          <w:i w:val="0"/>
          <w:color w:val="17213A"/>
          <w:sz w:val="20"/>
        </w:rPr>
        <w:t>“About this edition” explains tradition, teacher/translator, editorial method and version in plain language.</w:t>
      </w:r>
    </w:p>
    <w:p>
      <w:pPr>
        <w:pStyle w:val="ListBullet"/>
      </w:pPr>
      <w:r>
        <w:rPr>
          <w:rFonts w:ascii="Aptos" w:hAnsi="Aptos"/>
          <w:b w:val="0"/>
          <w:i w:val="0"/>
          <w:color w:val="17213A"/>
          <w:sz w:val="20"/>
        </w:rPr>
        <w:t>Citations and source notes are available without interrupting the beginner experience.</w:t>
      </w:r>
    </w:p>
    <w:p>
      <w:pPr>
        <w:pStyle w:val="ListBullet"/>
      </w:pPr>
      <w:r>
        <w:rPr>
          <w:rFonts w:ascii="Aptos" w:hAnsi="Aptos"/>
          <w:b w:val="0"/>
          <w:i w:val="0"/>
          <w:color w:val="17213A"/>
          <w:sz w:val="20"/>
        </w:rPr>
        <w:t>Corrections and material changes are visible through an edition history.</w:t>
      </w:r>
    </w:p>
    <w:p>
      <w:pPr>
        <w:pStyle w:val="Heading2"/>
      </w:pPr>
      <w:r>
        <w:t>AI usage policy</w:t>
      </w:r>
    </w:p>
    <w:tbl>
      <w:tblPr>
        <w:tblW w:type="dxa" w:w="9360"/>
        <w:jc w:val="left"/>
        <w:tblLayout w:type="fixed"/>
        <w:tblLook w:firstColumn="1" w:firstRow="1" w:lastColumn="0" w:lastRow="0" w:noHBand="0" w:noVBand="1" w:val="04A0"/>
        <w:tblInd w:w="120" w:type="dxa"/>
        <w:tblBorders>
          <w:top w:val="single" w:sz="10" w:space="0" w:color="B68C3B"/>
          <w:left w:val="single" w:sz="10" w:space="0" w:color="B68C3B"/>
          <w:bottom w:val="single" w:sz="10" w:space="0" w:color="B68C3B"/>
          <w:right w:val="single" w:sz="10" w:space="0" w:color="B68C3B"/>
          <w:insideH w:val="single" w:sz="10" w:space="0" w:color="B68C3B"/>
          <w:insideV w:val="single" w:sz="10" w:space="0" w:color="B68C3B"/>
        </w:tblBorders>
      </w:tblPr>
      <w:tblGrid>
        <w:gridCol w:w="9360"/>
      </w:tblGrid>
      <w:tr>
        <w:trPr>
          <w:tblHeader/>
        </w:trPr>
        <w:tc>
          <w:tcPr>
            <w:tcW w:type="dxa" w:w="9360"/>
            <w:tcMar>
              <w:top w:w="100" w:type="dxa"/>
              <w:start w:w="120" w:type="dxa"/>
              <w:bottom w:w="100" w:type="dxa"/>
              <w:end w:w="120" w:type="dxa"/>
            </w:tcMar>
            <w:shd w:fill="FFF6E7"/>
            <w:vAlign w:val="center"/>
          </w:tcPr>
          <w:p>
            <w:pPr>
              <w:spacing w:after="0" w:line="269" w:lineRule="auto"/>
            </w:pPr>
            <w:r>
              <w:rPr>
                <w:rFonts w:ascii="Aptos" w:hAnsi="Aptos"/>
                <w:b/>
                <w:i w:val="0"/>
                <w:color w:val="B68C3B"/>
                <w:sz w:val="18"/>
              </w:rPr>
              <w:t xml:space="preserve">GUARDRAIL: </w:t>
            </w:r>
            <w:r>
              <w:rPr>
                <w:rFonts w:ascii="Aptos" w:hAnsi="Aptos"/>
                <w:b w:val="0"/>
                <w:i w:val="0"/>
                <w:color w:val="17213A"/>
                <w:sz w:val="20"/>
              </w:rPr>
              <w:t>Do not permit a general-purpose model to invent scripture text, translations, theological answers or assessment feedback. Any AI-assisted feature must retrieve from an approved tenant corpus, cite the source layer, disclose its nature, reject unsupported answers and support human escalation.</w:t>
            </w:r>
          </w:p>
        </w:tc>
      </w:tr>
    </w:tbl>
    <w:p>
      <w:pPr>
        <w:spacing w:after="40"/>
      </w:pPr>
    </w:p>
    <w:p>
      <w:pPr>
        <w:sectPr>
          <w:pgSz w:w="12240" w:h="15840"/>
          <w:pgMar w:top="1440" w:right="1440" w:bottom="1440" w:left="1440" w:header="708" w:footer="708" w:gutter="0"/>
          <w:cols w:space="720"/>
          <w:docGrid w:linePitch="360"/>
        </w:sectPr>
      </w:pPr>
    </w:p>
    <w:p>
      <w:pPr>
        <w:spacing w:after="100"/>
      </w:pPr>
      <w:r>
        <w:rPr>
          <w:rFonts w:ascii="Aptos" w:hAnsi="Aptos"/>
          <w:b/>
          <w:i w:val="0"/>
          <w:caps/>
          <w:color w:val="D9832E"/>
          <w:sz w:val="16"/>
        </w:rPr>
        <w:t>SECTION 12</w:t>
      </w:r>
    </w:p>
    <w:p>
      <w:pPr>
        <w:pStyle w:val="Heading1"/>
      </w:pPr>
      <w:r>
        <w:t>Functional requirements</w:t>
      </w:r>
    </w:p>
    <w:tbl>
      <w:tblPr>
        <w:tblW w:type="dxa" w:w="9360"/>
        <w:jc w:val="left"/>
        <w:tblLayout w:type="fixed"/>
        <w:tblLook w:firstColumn="1" w:firstRow="1" w:lastColumn="0" w:lastRow="0" w:noHBand="0" w:noVBand="1" w:val="04A0"/>
        <w:tblInd w:w="120" w:type="dxa"/>
        <w:tblBorders>
          <w:top w:val="single" w:sz="6" w:space="0" w:color="DDD3C1"/>
          <w:left w:val="single" w:sz="6" w:space="0" w:color="DDD3C1"/>
          <w:bottom w:val="single" w:sz="6" w:space="0" w:color="DDD3C1"/>
          <w:right w:val="single" w:sz="6" w:space="0" w:color="DDD3C1"/>
          <w:insideH w:val="single" w:sz="6" w:space="0" w:color="DDD3C1"/>
          <w:insideV w:val="single" w:sz="6" w:space="0" w:color="DDD3C1"/>
        </w:tblBorders>
      </w:tblPr>
      <w:tblGrid>
        <w:gridCol w:w="900"/>
        <w:gridCol w:w="7080"/>
        <w:gridCol w:w="1380"/>
      </w:tblGrid>
      <w:tr>
        <w:trPr>
          <w:tblHeader w:val="true"/>
        </w:trPr>
        <w:tc>
          <w:tcPr>
            <w:tcW w:type="dxa" w:w="900"/>
            <w:tcMar>
              <w:top w:w="100" w:type="dxa"/>
              <w:start w:w="120" w:type="dxa"/>
              <w:bottom w:w="100" w:type="dxa"/>
              <w:end w:w="120" w:type="dxa"/>
            </w:tcMar>
            <w:shd w:fill="18264F"/>
            <w:vAlign w:val="center"/>
          </w:tcPr>
          <w:p>
            <w:pPr>
              <w:spacing w:after="0"/>
            </w:pPr>
            <w:r>
              <w:rPr>
                <w:rFonts w:ascii="Aptos" w:hAnsi="Aptos"/>
                <w:b/>
                <w:i w:val="0"/>
                <w:color w:val="FFFFFF"/>
                <w:sz w:val="18"/>
              </w:rPr>
              <w:t>ID</w:t>
            </w:r>
          </w:p>
        </w:tc>
        <w:tc>
          <w:tcPr>
            <w:tcW w:type="dxa" w:w="7080"/>
            <w:tcMar>
              <w:top w:w="100" w:type="dxa"/>
              <w:start w:w="120" w:type="dxa"/>
              <w:bottom w:w="100" w:type="dxa"/>
              <w:end w:w="120" w:type="dxa"/>
            </w:tcMar>
            <w:shd w:fill="18264F"/>
            <w:vAlign w:val="center"/>
          </w:tcPr>
          <w:p>
            <w:pPr>
              <w:spacing w:after="0"/>
            </w:pPr>
            <w:r>
              <w:rPr>
                <w:rFonts w:ascii="Aptos" w:hAnsi="Aptos"/>
                <w:b/>
                <w:i w:val="0"/>
                <w:color w:val="FFFFFF"/>
                <w:sz w:val="18"/>
              </w:rPr>
              <w:t>Requirement</w:t>
            </w:r>
          </w:p>
        </w:tc>
        <w:tc>
          <w:tcPr>
            <w:tcW w:type="dxa" w:w="1380"/>
            <w:tcMar>
              <w:top w:w="100" w:type="dxa"/>
              <w:start w:w="120" w:type="dxa"/>
              <w:bottom w:w="100" w:type="dxa"/>
              <w:end w:w="120" w:type="dxa"/>
            </w:tcMar>
            <w:shd w:fill="18264F"/>
            <w:vAlign w:val="center"/>
          </w:tcPr>
          <w:p>
            <w:pPr>
              <w:spacing w:after="0"/>
            </w:pPr>
            <w:r>
              <w:rPr>
                <w:rFonts w:ascii="Aptos" w:hAnsi="Aptos"/>
                <w:b/>
                <w:i w:val="0"/>
                <w:color w:val="FFFFFF"/>
                <w:sz w:val="18"/>
              </w:rPr>
              <w:t>Priority</w:t>
            </w:r>
          </w:p>
        </w:tc>
      </w:tr>
      <w:tr>
        <w:tc>
          <w:tcPr>
            <w:tcW w:type="dxa" w:w="900"/>
            <w:vAlign w:val="center"/>
          </w:tcPr>
          <w:p>
            <w:pPr>
              <w:spacing w:after="0" w:line="252" w:lineRule="auto"/>
            </w:pPr>
            <w:r>
              <w:rPr>
                <w:rFonts w:ascii="Aptos" w:hAnsi="Aptos"/>
                <w:b w:val="0"/>
                <w:i w:val="0"/>
                <w:color w:val="17213A"/>
                <w:sz w:val="15"/>
              </w:rPr>
              <w:t>FR-01</w:t>
            </w:r>
          </w:p>
        </w:tc>
        <w:tc>
          <w:tcPr>
            <w:tcW w:type="dxa" w:w="7080"/>
            <w:vAlign w:val="center"/>
          </w:tcPr>
          <w:p>
            <w:pPr>
              <w:spacing w:after="0" w:line="252" w:lineRule="auto"/>
            </w:pPr>
            <w:r>
              <w:rPr>
                <w:rFonts w:ascii="Aptos" w:hAnsi="Aptos"/>
                <w:b w:val="0"/>
                <w:i w:val="0"/>
                <w:color w:val="17213A"/>
                <w:sz w:val="15"/>
              </w:rPr>
              <w:t>Resolve tenant, edition, programme, language and policy context on every session and deep link.</w:t>
            </w:r>
          </w:p>
        </w:tc>
        <w:tc>
          <w:tcPr>
            <w:tcW w:type="dxa" w:w="1380"/>
            <w:vAlign w:val="center"/>
          </w:tcPr>
          <w:p>
            <w:pPr>
              <w:spacing w:after="0" w:line="252" w:lineRule="auto"/>
            </w:pPr>
            <w:r>
              <w:rPr>
                <w:rFonts w:ascii="Aptos" w:hAnsi="Aptos"/>
                <w:b w:val="0"/>
                <w:i w:val="0"/>
                <w:color w:val="17213A"/>
                <w:sz w:val="15"/>
              </w:rPr>
              <w:t>Must</w:t>
            </w:r>
          </w:p>
        </w:tc>
      </w:tr>
      <w:tr>
        <w:tc>
          <w:tcPr>
            <w:tcW w:type="dxa" w:w="900"/>
            <w:vAlign w:val="center"/>
            <w:shd w:fill="F8F6F1"/>
          </w:tcPr>
          <w:p>
            <w:pPr>
              <w:spacing w:after="0" w:line="252" w:lineRule="auto"/>
            </w:pPr>
            <w:r>
              <w:rPr>
                <w:rFonts w:ascii="Aptos" w:hAnsi="Aptos"/>
                <w:b w:val="0"/>
                <w:i w:val="0"/>
                <w:color w:val="17213A"/>
                <w:sz w:val="15"/>
              </w:rPr>
              <w:t>FR-02</w:t>
            </w:r>
          </w:p>
        </w:tc>
        <w:tc>
          <w:tcPr>
            <w:tcW w:type="dxa" w:w="7080"/>
            <w:vAlign w:val="center"/>
            <w:shd w:fill="F8F6F1"/>
          </w:tcPr>
          <w:p>
            <w:pPr>
              <w:spacing w:after="0" w:line="252" w:lineRule="auto"/>
            </w:pPr>
            <w:r>
              <w:rPr>
                <w:rFonts w:ascii="Aptos" w:hAnsi="Aptos"/>
                <w:b w:val="0"/>
                <w:i w:val="0"/>
                <w:color w:val="17213A"/>
                <w:sz w:val="15"/>
              </w:rPr>
              <w:t>Support guest preview and account conversion without losing eligible local progress.</w:t>
            </w:r>
          </w:p>
        </w:tc>
        <w:tc>
          <w:tcPr>
            <w:tcW w:type="dxa" w:w="1380"/>
            <w:vAlign w:val="center"/>
            <w:shd w:fill="F8F6F1"/>
          </w:tcPr>
          <w:p>
            <w:pPr>
              <w:spacing w:after="0" w:line="252" w:lineRule="auto"/>
            </w:pPr>
            <w:r>
              <w:rPr>
                <w:rFonts w:ascii="Aptos" w:hAnsi="Aptos"/>
                <w:b w:val="0"/>
                <w:i w:val="0"/>
                <w:color w:val="17213A"/>
                <w:sz w:val="15"/>
              </w:rPr>
              <w:t>Must</w:t>
            </w:r>
          </w:p>
        </w:tc>
      </w:tr>
      <w:tr>
        <w:tc>
          <w:tcPr>
            <w:tcW w:type="dxa" w:w="900"/>
            <w:vAlign w:val="center"/>
          </w:tcPr>
          <w:p>
            <w:pPr>
              <w:spacing w:after="0" w:line="252" w:lineRule="auto"/>
            </w:pPr>
            <w:r>
              <w:rPr>
                <w:rFonts w:ascii="Aptos" w:hAnsi="Aptos"/>
                <w:b w:val="0"/>
                <w:i w:val="0"/>
                <w:color w:val="17213A"/>
                <w:sz w:val="15"/>
              </w:rPr>
              <w:t>FR-03</w:t>
            </w:r>
          </w:p>
        </w:tc>
        <w:tc>
          <w:tcPr>
            <w:tcW w:type="dxa" w:w="7080"/>
            <w:vAlign w:val="center"/>
          </w:tcPr>
          <w:p>
            <w:pPr>
              <w:spacing w:after="0" w:line="252" w:lineRule="auto"/>
            </w:pPr>
            <w:r>
              <w:rPr>
                <w:rFonts w:ascii="Aptos" w:hAnsi="Aptos"/>
                <w:b w:val="0"/>
                <w:i w:val="0"/>
                <w:color w:val="17213A"/>
                <w:sz w:val="15"/>
              </w:rPr>
              <w:t>Provide passwordless/email and federated sign-in; support tenant SSO and account linking policy.</w:t>
            </w:r>
          </w:p>
        </w:tc>
        <w:tc>
          <w:tcPr>
            <w:tcW w:type="dxa" w:w="1380"/>
            <w:vAlign w:val="center"/>
          </w:tcPr>
          <w:p>
            <w:pPr>
              <w:spacing w:after="0" w:line="252" w:lineRule="auto"/>
            </w:pPr>
            <w:r>
              <w:rPr>
                <w:rFonts w:ascii="Aptos" w:hAnsi="Aptos"/>
                <w:b w:val="0"/>
                <w:i w:val="0"/>
                <w:color w:val="17213A"/>
                <w:sz w:val="15"/>
              </w:rPr>
              <w:t>Must</w:t>
            </w:r>
          </w:p>
        </w:tc>
      </w:tr>
      <w:tr>
        <w:tc>
          <w:tcPr>
            <w:tcW w:type="dxa" w:w="900"/>
            <w:vAlign w:val="center"/>
            <w:shd w:fill="F8F6F1"/>
          </w:tcPr>
          <w:p>
            <w:pPr>
              <w:spacing w:after="0" w:line="252" w:lineRule="auto"/>
            </w:pPr>
            <w:r>
              <w:rPr>
                <w:rFonts w:ascii="Aptos" w:hAnsi="Aptos"/>
                <w:b w:val="0"/>
                <w:i w:val="0"/>
                <w:color w:val="17213A"/>
                <w:sz w:val="15"/>
              </w:rPr>
              <w:t>FR-04</w:t>
            </w:r>
          </w:p>
        </w:tc>
        <w:tc>
          <w:tcPr>
            <w:tcW w:type="dxa" w:w="7080"/>
            <w:vAlign w:val="center"/>
            <w:shd w:fill="F8F6F1"/>
          </w:tcPr>
          <w:p>
            <w:pPr>
              <w:spacing w:after="0" w:line="252" w:lineRule="auto"/>
            </w:pPr>
            <w:r>
              <w:rPr>
                <w:rFonts w:ascii="Aptos" w:hAnsi="Aptos"/>
                <w:b w:val="0"/>
                <w:i w:val="0"/>
                <w:color w:val="17213A"/>
                <w:sz w:val="15"/>
              </w:rPr>
              <w:t>Deliver readiness diagnostic and prerequisite bridge with explainable routing.</w:t>
            </w:r>
          </w:p>
        </w:tc>
        <w:tc>
          <w:tcPr>
            <w:tcW w:type="dxa" w:w="1380"/>
            <w:vAlign w:val="center"/>
            <w:shd w:fill="F8F6F1"/>
          </w:tcPr>
          <w:p>
            <w:pPr>
              <w:spacing w:after="0" w:line="252" w:lineRule="auto"/>
            </w:pPr>
            <w:r>
              <w:rPr>
                <w:rFonts w:ascii="Aptos" w:hAnsi="Aptos"/>
                <w:b w:val="0"/>
                <w:i w:val="0"/>
                <w:color w:val="17213A"/>
                <w:sz w:val="15"/>
              </w:rPr>
              <w:t>Must</w:t>
            </w:r>
          </w:p>
        </w:tc>
      </w:tr>
      <w:tr>
        <w:tc>
          <w:tcPr>
            <w:tcW w:type="dxa" w:w="900"/>
            <w:vAlign w:val="center"/>
          </w:tcPr>
          <w:p>
            <w:pPr>
              <w:spacing w:after="0" w:line="252" w:lineRule="auto"/>
            </w:pPr>
            <w:r>
              <w:rPr>
                <w:rFonts w:ascii="Aptos" w:hAnsi="Aptos"/>
                <w:b w:val="0"/>
                <w:i w:val="0"/>
                <w:color w:val="17213A"/>
                <w:sz w:val="15"/>
              </w:rPr>
              <w:t>FR-05</w:t>
            </w:r>
          </w:p>
        </w:tc>
        <w:tc>
          <w:tcPr>
            <w:tcW w:type="dxa" w:w="7080"/>
            <w:vAlign w:val="center"/>
          </w:tcPr>
          <w:p>
            <w:pPr>
              <w:spacing w:after="0" w:line="252" w:lineRule="auto"/>
            </w:pPr>
            <w:r>
              <w:rPr>
                <w:rFonts w:ascii="Aptos" w:hAnsi="Aptos"/>
                <w:b w:val="0"/>
                <w:i w:val="0"/>
                <w:color w:val="17213A"/>
                <w:sz w:val="15"/>
              </w:rPr>
              <w:t>Deliver all 18 chapters through reusable lesson/activity schemas.</w:t>
            </w:r>
          </w:p>
        </w:tc>
        <w:tc>
          <w:tcPr>
            <w:tcW w:type="dxa" w:w="1380"/>
            <w:vAlign w:val="center"/>
          </w:tcPr>
          <w:p>
            <w:pPr>
              <w:spacing w:after="0" w:line="252" w:lineRule="auto"/>
            </w:pPr>
            <w:r>
              <w:rPr>
                <w:rFonts w:ascii="Aptos" w:hAnsi="Aptos"/>
                <w:b w:val="0"/>
                <w:i w:val="0"/>
                <w:color w:val="17213A"/>
                <w:sz w:val="15"/>
              </w:rPr>
              <w:t>Must</w:t>
            </w:r>
          </w:p>
        </w:tc>
      </w:tr>
      <w:tr>
        <w:tc>
          <w:tcPr>
            <w:tcW w:type="dxa" w:w="900"/>
            <w:vAlign w:val="center"/>
            <w:shd w:fill="F8F6F1"/>
          </w:tcPr>
          <w:p>
            <w:pPr>
              <w:spacing w:after="0" w:line="252" w:lineRule="auto"/>
            </w:pPr>
            <w:r>
              <w:rPr>
                <w:rFonts w:ascii="Aptos" w:hAnsi="Aptos"/>
                <w:b w:val="0"/>
                <w:i w:val="0"/>
                <w:color w:val="17213A"/>
                <w:sz w:val="15"/>
              </w:rPr>
              <w:t>FR-06</w:t>
            </w:r>
          </w:p>
        </w:tc>
        <w:tc>
          <w:tcPr>
            <w:tcW w:type="dxa" w:w="7080"/>
            <w:vAlign w:val="center"/>
            <w:shd w:fill="F8F6F1"/>
          </w:tcPr>
          <w:p>
            <w:pPr>
              <w:spacing w:after="0" w:line="252" w:lineRule="auto"/>
            </w:pPr>
            <w:r>
              <w:rPr>
                <w:rFonts w:ascii="Aptos" w:hAnsi="Aptos"/>
                <w:b w:val="0"/>
                <w:i w:val="0"/>
                <w:color w:val="17213A"/>
                <w:sz w:val="15"/>
              </w:rPr>
              <w:t>Display scripture, transliteration, word meaning, translation, commentary and explanation as distinct layers.</w:t>
            </w:r>
          </w:p>
        </w:tc>
        <w:tc>
          <w:tcPr>
            <w:tcW w:type="dxa" w:w="1380"/>
            <w:vAlign w:val="center"/>
            <w:shd w:fill="F8F6F1"/>
          </w:tcPr>
          <w:p>
            <w:pPr>
              <w:spacing w:after="0" w:line="252" w:lineRule="auto"/>
            </w:pPr>
            <w:r>
              <w:rPr>
                <w:rFonts w:ascii="Aptos" w:hAnsi="Aptos"/>
                <w:b w:val="0"/>
                <w:i w:val="0"/>
                <w:color w:val="17213A"/>
                <w:sz w:val="15"/>
              </w:rPr>
              <w:t>Must</w:t>
            </w:r>
          </w:p>
        </w:tc>
      </w:tr>
      <w:tr>
        <w:tc>
          <w:tcPr>
            <w:tcW w:type="dxa" w:w="900"/>
            <w:vAlign w:val="center"/>
          </w:tcPr>
          <w:p>
            <w:pPr>
              <w:spacing w:after="0" w:line="252" w:lineRule="auto"/>
            </w:pPr>
            <w:r>
              <w:rPr>
                <w:rFonts w:ascii="Aptos" w:hAnsi="Aptos"/>
                <w:b w:val="0"/>
                <w:i w:val="0"/>
                <w:color w:val="17213A"/>
                <w:sz w:val="15"/>
              </w:rPr>
              <w:t>FR-07</w:t>
            </w:r>
          </w:p>
        </w:tc>
        <w:tc>
          <w:tcPr>
            <w:tcW w:type="dxa" w:w="7080"/>
            <w:vAlign w:val="center"/>
          </w:tcPr>
          <w:p>
            <w:pPr>
              <w:spacing w:after="0" w:line="252" w:lineRule="auto"/>
            </w:pPr>
            <w:r>
              <w:rPr>
                <w:rFonts w:ascii="Aptos" w:hAnsi="Aptos"/>
                <w:b w:val="0"/>
                <w:i w:val="0"/>
                <w:color w:val="17213A"/>
                <w:sz w:val="15"/>
              </w:rPr>
              <w:t>Stream video/audio with captions, transcripts, speed, quality and resume; provide authorised downloads.</w:t>
            </w:r>
          </w:p>
        </w:tc>
        <w:tc>
          <w:tcPr>
            <w:tcW w:type="dxa" w:w="1380"/>
            <w:vAlign w:val="center"/>
          </w:tcPr>
          <w:p>
            <w:pPr>
              <w:spacing w:after="0" w:line="252" w:lineRule="auto"/>
            </w:pPr>
            <w:r>
              <w:rPr>
                <w:rFonts w:ascii="Aptos" w:hAnsi="Aptos"/>
                <w:b w:val="0"/>
                <w:i w:val="0"/>
                <w:color w:val="17213A"/>
                <w:sz w:val="15"/>
              </w:rPr>
              <w:t>Must</w:t>
            </w:r>
          </w:p>
        </w:tc>
      </w:tr>
      <w:tr>
        <w:tc>
          <w:tcPr>
            <w:tcW w:type="dxa" w:w="900"/>
            <w:vAlign w:val="center"/>
            <w:shd w:fill="F8F6F1"/>
          </w:tcPr>
          <w:p>
            <w:pPr>
              <w:spacing w:after="0" w:line="252" w:lineRule="auto"/>
            </w:pPr>
            <w:r>
              <w:rPr>
                <w:rFonts w:ascii="Aptos" w:hAnsi="Aptos"/>
                <w:b w:val="0"/>
                <w:i w:val="0"/>
                <w:color w:val="17213A"/>
                <w:sz w:val="15"/>
              </w:rPr>
              <w:t>FR-08</w:t>
            </w:r>
          </w:p>
        </w:tc>
        <w:tc>
          <w:tcPr>
            <w:tcW w:type="dxa" w:w="7080"/>
            <w:vAlign w:val="center"/>
            <w:shd w:fill="F8F6F1"/>
          </w:tcPr>
          <w:p>
            <w:pPr>
              <w:spacing w:after="0" w:line="252" w:lineRule="auto"/>
            </w:pPr>
            <w:r>
              <w:rPr>
                <w:rFonts w:ascii="Aptos" w:hAnsi="Aptos"/>
                <w:b w:val="0"/>
                <w:i w:val="0"/>
                <w:color w:val="17213A"/>
                <w:sz w:val="15"/>
              </w:rPr>
              <w:t>Sync progress, notes, bookmarks, preferences and offline activity with conflict handling.</w:t>
            </w:r>
          </w:p>
        </w:tc>
        <w:tc>
          <w:tcPr>
            <w:tcW w:type="dxa" w:w="1380"/>
            <w:vAlign w:val="center"/>
            <w:shd w:fill="F8F6F1"/>
          </w:tcPr>
          <w:p>
            <w:pPr>
              <w:spacing w:after="0" w:line="252" w:lineRule="auto"/>
            </w:pPr>
            <w:r>
              <w:rPr>
                <w:rFonts w:ascii="Aptos" w:hAnsi="Aptos"/>
                <w:b w:val="0"/>
                <w:i w:val="0"/>
                <w:color w:val="17213A"/>
                <w:sz w:val="15"/>
              </w:rPr>
              <w:t>Must</w:t>
            </w:r>
          </w:p>
        </w:tc>
      </w:tr>
      <w:tr>
        <w:tc>
          <w:tcPr>
            <w:tcW w:type="dxa" w:w="900"/>
            <w:vAlign w:val="center"/>
          </w:tcPr>
          <w:p>
            <w:pPr>
              <w:spacing w:after="0" w:line="252" w:lineRule="auto"/>
            </w:pPr>
            <w:r>
              <w:rPr>
                <w:rFonts w:ascii="Aptos" w:hAnsi="Aptos"/>
                <w:b w:val="0"/>
                <w:i w:val="0"/>
                <w:color w:val="17213A"/>
                <w:sz w:val="15"/>
              </w:rPr>
              <w:t>FR-09</w:t>
            </w:r>
          </w:p>
        </w:tc>
        <w:tc>
          <w:tcPr>
            <w:tcW w:type="dxa" w:w="7080"/>
            <w:vAlign w:val="center"/>
          </w:tcPr>
          <w:p>
            <w:pPr>
              <w:spacing w:after="0" w:line="252" w:lineRule="auto"/>
            </w:pPr>
            <w:r>
              <w:rPr>
                <w:rFonts w:ascii="Aptos" w:hAnsi="Aptos"/>
                <w:b w:val="0"/>
                <w:i w:val="0"/>
                <w:color w:val="17213A"/>
                <w:sz w:val="15"/>
              </w:rPr>
              <w:t>Run formative/summative assessment with versioned banks, attempt rules and targeted remediation.</w:t>
            </w:r>
          </w:p>
        </w:tc>
        <w:tc>
          <w:tcPr>
            <w:tcW w:type="dxa" w:w="1380"/>
            <w:vAlign w:val="center"/>
          </w:tcPr>
          <w:p>
            <w:pPr>
              <w:spacing w:after="0" w:line="252" w:lineRule="auto"/>
            </w:pPr>
            <w:r>
              <w:rPr>
                <w:rFonts w:ascii="Aptos" w:hAnsi="Aptos"/>
                <w:b w:val="0"/>
                <w:i w:val="0"/>
                <w:color w:val="17213A"/>
                <w:sz w:val="15"/>
              </w:rPr>
              <w:t>Must</w:t>
            </w:r>
          </w:p>
        </w:tc>
      </w:tr>
      <w:tr>
        <w:tc>
          <w:tcPr>
            <w:tcW w:type="dxa" w:w="900"/>
            <w:vAlign w:val="center"/>
            <w:shd w:fill="F8F6F1"/>
          </w:tcPr>
          <w:p>
            <w:pPr>
              <w:spacing w:after="0" w:line="252" w:lineRule="auto"/>
            </w:pPr>
            <w:r>
              <w:rPr>
                <w:rFonts w:ascii="Aptos" w:hAnsi="Aptos"/>
                <w:b w:val="0"/>
                <w:i w:val="0"/>
                <w:color w:val="17213A"/>
                <w:sz w:val="15"/>
              </w:rPr>
              <w:t>FR-10</w:t>
            </w:r>
          </w:p>
        </w:tc>
        <w:tc>
          <w:tcPr>
            <w:tcW w:type="dxa" w:w="7080"/>
            <w:vAlign w:val="center"/>
            <w:shd w:fill="F8F6F1"/>
          </w:tcPr>
          <w:p>
            <w:pPr>
              <w:spacing w:after="0" w:line="252" w:lineRule="auto"/>
            </w:pPr>
            <w:r>
              <w:rPr>
                <w:rFonts w:ascii="Aptos" w:hAnsi="Aptos"/>
                <w:b w:val="0"/>
                <w:i w:val="0"/>
                <w:color w:val="17213A"/>
                <w:sz w:val="15"/>
              </w:rPr>
              <w:t>Issue verifiable, revocable completion certificates.</w:t>
            </w:r>
          </w:p>
        </w:tc>
        <w:tc>
          <w:tcPr>
            <w:tcW w:type="dxa" w:w="1380"/>
            <w:vAlign w:val="center"/>
            <w:shd w:fill="F8F6F1"/>
          </w:tcPr>
          <w:p>
            <w:pPr>
              <w:spacing w:after="0" w:line="252" w:lineRule="auto"/>
            </w:pPr>
            <w:r>
              <w:rPr>
                <w:rFonts w:ascii="Aptos" w:hAnsi="Aptos"/>
                <w:b w:val="0"/>
                <w:i w:val="0"/>
                <w:color w:val="17213A"/>
                <w:sz w:val="15"/>
              </w:rPr>
              <w:t>Must</w:t>
            </w:r>
          </w:p>
        </w:tc>
      </w:tr>
      <w:tr>
        <w:tc>
          <w:tcPr>
            <w:tcW w:type="dxa" w:w="900"/>
            <w:vAlign w:val="center"/>
          </w:tcPr>
          <w:p>
            <w:pPr>
              <w:spacing w:after="0" w:line="252" w:lineRule="auto"/>
            </w:pPr>
            <w:r>
              <w:rPr>
                <w:rFonts w:ascii="Aptos" w:hAnsi="Aptos"/>
                <w:b w:val="0"/>
                <w:i w:val="0"/>
                <w:color w:val="17213A"/>
                <w:sz w:val="15"/>
              </w:rPr>
              <w:t>FR-11</w:t>
            </w:r>
          </w:p>
        </w:tc>
        <w:tc>
          <w:tcPr>
            <w:tcW w:type="dxa" w:w="7080"/>
            <w:vAlign w:val="center"/>
          </w:tcPr>
          <w:p>
            <w:pPr>
              <w:spacing w:after="0" w:line="252" w:lineRule="auto"/>
            </w:pPr>
            <w:r>
              <w:rPr>
                <w:rFonts w:ascii="Aptos" w:hAnsi="Aptos"/>
                <w:b w:val="0"/>
                <w:i w:val="0"/>
                <w:color w:val="17213A"/>
                <w:sz w:val="15"/>
              </w:rPr>
              <w:t>Provide learner dashboard, revision plan, search and notifications/preferences.</w:t>
            </w:r>
          </w:p>
        </w:tc>
        <w:tc>
          <w:tcPr>
            <w:tcW w:type="dxa" w:w="1380"/>
            <w:vAlign w:val="center"/>
          </w:tcPr>
          <w:p>
            <w:pPr>
              <w:spacing w:after="0" w:line="252" w:lineRule="auto"/>
            </w:pPr>
            <w:r>
              <w:rPr>
                <w:rFonts w:ascii="Aptos" w:hAnsi="Aptos"/>
                <w:b w:val="0"/>
                <w:i w:val="0"/>
                <w:color w:val="17213A"/>
                <w:sz w:val="15"/>
              </w:rPr>
              <w:t>Must</w:t>
            </w:r>
          </w:p>
        </w:tc>
      </w:tr>
      <w:tr>
        <w:tc>
          <w:tcPr>
            <w:tcW w:type="dxa" w:w="900"/>
            <w:vAlign w:val="center"/>
            <w:shd w:fill="F8F6F1"/>
          </w:tcPr>
          <w:p>
            <w:pPr>
              <w:spacing w:after="0" w:line="252" w:lineRule="auto"/>
            </w:pPr>
            <w:r>
              <w:rPr>
                <w:rFonts w:ascii="Aptos" w:hAnsi="Aptos"/>
                <w:b w:val="0"/>
                <w:i w:val="0"/>
                <w:color w:val="17213A"/>
                <w:sz w:val="15"/>
              </w:rPr>
              <w:t>FR-12</w:t>
            </w:r>
          </w:p>
        </w:tc>
        <w:tc>
          <w:tcPr>
            <w:tcW w:type="dxa" w:w="7080"/>
            <w:vAlign w:val="center"/>
            <w:shd w:fill="F8F6F1"/>
          </w:tcPr>
          <w:p>
            <w:pPr>
              <w:spacing w:after="0" w:line="252" w:lineRule="auto"/>
            </w:pPr>
            <w:r>
              <w:rPr>
                <w:rFonts w:ascii="Aptos" w:hAnsi="Aptos"/>
                <w:b w:val="0"/>
                <w:i w:val="0"/>
                <w:color w:val="17213A"/>
                <w:sz w:val="15"/>
              </w:rPr>
              <w:t>Provide Content Studio with structured authoring, preview, review, approvals and publishing.</w:t>
            </w:r>
          </w:p>
        </w:tc>
        <w:tc>
          <w:tcPr>
            <w:tcW w:type="dxa" w:w="1380"/>
            <w:vAlign w:val="center"/>
            <w:shd w:fill="F8F6F1"/>
          </w:tcPr>
          <w:p>
            <w:pPr>
              <w:spacing w:after="0" w:line="252" w:lineRule="auto"/>
            </w:pPr>
            <w:r>
              <w:rPr>
                <w:rFonts w:ascii="Aptos" w:hAnsi="Aptos"/>
                <w:b w:val="0"/>
                <w:i w:val="0"/>
                <w:color w:val="17213A"/>
                <w:sz w:val="15"/>
              </w:rPr>
              <w:t>Must</w:t>
            </w:r>
          </w:p>
        </w:tc>
      </w:tr>
      <w:tr>
        <w:tc>
          <w:tcPr>
            <w:tcW w:type="dxa" w:w="900"/>
            <w:vAlign w:val="center"/>
          </w:tcPr>
          <w:p>
            <w:pPr>
              <w:spacing w:after="0" w:line="252" w:lineRule="auto"/>
            </w:pPr>
            <w:r>
              <w:rPr>
                <w:rFonts w:ascii="Aptos" w:hAnsi="Aptos"/>
                <w:b w:val="0"/>
                <w:i w:val="0"/>
                <w:color w:val="17213A"/>
                <w:sz w:val="15"/>
              </w:rPr>
              <w:t>FR-13</w:t>
            </w:r>
          </w:p>
        </w:tc>
        <w:tc>
          <w:tcPr>
            <w:tcW w:type="dxa" w:w="7080"/>
            <w:vAlign w:val="center"/>
          </w:tcPr>
          <w:p>
            <w:pPr>
              <w:spacing w:after="0" w:line="252" w:lineRule="auto"/>
            </w:pPr>
            <w:r>
              <w:rPr>
                <w:rFonts w:ascii="Aptos" w:hAnsi="Aptos"/>
                <w:b w:val="0"/>
                <w:i w:val="0"/>
                <w:color w:val="17213A"/>
                <w:sz w:val="15"/>
              </w:rPr>
              <w:t>Provide tenant admin for branding, roles, policies, programmes, certificates and integrations.</w:t>
            </w:r>
          </w:p>
        </w:tc>
        <w:tc>
          <w:tcPr>
            <w:tcW w:type="dxa" w:w="1380"/>
            <w:vAlign w:val="center"/>
          </w:tcPr>
          <w:p>
            <w:pPr>
              <w:spacing w:after="0" w:line="252" w:lineRule="auto"/>
            </w:pPr>
            <w:r>
              <w:rPr>
                <w:rFonts w:ascii="Aptos" w:hAnsi="Aptos"/>
                <w:b w:val="0"/>
                <w:i w:val="0"/>
                <w:color w:val="17213A"/>
                <w:sz w:val="15"/>
              </w:rPr>
              <w:t>Must</w:t>
            </w:r>
          </w:p>
        </w:tc>
      </w:tr>
      <w:tr>
        <w:tc>
          <w:tcPr>
            <w:tcW w:type="dxa" w:w="900"/>
            <w:vAlign w:val="center"/>
            <w:shd w:fill="F8F6F1"/>
          </w:tcPr>
          <w:p>
            <w:pPr>
              <w:spacing w:after="0" w:line="252" w:lineRule="auto"/>
            </w:pPr>
            <w:r>
              <w:rPr>
                <w:rFonts w:ascii="Aptos" w:hAnsi="Aptos"/>
                <w:b w:val="0"/>
                <w:i w:val="0"/>
                <w:color w:val="17213A"/>
                <w:sz w:val="15"/>
              </w:rPr>
              <w:t>FR-14</w:t>
            </w:r>
          </w:p>
        </w:tc>
        <w:tc>
          <w:tcPr>
            <w:tcW w:type="dxa" w:w="7080"/>
            <w:vAlign w:val="center"/>
            <w:shd w:fill="F8F6F1"/>
          </w:tcPr>
          <w:p>
            <w:pPr>
              <w:spacing w:after="0" w:line="252" w:lineRule="auto"/>
            </w:pPr>
            <w:r>
              <w:rPr>
                <w:rFonts w:ascii="Aptos" w:hAnsi="Aptos"/>
                <w:b w:val="0"/>
                <w:i w:val="0"/>
                <w:color w:val="17213A"/>
                <w:sz w:val="15"/>
              </w:rPr>
              <w:t>Provide teacher cohorts, assignments, outcome reporting and feedback.</w:t>
            </w:r>
          </w:p>
        </w:tc>
        <w:tc>
          <w:tcPr>
            <w:tcW w:type="dxa" w:w="1380"/>
            <w:vAlign w:val="center"/>
            <w:shd w:fill="F8F6F1"/>
          </w:tcPr>
          <w:p>
            <w:pPr>
              <w:spacing w:after="0" w:line="252" w:lineRule="auto"/>
            </w:pPr>
            <w:r>
              <w:rPr>
                <w:rFonts w:ascii="Aptos" w:hAnsi="Aptos"/>
                <w:b w:val="0"/>
                <w:i w:val="0"/>
                <w:color w:val="17213A"/>
                <w:sz w:val="15"/>
              </w:rPr>
              <w:t>Should for school pilot</w:t>
            </w:r>
          </w:p>
        </w:tc>
      </w:tr>
      <w:tr>
        <w:tc>
          <w:tcPr>
            <w:tcW w:type="dxa" w:w="900"/>
            <w:vAlign w:val="center"/>
          </w:tcPr>
          <w:p>
            <w:pPr>
              <w:spacing w:after="0" w:line="252" w:lineRule="auto"/>
            </w:pPr>
            <w:r>
              <w:rPr>
                <w:rFonts w:ascii="Aptos" w:hAnsi="Aptos"/>
                <w:b w:val="0"/>
                <w:i w:val="0"/>
                <w:color w:val="17213A"/>
                <w:sz w:val="15"/>
              </w:rPr>
              <w:t>FR-15</w:t>
            </w:r>
          </w:p>
        </w:tc>
        <w:tc>
          <w:tcPr>
            <w:tcW w:type="dxa" w:w="7080"/>
            <w:vAlign w:val="center"/>
          </w:tcPr>
          <w:p>
            <w:pPr>
              <w:spacing w:after="0" w:line="252" w:lineRule="auto"/>
            </w:pPr>
            <w:r>
              <w:rPr>
                <w:rFonts w:ascii="Aptos" w:hAnsi="Aptos"/>
                <w:b w:val="0"/>
                <w:i w:val="0"/>
                <w:color w:val="17213A"/>
                <w:sz w:val="15"/>
              </w:rPr>
              <w:t>Support guardian consent and linked minor accounts by jurisdiction/policy.</w:t>
            </w:r>
          </w:p>
        </w:tc>
        <w:tc>
          <w:tcPr>
            <w:tcW w:type="dxa" w:w="1380"/>
            <w:vAlign w:val="center"/>
          </w:tcPr>
          <w:p>
            <w:pPr>
              <w:spacing w:after="0" w:line="252" w:lineRule="auto"/>
            </w:pPr>
            <w:r>
              <w:rPr>
                <w:rFonts w:ascii="Aptos" w:hAnsi="Aptos"/>
                <w:b w:val="0"/>
                <w:i w:val="0"/>
                <w:color w:val="17213A"/>
                <w:sz w:val="15"/>
              </w:rPr>
              <w:t>Should for school pilot</w:t>
            </w:r>
          </w:p>
        </w:tc>
      </w:tr>
      <w:tr>
        <w:tc>
          <w:tcPr>
            <w:tcW w:type="dxa" w:w="900"/>
            <w:vAlign w:val="center"/>
            <w:shd w:fill="F8F6F1"/>
          </w:tcPr>
          <w:p>
            <w:pPr>
              <w:spacing w:after="0" w:line="252" w:lineRule="auto"/>
            </w:pPr>
            <w:r>
              <w:rPr>
                <w:rFonts w:ascii="Aptos" w:hAnsi="Aptos"/>
                <w:b w:val="0"/>
                <w:i w:val="0"/>
                <w:color w:val="17213A"/>
                <w:sz w:val="15"/>
              </w:rPr>
              <w:t>FR-16</w:t>
            </w:r>
          </w:p>
        </w:tc>
        <w:tc>
          <w:tcPr>
            <w:tcW w:type="dxa" w:w="7080"/>
            <w:vAlign w:val="center"/>
            <w:shd w:fill="F8F6F1"/>
          </w:tcPr>
          <w:p>
            <w:pPr>
              <w:spacing w:after="0" w:line="252" w:lineRule="auto"/>
            </w:pPr>
            <w:r>
              <w:rPr>
                <w:rFonts w:ascii="Aptos" w:hAnsi="Aptos"/>
                <w:b w:val="0"/>
                <w:i w:val="0"/>
                <w:color w:val="17213A"/>
                <w:sz w:val="15"/>
              </w:rPr>
              <w:t>Integrate with LMS through LTI 1.3/LTI Advantage and optionally SIS roster interfaces.</w:t>
            </w:r>
          </w:p>
        </w:tc>
        <w:tc>
          <w:tcPr>
            <w:tcW w:type="dxa" w:w="1380"/>
            <w:vAlign w:val="center"/>
            <w:shd w:fill="F8F6F1"/>
          </w:tcPr>
          <w:p>
            <w:pPr>
              <w:spacing w:after="0" w:line="252" w:lineRule="auto"/>
            </w:pPr>
            <w:r>
              <w:rPr>
                <w:rFonts w:ascii="Aptos" w:hAnsi="Aptos"/>
                <w:b w:val="0"/>
                <w:i w:val="0"/>
                <w:color w:val="17213A"/>
                <w:sz w:val="15"/>
              </w:rPr>
              <w:t>Should</w:t>
            </w:r>
          </w:p>
        </w:tc>
      </w:tr>
      <w:tr>
        <w:tc>
          <w:tcPr>
            <w:tcW w:type="dxa" w:w="900"/>
            <w:vAlign w:val="center"/>
          </w:tcPr>
          <w:p>
            <w:pPr>
              <w:spacing w:after="0" w:line="252" w:lineRule="auto"/>
            </w:pPr>
            <w:r>
              <w:rPr>
                <w:rFonts w:ascii="Aptos" w:hAnsi="Aptos"/>
                <w:b w:val="0"/>
                <w:i w:val="0"/>
                <w:color w:val="17213A"/>
                <w:sz w:val="15"/>
              </w:rPr>
              <w:t>FR-17</w:t>
            </w:r>
          </w:p>
        </w:tc>
        <w:tc>
          <w:tcPr>
            <w:tcW w:type="dxa" w:w="7080"/>
            <w:vAlign w:val="center"/>
          </w:tcPr>
          <w:p>
            <w:pPr>
              <w:spacing w:after="0" w:line="252" w:lineRule="auto"/>
            </w:pPr>
            <w:r>
              <w:rPr>
                <w:rFonts w:ascii="Aptos" w:hAnsi="Aptos"/>
                <w:b w:val="0"/>
                <w:i w:val="0"/>
                <w:color w:val="17213A"/>
                <w:sz w:val="15"/>
              </w:rPr>
              <w:t>Support multiple languages, scripts, audio tracks and tenant terminology.</w:t>
            </w:r>
          </w:p>
        </w:tc>
        <w:tc>
          <w:tcPr>
            <w:tcW w:type="dxa" w:w="1380"/>
            <w:vAlign w:val="center"/>
          </w:tcPr>
          <w:p>
            <w:pPr>
              <w:spacing w:after="0" w:line="252" w:lineRule="auto"/>
            </w:pPr>
            <w:r>
              <w:rPr>
                <w:rFonts w:ascii="Aptos" w:hAnsi="Aptos"/>
                <w:b w:val="0"/>
                <w:i w:val="0"/>
                <w:color w:val="17213A"/>
                <w:sz w:val="15"/>
              </w:rPr>
              <w:t>Must</w:t>
            </w:r>
          </w:p>
        </w:tc>
      </w:tr>
      <w:tr>
        <w:tc>
          <w:tcPr>
            <w:tcW w:type="dxa" w:w="900"/>
            <w:vAlign w:val="center"/>
            <w:shd w:fill="F8F6F1"/>
          </w:tcPr>
          <w:p>
            <w:pPr>
              <w:spacing w:after="0" w:line="252" w:lineRule="auto"/>
            </w:pPr>
            <w:r>
              <w:rPr>
                <w:rFonts w:ascii="Aptos" w:hAnsi="Aptos"/>
                <w:b w:val="0"/>
                <w:i w:val="0"/>
                <w:color w:val="17213A"/>
                <w:sz w:val="15"/>
              </w:rPr>
              <w:t>FR-18</w:t>
            </w:r>
          </w:p>
        </w:tc>
        <w:tc>
          <w:tcPr>
            <w:tcW w:type="dxa" w:w="7080"/>
            <w:vAlign w:val="center"/>
            <w:shd w:fill="F8F6F1"/>
          </w:tcPr>
          <w:p>
            <w:pPr>
              <w:spacing w:after="0" w:line="252" w:lineRule="auto"/>
            </w:pPr>
            <w:r>
              <w:rPr>
                <w:rFonts w:ascii="Aptos" w:hAnsi="Aptos"/>
                <w:b w:val="0"/>
                <w:i w:val="0"/>
                <w:color w:val="17213A"/>
                <w:sz w:val="15"/>
              </w:rPr>
              <w:t>Provide support, issue reporting, moderation controls and audit trails.</w:t>
            </w:r>
          </w:p>
        </w:tc>
        <w:tc>
          <w:tcPr>
            <w:tcW w:type="dxa" w:w="1380"/>
            <w:vAlign w:val="center"/>
            <w:shd w:fill="F8F6F1"/>
          </w:tcPr>
          <w:p>
            <w:pPr>
              <w:spacing w:after="0" w:line="252" w:lineRule="auto"/>
            </w:pPr>
            <w:r>
              <w:rPr>
                <w:rFonts w:ascii="Aptos" w:hAnsi="Aptos"/>
                <w:b w:val="0"/>
                <w:i w:val="0"/>
                <w:color w:val="17213A"/>
                <w:sz w:val="15"/>
              </w:rPr>
              <w:t>Must</w:t>
            </w:r>
          </w:p>
        </w:tc>
      </w:tr>
      <w:tr>
        <w:tc>
          <w:tcPr>
            <w:tcW w:type="dxa" w:w="900"/>
            <w:vAlign w:val="center"/>
          </w:tcPr>
          <w:p>
            <w:pPr>
              <w:spacing w:after="0" w:line="252" w:lineRule="auto"/>
            </w:pPr>
            <w:r>
              <w:rPr>
                <w:rFonts w:ascii="Aptos" w:hAnsi="Aptos"/>
                <w:b w:val="0"/>
                <w:i w:val="0"/>
                <w:color w:val="17213A"/>
                <w:sz w:val="15"/>
              </w:rPr>
              <w:t>FR-19</w:t>
            </w:r>
          </w:p>
        </w:tc>
        <w:tc>
          <w:tcPr>
            <w:tcW w:type="dxa" w:w="7080"/>
            <w:vAlign w:val="center"/>
          </w:tcPr>
          <w:p>
            <w:pPr>
              <w:spacing w:after="0" w:line="252" w:lineRule="auto"/>
            </w:pPr>
            <w:r>
              <w:rPr>
                <w:rFonts w:ascii="Aptos" w:hAnsi="Aptos"/>
                <w:b w:val="0"/>
                <w:i w:val="0"/>
                <w:color w:val="17213A"/>
                <w:sz w:val="15"/>
              </w:rPr>
              <w:t>Export tenant content/configuration and permitted learner/report data in documented formats.</w:t>
            </w:r>
          </w:p>
        </w:tc>
        <w:tc>
          <w:tcPr>
            <w:tcW w:type="dxa" w:w="1380"/>
            <w:vAlign w:val="center"/>
          </w:tcPr>
          <w:p>
            <w:pPr>
              <w:spacing w:after="0" w:line="252" w:lineRule="auto"/>
            </w:pPr>
            <w:r>
              <w:rPr>
                <w:rFonts w:ascii="Aptos" w:hAnsi="Aptos"/>
                <w:b w:val="0"/>
                <w:i w:val="0"/>
                <w:color w:val="17213A"/>
                <w:sz w:val="15"/>
              </w:rPr>
              <w:t>Must</w:t>
            </w:r>
          </w:p>
        </w:tc>
      </w:tr>
      <w:tr>
        <w:tc>
          <w:tcPr>
            <w:tcW w:type="dxa" w:w="900"/>
            <w:vAlign w:val="center"/>
            <w:shd w:fill="F8F6F1"/>
          </w:tcPr>
          <w:p>
            <w:pPr>
              <w:spacing w:after="0" w:line="252" w:lineRule="auto"/>
            </w:pPr>
            <w:r>
              <w:rPr>
                <w:rFonts w:ascii="Aptos" w:hAnsi="Aptos"/>
                <w:b w:val="0"/>
                <w:i w:val="0"/>
                <w:color w:val="17213A"/>
                <w:sz w:val="15"/>
              </w:rPr>
              <w:t>FR-20</w:t>
            </w:r>
          </w:p>
        </w:tc>
        <w:tc>
          <w:tcPr>
            <w:tcW w:type="dxa" w:w="7080"/>
            <w:vAlign w:val="center"/>
            <w:shd w:fill="F8F6F1"/>
          </w:tcPr>
          <w:p>
            <w:pPr>
              <w:spacing w:after="0" w:line="252" w:lineRule="auto"/>
            </w:pPr>
            <w:r>
              <w:rPr>
                <w:rFonts w:ascii="Aptos" w:hAnsi="Aptos"/>
                <w:b w:val="0"/>
                <w:i w:val="0"/>
                <w:color w:val="17213A"/>
                <w:sz w:val="15"/>
              </w:rPr>
              <w:t>Provide feature flags and staged release by tenant, cohort, app version and region.</w:t>
            </w:r>
          </w:p>
        </w:tc>
        <w:tc>
          <w:tcPr>
            <w:tcW w:type="dxa" w:w="1380"/>
            <w:vAlign w:val="center"/>
            <w:shd w:fill="F8F6F1"/>
          </w:tcPr>
          <w:p>
            <w:pPr>
              <w:spacing w:after="0" w:line="252" w:lineRule="auto"/>
            </w:pPr>
            <w:r>
              <w:rPr>
                <w:rFonts w:ascii="Aptos" w:hAnsi="Aptos"/>
                <w:b w:val="0"/>
                <w:i w:val="0"/>
                <w:color w:val="17213A"/>
                <w:sz w:val="15"/>
              </w:rPr>
              <w:t>Must</w:t>
            </w:r>
          </w:p>
        </w:tc>
      </w:tr>
    </w:tbl>
    <w:p>
      <w:pPr>
        <w:spacing w:after="20"/>
      </w:pPr>
    </w:p>
    <w:p>
      <w:pPr>
        <w:pStyle w:val="Heading2"/>
      </w:pPr>
      <w:r>
        <w:t>Operational requirements</w:t>
      </w:r>
    </w:p>
    <w:tbl>
      <w:tblPr>
        <w:tblW w:type="dxa" w:w="9360"/>
        <w:jc w:val="left"/>
        <w:tblLayout w:type="fixed"/>
        <w:tblLook w:firstColumn="1" w:firstRow="1" w:lastColumn="0" w:lastRow="0" w:noHBand="0" w:noVBand="1" w:val="04A0"/>
        <w:tblInd w:w="120" w:type="dxa"/>
        <w:tblBorders>
          <w:top w:val="single" w:sz="6" w:space="0" w:color="DDD3C1"/>
          <w:left w:val="single" w:sz="6" w:space="0" w:color="DDD3C1"/>
          <w:bottom w:val="single" w:sz="6" w:space="0" w:color="DDD3C1"/>
          <w:right w:val="single" w:sz="6" w:space="0" w:color="DDD3C1"/>
          <w:insideH w:val="single" w:sz="6" w:space="0" w:color="DDD3C1"/>
          <w:insideV w:val="single" w:sz="6" w:space="0" w:color="DDD3C1"/>
        </w:tblBorders>
      </w:tblPr>
      <w:tblGrid>
        <w:gridCol w:w="1100"/>
        <w:gridCol w:w="8260"/>
      </w:tblGrid>
      <w:tr>
        <w:trPr>
          <w:tblHeader w:val="true"/>
        </w:trPr>
        <w:tc>
          <w:tcPr>
            <w:tcW w:type="dxa" w:w="1100"/>
            <w:tcMar>
              <w:top w:w="100" w:type="dxa"/>
              <w:start w:w="120" w:type="dxa"/>
              <w:bottom w:w="100" w:type="dxa"/>
              <w:end w:w="120" w:type="dxa"/>
            </w:tcMar>
            <w:shd w:fill="18264F"/>
            <w:vAlign w:val="center"/>
          </w:tcPr>
          <w:p>
            <w:pPr>
              <w:spacing w:after="0"/>
            </w:pPr>
            <w:r>
              <w:rPr>
                <w:rFonts w:ascii="Aptos" w:hAnsi="Aptos"/>
                <w:b/>
                <w:i w:val="0"/>
                <w:color w:val="FFFFFF"/>
                <w:sz w:val="18"/>
              </w:rPr>
              <w:t>ID</w:t>
            </w:r>
          </w:p>
        </w:tc>
        <w:tc>
          <w:tcPr>
            <w:tcW w:type="dxa" w:w="8260"/>
            <w:tcMar>
              <w:top w:w="100" w:type="dxa"/>
              <w:start w:w="120" w:type="dxa"/>
              <w:bottom w:w="100" w:type="dxa"/>
              <w:end w:w="120" w:type="dxa"/>
            </w:tcMar>
            <w:shd w:fill="18264F"/>
            <w:vAlign w:val="center"/>
          </w:tcPr>
          <w:p>
            <w:pPr>
              <w:spacing w:after="0"/>
            </w:pPr>
            <w:r>
              <w:rPr>
                <w:rFonts w:ascii="Aptos" w:hAnsi="Aptos"/>
                <w:b/>
                <w:i w:val="0"/>
                <w:color w:val="FFFFFF"/>
                <w:sz w:val="18"/>
              </w:rPr>
              <w:t>Requirement</w:t>
            </w:r>
          </w:p>
        </w:tc>
      </w:tr>
      <w:tr>
        <w:tc>
          <w:tcPr>
            <w:tcW w:type="dxa" w:w="1100"/>
            <w:vAlign w:val="center"/>
          </w:tcPr>
          <w:p>
            <w:pPr>
              <w:spacing w:after="0" w:line="252" w:lineRule="auto"/>
            </w:pPr>
            <w:r>
              <w:rPr>
                <w:rFonts w:ascii="Aptos" w:hAnsi="Aptos"/>
                <w:b w:val="0"/>
                <w:i w:val="0"/>
                <w:color w:val="17213A"/>
                <w:sz w:val="17"/>
              </w:rPr>
              <w:t>OR-01</w:t>
            </w:r>
          </w:p>
        </w:tc>
        <w:tc>
          <w:tcPr>
            <w:tcW w:type="dxa" w:w="8260"/>
            <w:vAlign w:val="center"/>
          </w:tcPr>
          <w:p>
            <w:pPr>
              <w:spacing w:after="0" w:line="252" w:lineRule="auto"/>
            </w:pPr>
            <w:r>
              <w:rPr>
                <w:rFonts w:ascii="Aptos" w:hAnsi="Aptos"/>
                <w:b w:val="0"/>
                <w:i w:val="0"/>
                <w:color w:val="17213A"/>
                <w:sz w:val="17"/>
              </w:rPr>
              <w:t>Administrators can identify the exact content and policy version seen by a learner at a given time.</w:t>
            </w:r>
          </w:p>
        </w:tc>
      </w:tr>
      <w:tr>
        <w:tc>
          <w:tcPr>
            <w:tcW w:type="dxa" w:w="1100"/>
            <w:vAlign w:val="center"/>
            <w:shd w:fill="F8F6F1"/>
          </w:tcPr>
          <w:p>
            <w:pPr>
              <w:spacing w:after="0" w:line="252" w:lineRule="auto"/>
            </w:pPr>
            <w:r>
              <w:rPr>
                <w:rFonts w:ascii="Aptos" w:hAnsi="Aptos"/>
                <w:b w:val="0"/>
                <w:i w:val="0"/>
                <w:color w:val="17213A"/>
                <w:sz w:val="17"/>
              </w:rPr>
              <w:t>OR-02</w:t>
            </w:r>
          </w:p>
        </w:tc>
        <w:tc>
          <w:tcPr>
            <w:tcW w:type="dxa" w:w="8260"/>
            <w:vAlign w:val="center"/>
            <w:shd w:fill="F8F6F1"/>
          </w:tcPr>
          <w:p>
            <w:pPr>
              <w:spacing w:after="0" w:line="252" w:lineRule="auto"/>
            </w:pPr>
            <w:r>
              <w:rPr>
                <w:rFonts w:ascii="Aptos" w:hAnsi="Aptos"/>
                <w:b w:val="0"/>
                <w:i w:val="0"/>
                <w:color w:val="17213A"/>
                <w:sz w:val="17"/>
              </w:rPr>
              <w:t>Support staff can troubleshoot identity/progress without reading private reflections or content outside their authorised scope.</w:t>
            </w:r>
          </w:p>
        </w:tc>
      </w:tr>
      <w:tr>
        <w:tc>
          <w:tcPr>
            <w:tcW w:type="dxa" w:w="1100"/>
            <w:vAlign w:val="center"/>
          </w:tcPr>
          <w:p>
            <w:pPr>
              <w:spacing w:after="0" w:line="252" w:lineRule="auto"/>
            </w:pPr>
            <w:r>
              <w:rPr>
                <w:rFonts w:ascii="Aptos" w:hAnsi="Aptos"/>
                <w:b w:val="0"/>
                <w:i w:val="0"/>
                <w:color w:val="17213A"/>
                <w:sz w:val="17"/>
              </w:rPr>
              <w:t>OR-03</w:t>
            </w:r>
          </w:p>
        </w:tc>
        <w:tc>
          <w:tcPr>
            <w:tcW w:type="dxa" w:w="8260"/>
            <w:vAlign w:val="center"/>
          </w:tcPr>
          <w:p>
            <w:pPr>
              <w:spacing w:after="0" w:line="252" w:lineRule="auto"/>
            </w:pPr>
            <w:r>
              <w:rPr>
                <w:rFonts w:ascii="Aptos" w:hAnsi="Aptos"/>
                <w:b w:val="0"/>
                <w:i w:val="0"/>
                <w:color w:val="17213A"/>
                <w:sz w:val="17"/>
              </w:rPr>
              <w:t>All privileged actions, publication events, certificate changes and data exports are auditable.</w:t>
            </w:r>
          </w:p>
        </w:tc>
      </w:tr>
      <w:tr>
        <w:tc>
          <w:tcPr>
            <w:tcW w:type="dxa" w:w="1100"/>
            <w:vAlign w:val="center"/>
            <w:shd w:fill="F8F6F1"/>
          </w:tcPr>
          <w:p>
            <w:pPr>
              <w:spacing w:after="0" w:line="252" w:lineRule="auto"/>
            </w:pPr>
            <w:r>
              <w:rPr>
                <w:rFonts w:ascii="Aptos" w:hAnsi="Aptos"/>
                <w:b w:val="0"/>
                <w:i w:val="0"/>
                <w:color w:val="17213A"/>
                <w:sz w:val="17"/>
              </w:rPr>
              <w:t>OR-04</w:t>
            </w:r>
          </w:p>
        </w:tc>
        <w:tc>
          <w:tcPr>
            <w:tcW w:type="dxa" w:w="8260"/>
            <w:vAlign w:val="center"/>
            <w:shd w:fill="F8F6F1"/>
          </w:tcPr>
          <w:p>
            <w:pPr>
              <w:spacing w:after="0" w:line="252" w:lineRule="auto"/>
            </w:pPr>
            <w:r>
              <w:rPr>
                <w:rFonts w:ascii="Aptos" w:hAnsi="Aptos"/>
                <w:b w:val="0"/>
                <w:i w:val="0"/>
                <w:color w:val="17213A"/>
                <w:sz w:val="17"/>
              </w:rPr>
              <w:t>Every tenant has configurable support contacts, incident notices and maintenance communication.</w:t>
            </w:r>
          </w:p>
        </w:tc>
      </w:tr>
      <w:tr>
        <w:tc>
          <w:tcPr>
            <w:tcW w:type="dxa" w:w="1100"/>
            <w:vAlign w:val="center"/>
          </w:tcPr>
          <w:p>
            <w:pPr>
              <w:spacing w:after="0" w:line="252" w:lineRule="auto"/>
            </w:pPr>
            <w:r>
              <w:rPr>
                <w:rFonts w:ascii="Aptos" w:hAnsi="Aptos"/>
                <w:b w:val="0"/>
                <w:i w:val="0"/>
                <w:color w:val="17213A"/>
                <w:sz w:val="17"/>
              </w:rPr>
              <w:t>OR-05</w:t>
            </w:r>
          </w:p>
        </w:tc>
        <w:tc>
          <w:tcPr>
            <w:tcW w:type="dxa" w:w="8260"/>
            <w:vAlign w:val="center"/>
          </w:tcPr>
          <w:p>
            <w:pPr>
              <w:spacing w:after="0" w:line="252" w:lineRule="auto"/>
            </w:pPr>
            <w:r>
              <w:rPr>
                <w:rFonts w:ascii="Aptos" w:hAnsi="Aptos"/>
                <w:b w:val="0"/>
                <w:i w:val="0"/>
                <w:color w:val="17213A"/>
                <w:sz w:val="17"/>
              </w:rPr>
              <w:t>A documented rollback/retraction process exists for software, content, assessments and certificates.</w:t>
            </w:r>
          </w:p>
        </w:tc>
      </w:tr>
    </w:tbl>
    <w:p>
      <w:pPr>
        <w:spacing w:after="20"/>
      </w:pPr>
    </w:p>
    <w:p>
      <w:pPr>
        <w:sectPr>
          <w:pgSz w:w="12240" w:h="15840"/>
          <w:pgMar w:top="1440" w:right="1440" w:bottom="1440" w:left="1440" w:header="708" w:footer="708" w:gutter="0"/>
          <w:cols w:space="720"/>
          <w:docGrid w:linePitch="360"/>
        </w:sectPr>
      </w:pPr>
    </w:p>
    <w:p>
      <w:pPr>
        <w:spacing w:after="100"/>
      </w:pPr>
      <w:r>
        <w:rPr>
          <w:rFonts w:ascii="Aptos" w:hAnsi="Aptos"/>
          <w:b/>
          <w:i w:val="0"/>
          <w:caps/>
          <w:color w:val="D9832E"/>
          <w:sz w:val="16"/>
        </w:rPr>
        <w:t>SECTION 13</w:t>
      </w:r>
    </w:p>
    <w:p>
      <w:pPr>
        <w:pStyle w:val="Heading1"/>
      </w:pPr>
      <w:r>
        <w:t>School and government edition</w:t>
      </w:r>
    </w:p>
    <w:p>
      <w:pPr>
        <w:pStyle w:val="Heading2"/>
      </w:pPr>
      <w:r>
        <w:t>Design stance</w:t>
      </w:r>
    </w:p>
    <w:p>
      <w:pPr>
        <w:spacing w:before="0"/>
      </w:pPr>
      <w:r>
        <w:rPr>
          <w:rFonts w:ascii="Aptos" w:hAnsi="Aptos"/>
          <w:b w:val="0"/>
          <w:i w:val="0"/>
          <w:color w:val="17213A"/>
          <w:sz w:val="21"/>
        </w:rPr>
        <w:t>The platform should be capable of supporting future curricular adoption without assuming a single national mandate or one theological presentation. School editions require jurisdiction-approved curriculum, age-appropriate pedagogy, teacher mediation, pluralistic context, child safety, parent/guardian processes and formal procurement evidence.</w:t>
      </w:r>
    </w:p>
    <w:p>
      <w:pPr>
        <w:pStyle w:val="Heading2"/>
      </w:pPr>
      <w:r>
        <w:t>Age-band pathways</w:t>
      </w:r>
    </w:p>
    <w:tbl>
      <w:tblPr>
        <w:tblW w:type="dxa" w:w="9360"/>
        <w:jc w:val="left"/>
        <w:tblLayout w:type="fixed"/>
        <w:tblLook w:firstColumn="1" w:firstRow="1" w:lastColumn="0" w:lastRow="0" w:noHBand="0" w:noVBand="1" w:val="04A0"/>
        <w:tblInd w:w="120" w:type="dxa"/>
        <w:tblBorders>
          <w:top w:val="single" w:sz="6" w:space="0" w:color="DDD3C1"/>
          <w:left w:val="single" w:sz="6" w:space="0" w:color="DDD3C1"/>
          <w:bottom w:val="single" w:sz="6" w:space="0" w:color="DDD3C1"/>
          <w:right w:val="single" w:sz="6" w:space="0" w:color="DDD3C1"/>
          <w:insideH w:val="single" w:sz="6" w:space="0" w:color="DDD3C1"/>
          <w:insideV w:val="single" w:sz="6" w:space="0" w:color="DDD3C1"/>
        </w:tblBorders>
      </w:tblPr>
      <w:tblGrid>
        <w:gridCol w:w="2300"/>
        <w:gridCol w:w="4560"/>
        <w:gridCol w:w="2500"/>
      </w:tblGrid>
      <w:tr>
        <w:trPr>
          <w:tblHeader w:val="true"/>
        </w:trPr>
        <w:tc>
          <w:tcPr>
            <w:tcW w:type="dxa" w:w="2300"/>
            <w:tcMar>
              <w:top w:w="100" w:type="dxa"/>
              <w:start w:w="120" w:type="dxa"/>
              <w:bottom w:w="100" w:type="dxa"/>
              <w:end w:w="120" w:type="dxa"/>
            </w:tcMar>
            <w:shd w:fill="18264F"/>
            <w:vAlign w:val="center"/>
          </w:tcPr>
          <w:p>
            <w:pPr>
              <w:spacing w:after="0"/>
            </w:pPr>
            <w:r>
              <w:rPr>
                <w:rFonts w:ascii="Aptos" w:hAnsi="Aptos"/>
                <w:b/>
                <w:i w:val="0"/>
                <w:color w:val="FFFFFF"/>
                <w:sz w:val="18"/>
              </w:rPr>
              <w:t>Stage</w:t>
            </w:r>
          </w:p>
        </w:tc>
        <w:tc>
          <w:tcPr>
            <w:tcW w:type="dxa" w:w="4560"/>
            <w:tcMar>
              <w:top w:w="100" w:type="dxa"/>
              <w:start w:w="120" w:type="dxa"/>
              <w:bottom w:w="100" w:type="dxa"/>
              <w:end w:w="120" w:type="dxa"/>
            </w:tcMar>
            <w:shd w:fill="18264F"/>
            <w:vAlign w:val="center"/>
          </w:tcPr>
          <w:p>
            <w:pPr>
              <w:spacing w:after="0"/>
            </w:pPr>
            <w:r>
              <w:rPr>
                <w:rFonts w:ascii="Aptos" w:hAnsi="Aptos"/>
                <w:b/>
                <w:i w:val="0"/>
                <w:color w:val="FFFFFF"/>
                <w:sz w:val="18"/>
              </w:rPr>
              <w:t>Experience emphasis</w:t>
            </w:r>
          </w:p>
        </w:tc>
        <w:tc>
          <w:tcPr>
            <w:tcW w:type="dxa" w:w="2500"/>
            <w:tcMar>
              <w:top w:w="100" w:type="dxa"/>
              <w:start w:w="120" w:type="dxa"/>
              <w:bottom w:w="100" w:type="dxa"/>
              <w:end w:w="120" w:type="dxa"/>
            </w:tcMar>
            <w:shd w:fill="18264F"/>
            <w:vAlign w:val="center"/>
          </w:tcPr>
          <w:p>
            <w:pPr>
              <w:spacing w:after="0"/>
            </w:pPr>
            <w:r>
              <w:rPr>
                <w:rFonts w:ascii="Aptos" w:hAnsi="Aptos"/>
                <w:b/>
                <w:i w:val="0"/>
                <w:color w:val="FFFFFF"/>
                <w:sz w:val="18"/>
              </w:rPr>
              <w:t>Typical evidence</w:t>
            </w:r>
          </w:p>
        </w:tc>
      </w:tr>
      <w:tr>
        <w:tc>
          <w:tcPr>
            <w:tcW w:type="dxa" w:w="2300"/>
            <w:vAlign w:val="center"/>
          </w:tcPr>
          <w:p>
            <w:pPr>
              <w:spacing w:after="0" w:line="252" w:lineRule="auto"/>
            </w:pPr>
            <w:r>
              <w:rPr>
                <w:rFonts w:ascii="Aptos" w:hAnsi="Aptos"/>
                <w:b w:val="0"/>
                <w:i w:val="0"/>
                <w:color w:val="17213A"/>
                <w:sz w:val="16"/>
              </w:rPr>
              <w:t>Preparatory (approx. 8–11)</w:t>
            </w:r>
          </w:p>
        </w:tc>
        <w:tc>
          <w:tcPr>
            <w:tcW w:type="dxa" w:w="4560"/>
            <w:vAlign w:val="center"/>
          </w:tcPr>
          <w:p>
            <w:pPr>
              <w:spacing w:after="0" w:line="252" w:lineRule="auto"/>
            </w:pPr>
            <w:r>
              <w:rPr>
                <w:rFonts w:ascii="Aptos" w:hAnsi="Aptos"/>
                <w:b w:val="0"/>
                <w:i w:val="0"/>
                <w:color w:val="17213A"/>
                <w:sz w:val="16"/>
              </w:rPr>
              <w:t>Stories, values, vocabulary, recitation, illustrations and guided discussion.</w:t>
            </w:r>
          </w:p>
        </w:tc>
        <w:tc>
          <w:tcPr>
            <w:tcW w:type="dxa" w:w="2500"/>
            <w:vAlign w:val="center"/>
          </w:tcPr>
          <w:p>
            <w:pPr>
              <w:spacing w:after="0" w:line="252" w:lineRule="auto"/>
            </w:pPr>
            <w:r>
              <w:rPr>
                <w:rFonts w:ascii="Aptos" w:hAnsi="Aptos"/>
                <w:b w:val="0"/>
                <w:i w:val="0"/>
                <w:color w:val="17213A"/>
                <w:sz w:val="16"/>
              </w:rPr>
              <w:t>Participation, oral response, simple creative work.</w:t>
            </w:r>
          </w:p>
        </w:tc>
      </w:tr>
      <w:tr>
        <w:tc>
          <w:tcPr>
            <w:tcW w:type="dxa" w:w="2300"/>
            <w:vAlign w:val="center"/>
            <w:shd w:fill="F8F6F1"/>
          </w:tcPr>
          <w:p>
            <w:pPr>
              <w:spacing w:after="0" w:line="252" w:lineRule="auto"/>
            </w:pPr>
            <w:r>
              <w:rPr>
                <w:rFonts w:ascii="Aptos" w:hAnsi="Aptos"/>
                <w:b w:val="0"/>
                <w:i w:val="0"/>
                <w:color w:val="17213A"/>
                <w:sz w:val="16"/>
              </w:rPr>
              <w:t>Middle (approx. 11–14)</w:t>
            </w:r>
          </w:p>
        </w:tc>
        <w:tc>
          <w:tcPr>
            <w:tcW w:type="dxa" w:w="4560"/>
            <w:vAlign w:val="center"/>
            <w:shd w:fill="F8F6F1"/>
          </w:tcPr>
          <w:p>
            <w:pPr>
              <w:spacing w:after="0" w:line="252" w:lineRule="auto"/>
            </w:pPr>
            <w:r>
              <w:rPr>
                <w:rFonts w:ascii="Aptos" w:hAnsi="Aptos"/>
                <w:b w:val="0"/>
                <w:i w:val="0"/>
                <w:color w:val="17213A"/>
                <w:sz w:val="16"/>
              </w:rPr>
              <w:t>Context, key verses, ethical scenarios, language and comparison of ideas.</w:t>
            </w:r>
          </w:p>
        </w:tc>
        <w:tc>
          <w:tcPr>
            <w:tcW w:type="dxa" w:w="2500"/>
            <w:vAlign w:val="center"/>
            <w:shd w:fill="F8F6F1"/>
          </w:tcPr>
          <w:p>
            <w:pPr>
              <w:spacing w:after="0" w:line="252" w:lineRule="auto"/>
            </w:pPr>
            <w:r>
              <w:rPr>
                <w:rFonts w:ascii="Aptos" w:hAnsi="Aptos"/>
                <w:b w:val="0"/>
                <w:i w:val="0"/>
                <w:color w:val="17213A"/>
                <w:sz w:val="16"/>
              </w:rPr>
              <w:t>Short quizzes, journals, group tasks and projects.</w:t>
            </w:r>
          </w:p>
        </w:tc>
      </w:tr>
      <w:tr>
        <w:tc>
          <w:tcPr>
            <w:tcW w:type="dxa" w:w="2300"/>
            <w:vAlign w:val="center"/>
          </w:tcPr>
          <w:p>
            <w:pPr>
              <w:spacing w:after="0" w:line="252" w:lineRule="auto"/>
            </w:pPr>
            <w:r>
              <w:rPr>
                <w:rFonts w:ascii="Aptos" w:hAnsi="Aptos"/>
                <w:b w:val="0"/>
                <w:i w:val="0"/>
                <w:color w:val="17213A"/>
                <w:sz w:val="16"/>
              </w:rPr>
              <w:t>Secondary (approx. 14–18)</w:t>
            </w:r>
          </w:p>
        </w:tc>
        <w:tc>
          <w:tcPr>
            <w:tcW w:type="dxa" w:w="4560"/>
            <w:vAlign w:val="center"/>
          </w:tcPr>
          <w:p>
            <w:pPr>
              <w:spacing w:after="0" w:line="252" w:lineRule="auto"/>
            </w:pPr>
            <w:r>
              <w:rPr>
                <w:rFonts w:ascii="Aptos" w:hAnsi="Aptos"/>
                <w:b w:val="0"/>
                <w:i w:val="0"/>
                <w:color w:val="17213A"/>
                <w:sz w:val="16"/>
              </w:rPr>
              <w:t>Deeper text study, philosophical concepts, argument, application and research.</w:t>
            </w:r>
          </w:p>
        </w:tc>
        <w:tc>
          <w:tcPr>
            <w:tcW w:type="dxa" w:w="2500"/>
            <w:vAlign w:val="center"/>
          </w:tcPr>
          <w:p>
            <w:pPr>
              <w:spacing w:after="0" w:line="252" w:lineRule="auto"/>
            </w:pPr>
            <w:r>
              <w:rPr>
                <w:rFonts w:ascii="Aptos" w:hAnsi="Aptos"/>
                <w:b w:val="0"/>
                <w:i w:val="0"/>
                <w:color w:val="17213A"/>
                <w:sz w:val="16"/>
              </w:rPr>
              <w:t>Essays, presentations, tests and capstone.</w:t>
            </w:r>
          </w:p>
        </w:tc>
      </w:tr>
      <w:tr>
        <w:tc>
          <w:tcPr>
            <w:tcW w:type="dxa" w:w="2300"/>
            <w:vAlign w:val="center"/>
            <w:shd w:fill="F8F6F1"/>
          </w:tcPr>
          <w:p>
            <w:pPr>
              <w:spacing w:after="0" w:line="252" w:lineRule="auto"/>
            </w:pPr>
            <w:r>
              <w:rPr>
                <w:rFonts w:ascii="Aptos" w:hAnsi="Aptos"/>
                <w:b w:val="0"/>
                <w:i w:val="0"/>
                <w:color w:val="17213A"/>
                <w:sz w:val="16"/>
              </w:rPr>
              <w:t>Adult / teacher learning</w:t>
            </w:r>
          </w:p>
        </w:tc>
        <w:tc>
          <w:tcPr>
            <w:tcW w:type="dxa" w:w="4560"/>
            <w:vAlign w:val="center"/>
            <w:shd w:fill="F8F6F1"/>
          </w:tcPr>
          <w:p>
            <w:pPr>
              <w:spacing w:after="0" w:line="252" w:lineRule="auto"/>
            </w:pPr>
            <w:r>
              <w:rPr>
                <w:rFonts w:ascii="Aptos" w:hAnsi="Aptos"/>
                <w:b w:val="0"/>
                <w:i w:val="0"/>
                <w:color w:val="17213A"/>
                <w:sz w:val="16"/>
              </w:rPr>
              <w:t>Content knowledge, pedagogy, facilitation and safeguarding.</w:t>
            </w:r>
          </w:p>
        </w:tc>
        <w:tc>
          <w:tcPr>
            <w:tcW w:type="dxa" w:w="2500"/>
            <w:vAlign w:val="center"/>
            <w:shd w:fill="F8F6F1"/>
          </w:tcPr>
          <w:p>
            <w:pPr>
              <w:spacing w:after="0" w:line="252" w:lineRule="auto"/>
            </w:pPr>
            <w:r>
              <w:rPr>
                <w:rFonts w:ascii="Aptos" w:hAnsi="Aptos"/>
                <w:b w:val="0"/>
                <w:i w:val="0"/>
                <w:color w:val="17213A"/>
                <w:sz w:val="16"/>
              </w:rPr>
              <w:t>Certification, observed practice and teaching plan.</w:t>
            </w:r>
          </w:p>
        </w:tc>
      </w:tr>
    </w:tbl>
    <w:p>
      <w:pPr>
        <w:spacing w:after="20"/>
      </w:pPr>
    </w:p>
    <w:p>
      <w:pPr>
        <w:pStyle w:val="Heading2"/>
      </w:pPr>
      <w:r>
        <w:t>School capabilities</w:t>
      </w:r>
    </w:p>
    <w:p>
      <w:pPr>
        <w:pStyle w:val="ListBullet"/>
      </w:pPr>
      <w:r>
        <w:rPr>
          <w:rFonts w:ascii="Aptos" w:hAnsi="Aptos"/>
          <w:b w:val="0"/>
          <w:i w:val="0"/>
          <w:color w:val="17213A"/>
          <w:sz w:val="20"/>
        </w:rPr>
        <w:t>School, campus, year, class, subject, teacher and student hierarchy with bulk roster import and lifecycle.</w:t>
      </w:r>
    </w:p>
    <w:p>
      <w:pPr>
        <w:pStyle w:val="ListBullet"/>
      </w:pPr>
      <w:r>
        <w:rPr>
          <w:rFonts w:ascii="Aptos" w:hAnsi="Aptos"/>
          <w:b w:val="0"/>
          <w:i w:val="0"/>
          <w:color w:val="17213A"/>
          <w:sz w:val="20"/>
        </w:rPr>
        <w:t>Teacher lesson plans, classroom mode, projector-ready verse slides, printable activities and offline class packs.</w:t>
      </w:r>
    </w:p>
    <w:p>
      <w:pPr>
        <w:pStyle w:val="ListBullet"/>
      </w:pPr>
      <w:r>
        <w:rPr>
          <w:rFonts w:ascii="Aptos" w:hAnsi="Aptos"/>
          <w:b w:val="0"/>
          <w:i w:val="0"/>
          <w:color w:val="17213A"/>
          <w:sz w:val="20"/>
        </w:rPr>
        <w:t>Curriculum/outcome mapping by board or authority, with edition-specific approval.</w:t>
      </w:r>
    </w:p>
    <w:p>
      <w:pPr>
        <w:pStyle w:val="ListBullet"/>
      </w:pPr>
      <w:r>
        <w:rPr>
          <w:rFonts w:ascii="Aptos" w:hAnsi="Aptos"/>
          <w:b w:val="0"/>
          <w:i w:val="0"/>
          <w:color w:val="17213A"/>
          <w:sz w:val="20"/>
        </w:rPr>
        <w:t>Assignments, rubrics, accommodations, gradebook return and parent-facing notices where allowed.</w:t>
      </w:r>
    </w:p>
    <w:p>
      <w:pPr>
        <w:pStyle w:val="ListBullet"/>
      </w:pPr>
      <w:r>
        <w:rPr>
          <w:rFonts w:ascii="Aptos" w:hAnsi="Aptos"/>
          <w:b w:val="0"/>
          <w:i w:val="0"/>
          <w:color w:val="17213A"/>
          <w:sz w:val="20"/>
        </w:rPr>
        <w:t>Low-bandwidth and shared-device patterns; school-managed devices and content caching.</w:t>
      </w:r>
    </w:p>
    <w:p>
      <w:pPr>
        <w:pStyle w:val="ListBullet"/>
      </w:pPr>
      <w:r>
        <w:rPr>
          <w:rFonts w:ascii="Aptos" w:hAnsi="Aptos"/>
          <w:b w:val="0"/>
          <w:i w:val="0"/>
          <w:color w:val="17213A"/>
          <w:sz w:val="20"/>
        </w:rPr>
        <w:t>Evidence pack for procurement: accessibility conformance, privacy/security posture, data flows, subprocessors, SLAs and support.</w:t>
      </w:r>
    </w:p>
    <w:p>
      <w:pPr>
        <w:pStyle w:val="Heading2"/>
      </w:pPr>
      <w:r>
        <w:t>Government / large-system capabilities</w:t>
      </w:r>
    </w:p>
    <w:p>
      <w:pPr>
        <w:pStyle w:val="ListBullet"/>
      </w:pPr>
      <w:r>
        <w:rPr>
          <w:rFonts w:ascii="Aptos" w:hAnsi="Aptos"/>
          <w:b w:val="0"/>
          <w:i w:val="0"/>
          <w:color w:val="17213A"/>
          <w:sz w:val="20"/>
        </w:rPr>
        <w:t>Jurisdiction-specific languages, curriculum frameworks, data retention, hosting/residency and reporting.</w:t>
      </w:r>
    </w:p>
    <w:p>
      <w:pPr>
        <w:pStyle w:val="ListBullet"/>
      </w:pPr>
      <w:r>
        <w:rPr>
          <w:rFonts w:ascii="Aptos" w:hAnsi="Aptos"/>
          <w:b w:val="0"/>
          <w:i w:val="0"/>
          <w:color w:val="17213A"/>
          <w:sz w:val="20"/>
        </w:rPr>
        <w:t>Delegated administration from authority to district, school and class.</w:t>
      </w:r>
    </w:p>
    <w:p>
      <w:pPr>
        <w:pStyle w:val="ListBullet"/>
      </w:pPr>
      <w:r>
        <w:rPr>
          <w:rFonts w:ascii="Aptos" w:hAnsi="Aptos"/>
          <w:b w:val="0"/>
          <w:i w:val="0"/>
          <w:color w:val="17213A"/>
          <w:sz w:val="20"/>
        </w:rPr>
        <w:t>High-volume rostering and SSO; regional support; accessibility evidence; disaster recovery and capacity tests.</w:t>
      </w:r>
    </w:p>
    <w:p>
      <w:pPr>
        <w:pStyle w:val="ListBullet"/>
      </w:pPr>
      <w:r>
        <w:rPr>
          <w:rFonts w:ascii="Aptos" w:hAnsi="Aptos"/>
          <w:b w:val="0"/>
          <w:i w:val="0"/>
          <w:color w:val="17213A"/>
          <w:sz w:val="20"/>
        </w:rPr>
        <w:t>Content release windows, public review, corrigenda, audit export and transparent version history.</w:t>
      </w:r>
    </w:p>
    <w:tbl>
      <w:tblPr>
        <w:tblW w:type="dxa" w:w="9360"/>
        <w:jc w:val="left"/>
        <w:tblLayout w:type="fixed"/>
        <w:tblLook w:firstColumn="1" w:firstRow="1" w:lastColumn="0" w:lastRow="0" w:noHBand="0" w:noVBand="1" w:val="04A0"/>
        <w:tblInd w:w="120" w:type="dxa"/>
        <w:tblBorders>
          <w:top w:val="single" w:sz="10" w:space="0" w:color="B68C3B"/>
          <w:left w:val="single" w:sz="10" w:space="0" w:color="B68C3B"/>
          <w:bottom w:val="single" w:sz="10" w:space="0" w:color="B68C3B"/>
          <w:right w:val="single" w:sz="10" w:space="0" w:color="B68C3B"/>
          <w:insideH w:val="single" w:sz="10" w:space="0" w:color="B68C3B"/>
          <w:insideV w:val="single" w:sz="10" w:space="0" w:color="B68C3B"/>
        </w:tblBorders>
      </w:tblPr>
      <w:tblGrid>
        <w:gridCol w:w="9360"/>
      </w:tblGrid>
      <w:tr>
        <w:trPr>
          <w:tblHeader/>
        </w:trPr>
        <w:tc>
          <w:tcPr>
            <w:tcW w:type="dxa" w:w="9360"/>
            <w:tcMar>
              <w:top w:w="100" w:type="dxa"/>
              <w:start w:w="120" w:type="dxa"/>
              <w:bottom w:w="100" w:type="dxa"/>
              <w:end w:w="120" w:type="dxa"/>
            </w:tcMar>
            <w:shd w:fill="FFF6E7"/>
            <w:vAlign w:val="center"/>
          </w:tcPr>
          <w:p>
            <w:pPr>
              <w:spacing w:after="0" w:line="269" w:lineRule="auto"/>
            </w:pPr>
            <w:r>
              <w:rPr>
                <w:rFonts w:ascii="Aptos" w:hAnsi="Aptos"/>
                <w:b/>
                <w:i w:val="0"/>
                <w:color w:val="B68C3B"/>
                <w:sz w:val="18"/>
              </w:rPr>
              <w:t xml:space="preserve">SAFEGUARD: </w:t>
            </w:r>
            <w:r>
              <w:rPr>
                <w:rFonts w:ascii="Aptos" w:hAnsi="Aptos"/>
                <w:b w:val="0"/>
                <w:i w:val="0"/>
                <w:color w:val="17213A"/>
                <w:sz w:val="20"/>
              </w:rPr>
              <w:t>School deployment must never expose a child’s private reflection, religious identity inference, browsing behaviour or comparative ranking beyond what is necessary and lawfully authorised.</w:t>
            </w:r>
          </w:p>
        </w:tc>
      </w:tr>
    </w:tbl>
    <w:p>
      <w:pPr>
        <w:spacing w:after="40"/>
      </w:pPr>
    </w:p>
    <w:p>
      <w:pPr>
        <w:sectPr>
          <w:pgSz w:w="12240" w:h="15840"/>
          <w:pgMar w:top="1440" w:right="1440" w:bottom="1440" w:left="1440" w:header="708" w:footer="708" w:gutter="0"/>
          <w:cols w:space="720"/>
          <w:docGrid w:linePitch="360"/>
        </w:sectPr>
      </w:pPr>
    </w:p>
    <w:p>
      <w:pPr>
        <w:spacing w:after="100"/>
      </w:pPr>
      <w:r>
        <w:rPr>
          <w:rFonts w:ascii="Aptos" w:hAnsi="Aptos"/>
          <w:b/>
          <w:i w:val="0"/>
          <w:caps/>
          <w:color w:val="D9832E"/>
          <w:sz w:val="16"/>
        </w:rPr>
        <w:t>SECTION 14</w:t>
      </w:r>
    </w:p>
    <w:p>
      <w:pPr>
        <w:pStyle w:val="Heading1"/>
      </w:pPr>
      <w:r>
        <w:t>Mobile and offline experience</w:t>
      </w:r>
    </w:p>
    <w:p>
      <w:pPr>
        <w:pStyle w:val="Heading2"/>
      </w:pPr>
      <w:r>
        <w:t>Product approach</w:t>
      </w:r>
    </w:p>
    <w:p>
      <w:pPr>
        <w:spacing w:before="0"/>
      </w:pPr>
      <w:r>
        <w:rPr>
          <w:rFonts w:ascii="Aptos" w:hAnsi="Aptos"/>
          <w:b w:val="0"/>
          <w:i w:val="0"/>
          <w:color w:val="17213A"/>
          <w:sz w:val="21"/>
        </w:rPr>
        <w:t>Use a shared backend, content schema and design system. The mobile applications should feel native where it matters—downloads, playback, notifications, share sheets, text scaling, background audio and secure local storage—without creating a separate curriculum or administrative platform.</w:t>
      </w:r>
    </w:p>
    <w:p>
      <w:pPr>
        <w:pStyle w:val="Heading2"/>
      </w:pPr>
      <w:r>
        <w:t>Mobile navigation and lesson behaviour</w:t>
      </w:r>
    </w:p>
    <w:p>
      <w:pPr>
        <w:pStyle w:val="ListBullet"/>
      </w:pPr>
      <w:r>
        <w:rPr>
          <w:rFonts w:ascii="Aptos" w:hAnsi="Aptos"/>
          <w:b w:val="0"/>
          <w:i w:val="0"/>
          <w:color w:val="17213A"/>
          <w:sz w:val="20"/>
        </w:rPr>
        <w:t>Bottom navigation plus context-aware chapter/lesson sheet; one primary action per screen.</w:t>
      </w:r>
    </w:p>
    <w:p>
      <w:pPr>
        <w:pStyle w:val="ListBullet"/>
      </w:pPr>
      <w:r>
        <w:rPr>
          <w:rFonts w:ascii="Aptos" w:hAnsi="Aptos"/>
          <w:b w:val="0"/>
          <w:i w:val="0"/>
          <w:color w:val="17213A"/>
          <w:sz w:val="20"/>
        </w:rPr>
        <w:t>Audio-first mode with lock-screen controls, transcript follow-along and verse repeat.</w:t>
      </w:r>
    </w:p>
    <w:p>
      <w:pPr>
        <w:pStyle w:val="ListBullet"/>
      </w:pPr>
      <w:r>
        <w:rPr>
          <w:rFonts w:ascii="Aptos" w:hAnsi="Aptos"/>
          <w:b w:val="0"/>
          <w:i w:val="0"/>
          <w:color w:val="17213A"/>
          <w:sz w:val="20"/>
        </w:rPr>
        <w:t>Comfortable Devanagari/script rendering, dynamic type, theme controls and screen-reader landmarks.</w:t>
      </w:r>
    </w:p>
    <w:p>
      <w:pPr>
        <w:pStyle w:val="ListBullet"/>
      </w:pPr>
      <w:r>
        <w:rPr>
          <w:rFonts w:ascii="Aptos" w:hAnsi="Aptos"/>
          <w:b w:val="0"/>
          <w:i w:val="0"/>
          <w:color w:val="17213A"/>
          <w:sz w:val="20"/>
        </w:rPr>
        <w:t>Assessment autosave, interruption-safe resume and clear offline/queued states.</w:t>
      </w:r>
    </w:p>
    <w:p>
      <w:pPr>
        <w:pStyle w:val="Heading2"/>
      </w:pPr>
      <w:r>
        <w:t>Offline learning packs</w:t>
      </w:r>
    </w:p>
    <w:tbl>
      <w:tblPr>
        <w:tblW w:type="dxa" w:w="9360"/>
        <w:jc w:val="left"/>
        <w:tblLayout w:type="fixed"/>
        <w:tblLook w:firstColumn="1" w:firstRow="1" w:lastColumn="0" w:lastRow="0" w:noHBand="0" w:noVBand="1" w:val="04A0"/>
        <w:tblInd w:w="120" w:type="dxa"/>
        <w:tblBorders>
          <w:top w:val="single" w:sz="6" w:space="0" w:color="DDD3C1"/>
          <w:left w:val="single" w:sz="6" w:space="0" w:color="DDD3C1"/>
          <w:bottom w:val="single" w:sz="6" w:space="0" w:color="DDD3C1"/>
          <w:right w:val="single" w:sz="6" w:space="0" w:color="DDD3C1"/>
          <w:insideH w:val="single" w:sz="6" w:space="0" w:color="DDD3C1"/>
          <w:insideV w:val="single" w:sz="6" w:space="0" w:color="DDD3C1"/>
        </w:tblBorders>
      </w:tblPr>
      <w:tblGrid>
        <w:gridCol w:w="1900"/>
        <w:gridCol w:w="7460"/>
      </w:tblGrid>
      <w:tr>
        <w:trPr>
          <w:tblHeader w:val="true"/>
        </w:trPr>
        <w:tc>
          <w:tcPr>
            <w:tcW w:type="dxa" w:w="1900"/>
            <w:tcMar>
              <w:top w:w="100" w:type="dxa"/>
              <w:start w:w="120" w:type="dxa"/>
              <w:bottom w:w="100" w:type="dxa"/>
              <w:end w:w="120" w:type="dxa"/>
            </w:tcMar>
            <w:shd w:fill="18264F"/>
            <w:vAlign w:val="center"/>
          </w:tcPr>
          <w:p>
            <w:pPr>
              <w:spacing w:after="0"/>
            </w:pPr>
            <w:r>
              <w:rPr>
                <w:rFonts w:ascii="Aptos" w:hAnsi="Aptos"/>
                <w:b/>
                <w:i w:val="0"/>
                <w:color w:val="FFFFFF"/>
                <w:sz w:val="18"/>
              </w:rPr>
              <w:t>Capability</w:t>
            </w:r>
          </w:p>
        </w:tc>
        <w:tc>
          <w:tcPr>
            <w:tcW w:type="dxa" w:w="7460"/>
            <w:tcMar>
              <w:top w:w="100" w:type="dxa"/>
              <w:start w:w="120" w:type="dxa"/>
              <w:bottom w:w="100" w:type="dxa"/>
              <w:end w:w="120" w:type="dxa"/>
            </w:tcMar>
            <w:shd w:fill="18264F"/>
            <w:vAlign w:val="center"/>
          </w:tcPr>
          <w:p>
            <w:pPr>
              <w:spacing w:after="0"/>
            </w:pPr>
            <w:r>
              <w:rPr>
                <w:rFonts w:ascii="Aptos" w:hAnsi="Aptos"/>
                <w:b/>
                <w:i w:val="0"/>
                <w:color w:val="FFFFFF"/>
                <w:sz w:val="18"/>
              </w:rPr>
              <w:t>Requirement</w:t>
            </w:r>
          </w:p>
        </w:tc>
      </w:tr>
      <w:tr>
        <w:tc>
          <w:tcPr>
            <w:tcW w:type="dxa" w:w="1900"/>
            <w:vAlign w:val="center"/>
          </w:tcPr>
          <w:p>
            <w:pPr>
              <w:spacing w:after="0" w:line="252" w:lineRule="auto"/>
            </w:pPr>
            <w:r>
              <w:rPr>
                <w:rFonts w:ascii="Aptos" w:hAnsi="Aptos"/>
                <w:b w:val="0"/>
                <w:i w:val="0"/>
                <w:color w:val="17213A"/>
                <w:sz w:val="17"/>
              </w:rPr>
              <w:t>Selection</w:t>
            </w:r>
          </w:p>
        </w:tc>
        <w:tc>
          <w:tcPr>
            <w:tcW w:type="dxa" w:w="7460"/>
            <w:vAlign w:val="center"/>
          </w:tcPr>
          <w:p>
            <w:pPr>
              <w:spacing w:after="0" w:line="252" w:lineRule="auto"/>
            </w:pPr>
            <w:r>
              <w:rPr>
                <w:rFonts w:ascii="Aptos" w:hAnsi="Aptos"/>
                <w:b w:val="0"/>
                <w:i w:val="0"/>
                <w:color w:val="17213A"/>
                <w:sz w:val="17"/>
              </w:rPr>
              <w:t>Download by chapter, week or teacher assignment; show size and included media.</w:t>
            </w:r>
          </w:p>
        </w:tc>
      </w:tr>
      <w:tr>
        <w:tc>
          <w:tcPr>
            <w:tcW w:type="dxa" w:w="1900"/>
            <w:vAlign w:val="center"/>
            <w:shd w:fill="F8F6F1"/>
          </w:tcPr>
          <w:p>
            <w:pPr>
              <w:spacing w:after="0" w:line="252" w:lineRule="auto"/>
            </w:pPr>
            <w:r>
              <w:rPr>
                <w:rFonts w:ascii="Aptos" w:hAnsi="Aptos"/>
                <w:b w:val="0"/>
                <w:i w:val="0"/>
                <w:color w:val="17213A"/>
                <w:sz w:val="17"/>
              </w:rPr>
              <w:t>Rights</w:t>
            </w:r>
          </w:p>
        </w:tc>
        <w:tc>
          <w:tcPr>
            <w:tcW w:type="dxa" w:w="7460"/>
            <w:vAlign w:val="center"/>
            <w:shd w:fill="F8F6F1"/>
          </w:tcPr>
          <w:p>
            <w:pPr>
              <w:spacing w:after="0" w:line="252" w:lineRule="auto"/>
            </w:pPr>
            <w:r>
              <w:rPr>
                <w:rFonts w:ascii="Aptos" w:hAnsi="Aptos"/>
                <w:b w:val="0"/>
                <w:i w:val="0"/>
                <w:color w:val="17213A"/>
                <w:sz w:val="17"/>
              </w:rPr>
              <w:t>Respect edition licence, territory, expiry and device limits; revoke securely when required.</w:t>
            </w:r>
          </w:p>
        </w:tc>
      </w:tr>
      <w:tr>
        <w:tc>
          <w:tcPr>
            <w:tcW w:type="dxa" w:w="1900"/>
            <w:vAlign w:val="center"/>
          </w:tcPr>
          <w:p>
            <w:pPr>
              <w:spacing w:after="0" w:line="252" w:lineRule="auto"/>
            </w:pPr>
            <w:r>
              <w:rPr>
                <w:rFonts w:ascii="Aptos" w:hAnsi="Aptos"/>
                <w:b w:val="0"/>
                <w:i w:val="0"/>
                <w:color w:val="17213A"/>
                <w:sz w:val="17"/>
              </w:rPr>
              <w:t>Storage</w:t>
            </w:r>
          </w:p>
        </w:tc>
        <w:tc>
          <w:tcPr>
            <w:tcW w:type="dxa" w:w="7460"/>
            <w:vAlign w:val="center"/>
          </w:tcPr>
          <w:p>
            <w:pPr>
              <w:spacing w:after="0" w:line="252" w:lineRule="auto"/>
            </w:pPr>
            <w:r>
              <w:rPr>
                <w:rFonts w:ascii="Aptos" w:hAnsi="Aptos"/>
                <w:b w:val="0"/>
                <w:i w:val="0"/>
                <w:color w:val="17213A"/>
                <w:sz w:val="17"/>
              </w:rPr>
              <w:t>Encrypt sensitive local data, avoid private reflections in device backups where feasible, and provide delete controls.</w:t>
            </w:r>
          </w:p>
        </w:tc>
      </w:tr>
      <w:tr>
        <w:tc>
          <w:tcPr>
            <w:tcW w:type="dxa" w:w="1900"/>
            <w:vAlign w:val="center"/>
            <w:shd w:fill="F8F6F1"/>
          </w:tcPr>
          <w:p>
            <w:pPr>
              <w:spacing w:after="0" w:line="252" w:lineRule="auto"/>
            </w:pPr>
            <w:r>
              <w:rPr>
                <w:rFonts w:ascii="Aptos" w:hAnsi="Aptos"/>
                <w:b w:val="0"/>
                <w:i w:val="0"/>
                <w:color w:val="17213A"/>
                <w:sz w:val="17"/>
              </w:rPr>
              <w:t>Sync</w:t>
            </w:r>
          </w:p>
        </w:tc>
        <w:tc>
          <w:tcPr>
            <w:tcW w:type="dxa" w:w="7460"/>
            <w:vAlign w:val="center"/>
            <w:shd w:fill="F8F6F1"/>
          </w:tcPr>
          <w:p>
            <w:pPr>
              <w:spacing w:after="0" w:line="252" w:lineRule="auto"/>
            </w:pPr>
            <w:r>
              <w:rPr>
                <w:rFonts w:ascii="Aptos" w:hAnsi="Aptos"/>
                <w:b w:val="0"/>
                <w:i w:val="0"/>
                <w:color w:val="17213A"/>
                <w:sz w:val="17"/>
              </w:rPr>
              <w:t>Queue learning events; reconcile version and attempt conflicts; never double-issue certificates.</w:t>
            </w:r>
          </w:p>
        </w:tc>
      </w:tr>
      <w:tr>
        <w:tc>
          <w:tcPr>
            <w:tcW w:type="dxa" w:w="1900"/>
            <w:vAlign w:val="center"/>
          </w:tcPr>
          <w:p>
            <w:pPr>
              <w:spacing w:after="0" w:line="252" w:lineRule="auto"/>
            </w:pPr>
            <w:r>
              <w:rPr>
                <w:rFonts w:ascii="Aptos" w:hAnsi="Aptos"/>
                <w:b w:val="0"/>
                <w:i w:val="0"/>
                <w:color w:val="17213A"/>
                <w:sz w:val="17"/>
              </w:rPr>
              <w:t>Updates</w:t>
            </w:r>
          </w:p>
        </w:tc>
        <w:tc>
          <w:tcPr>
            <w:tcW w:type="dxa" w:w="7460"/>
            <w:vAlign w:val="center"/>
          </w:tcPr>
          <w:p>
            <w:pPr>
              <w:spacing w:after="0" w:line="252" w:lineRule="auto"/>
            </w:pPr>
            <w:r>
              <w:rPr>
                <w:rFonts w:ascii="Aptos" w:hAnsi="Aptos"/>
                <w:b w:val="0"/>
                <w:i w:val="0"/>
                <w:color w:val="17213A"/>
                <w:sz w:val="17"/>
              </w:rPr>
              <w:t>Delta update content; notify when a material correction requires re-download.</w:t>
            </w:r>
          </w:p>
        </w:tc>
      </w:tr>
      <w:tr>
        <w:tc>
          <w:tcPr>
            <w:tcW w:type="dxa" w:w="1900"/>
            <w:vAlign w:val="center"/>
            <w:shd w:fill="F8F6F1"/>
          </w:tcPr>
          <w:p>
            <w:pPr>
              <w:spacing w:after="0" w:line="252" w:lineRule="auto"/>
            </w:pPr>
            <w:r>
              <w:rPr>
                <w:rFonts w:ascii="Aptos" w:hAnsi="Aptos"/>
                <w:b w:val="0"/>
                <w:i w:val="0"/>
                <w:color w:val="17213A"/>
                <w:sz w:val="17"/>
              </w:rPr>
              <w:t>Shared devices</w:t>
            </w:r>
          </w:p>
        </w:tc>
        <w:tc>
          <w:tcPr>
            <w:tcW w:type="dxa" w:w="7460"/>
            <w:vAlign w:val="center"/>
            <w:shd w:fill="F8F6F1"/>
          </w:tcPr>
          <w:p>
            <w:pPr>
              <w:spacing w:after="0" w:line="252" w:lineRule="auto"/>
            </w:pPr>
            <w:r>
              <w:rPr>
                <w:rFonts w:ascii="Aptos" w:hAnsi="Aptos"/>
                <w:b w:val="0"/>
                <w:i w:val="0"/>
                <w:color w:val="17213A"/>
                <w:sz w:val="17"/>
              </w:rPr>
              <w:t>Fast sign-out, local data purge, PIN/profile separation and school-managed policy.</w:t>
            </w:r>
          </w:p>
        </w:tc>
      </w:tr>
    </w:tbl>
    <w:p>
      <w:pPr>
        <w:spacing w:after="20"/>
      </w:pPr>
    </w:p>
    <w:p>
      <w:pPr>
        <w:pStyle w:val="Heading2"/>
      </w:pPr>
      <w:r>
        <w:t>Notifications</w:t>
      </w:r>
    </w:p>
    <w:p>
      <w:pPr>
        <w:pStyle w:val="ListBullet"/>
      </w:pPr>
      <w:r>
        <w:rPr>
          <w:rFonts w:ascii="Aptos" w:hAnsi="Aptos"/>
          <w:b w:val="0"/>
          <w:i w:val="0"/>
          <w:color w:val="17213A"/>
          <w:sz w:val="20"/>
        </w:rPr>
        <w:t>Opt-in, purpose-specific preferences for learning reminders, teacher announcements, content updates and account/security notices.</w:t>
      </w:r>
    </w:p>
    <w:p>
      <w:pPr>
        <w:pStyle w:val="ListBullet"/>
      </w:pPr>
      <w:r>
        <w:rPr>
          <w:rFonts w:ascii="Aptos" w:hAnsi="Aptos"/>
          <w:b w:val="0"/>
          <w:i w:val="0"/>
          <w:color w:val="17213A"/>
          <w:sz w:val="20"/>
        </w:rPr>
        <w:t>No manipulative streak loss or public pressure. Notifications for minors follow school/guardian and quiet-hour policies.</w:t>
      </w:r>
    </w:p>
    <w:p>
      <w:pPr>
        <w:pStyle w:val="Heading2"/>
      </w:pPr>
      <w:r>
        <w:t>Distribution</w:t>
      </w:r>
    </w:p>
    <w:p>
      <w:pPr>
        <w:pStyle w:val="ListBullet"/>
      </w:pPr>
      <w:r>
        <w:rPr>
          <w:rFonts w:ascii="Aptos" w:hAnsi="Aptos"/>
          <w:b w:val="0"/>
          <w:i w:val="0"/>
          <w:color w:val="17213A"/>
          <w:sz w:val="20"/>
        </w:rPr>
        <w:t>Plan Apple App Store and Google Play release, privacy disclosures, age ratings, review accounts and tenant branding strategy.</w:t>
      </w:r>
    </w:p>
    <w:p>
      <w:pPr>
        <w:pStyle w:val="ListBullet"/>
      </w:pPr>
      <w:r>
        <w:rPr>
          <w:rFonts w:ascii="Aptos" w:hAnsi="Aptos"/>
          <w:b w:val="0"/>
          <w:i w:val="0"/>
          <w:color w:val="17213A"/>
          <w:sz w:val="20"/>
        </w:rPr>
        <w:t>Choose between one multi-tenant app and selected dedicated-branded apps based on maintenance economics and store policy; do not promise unlimited app forks.</w:t>
      </w:r>
    </w:p>
    <w:p>
      <w:pPr>
        <w:sectPr>
          <w:pgSz w:w="12240" w:h="15840"/>
          <w:pgMar w:top="1440" w:right="1440" w:bottom="1440" w:left="1440" w:header="708" w:footer="708" w:gutter="0"/>
          <w:cols w:space="720"/>
          <w:docGrid w:linePitch="360"/>
        </w:sectPr>
      </w:pPr>
    </w:p>
    <w:p>
      <w:pPr>
        <w:spacing w:after="100"/>
      </w:pPr>
      <w:r>
        <w:rPr>
          <w:rFonts w:ascii="Aptos" w:hAnsi="Aptos"/>
          <w:b/>
          <w:i w:val="0"/>
          <w:caps/>
          <w:color w:val="D9832E"/>
          <w:sz w:val="16"/>
        </w:rPr>
        <w:t>SECTION 15</w:t>
      </w:r>
    </w:p>
    <w:p>
      <w:pPr>
        <w:pStyle w:val="Heading1"/>
      </w:pPr>
      <w:r>
        <w:t>Technical architecture and integrations</w:t>
      </w:r>
    </w:p>
    <w:p>
      <w:pPr>
        <w:jc w:val="center"/>
      </w:pPr>
      <w:r>
        <w:drawing>
          <wp:inline xmlns:a="http://schemas.openxmlformats.org/drawingml/2006/main" xmlns:pic="http://schemas.openxmlformats.org/drawingml/2006/picture">
            <wp:extent cx="5943600" cy="2674620"/>
            <wp:docPr id="5" name="Picture 5" descr="Figure 4. Recommended logical architecture and integration boundaries."/>
            <wp:cNvGraphicFramePr>
              <a:graphicFrameLocks noChangeAspect="1"/>
            </wp:cNvGraphicFramePr>
            <a:graphic>
              <a:graphicData uri="http://schemas.openxmlformats.org/drawingml/2006/picture">
                <pic:pic>
                  <pic:nvPicPr>
                    <pic:cNvPr id="0" name="architecture.png"/>
                    <pic:cNvPicPr/>
                  </pic:nvPicPr>
                  <pic:blipFill>
                    <a:blip r:embed="rId15"/>
                    <a:stretch>
                      <a:fillRect/>
                    </a:stretch>
                  </pic:blipFill>
                  <pic:spPr>
                    <a:xfrm>
                      <a:off x="0" y="0"/>
                      <a:ext cx="5943600" cy="2674620"/>
                    </a:xfrm>
                    <a:prstGeom prst="rect"/>
                  </pic:spPr>
                </pic:pic>
              </a:graphicData>
            </a:graphic>
          </wp:inline>
        </w:drawing>
      </w:r>
    </w:p>
    <w:p>
      <w:pPr>
        <w:spacing w:after="180"/>
        <w:jc w:val="center"/>
      </w:pPr>
      <w:r>
        <w:rPr>
          <w:rFonts w:ascii="Aptos" w:hAnsi="Aptos"/>
          <w:b w:val="0"/>
          <w:i/>
          <w:color w:val="6D7282"/>
          <w:sz w:val="17"/>
        </w:rPr>
        <w:t>Figure 4. Recommended logical architecture and integration boundaries.</w:t>
      </w:r>
    </w:p>
    <w:p>
      <w:pPr>
        <w:pStyle w:val="Heading2"/>
      </w:pPr>
      <w:r>
        <w:t>Recommended implementation shape</w:t>
      </w:r>
    </w:p>
    <w:p>
      <w:pPr>
        <w:spacing w:before="0"/>
      </w:pPr>
      <w:r>
        <w:rPr>
          <w:rFonts w:ascii="Aptos" w:hAnsi="Aptos"/>
          <w:b w:val="0"/>
          <w:i w:val="0"/>
          <w:color w:val="17213A"/>
          <w:sz w:val="21"/>
        </w:rPr>
        <w:t>Begin with a modular monolith and well-defined domain modules: tenant, identity, catalogue, scripture/content, learning, assessment, credentials, notifications, reporting and integration. Use asynchronous events for progress, media processing, notifications and analytics. Extract services only when scale, security isolation or independent delivery demands it.</w:t>
      </w:r>
    </w:p>
    <w:p>
      <w:pPr>
        <w:pStyle w:val="Heading2"/>
      </w:pPr>
      <w:r>
        <w:t>Core technology capabilities</w:t>
      </w:r>
    </w:p>
    <w:tbl>
      <w:tblPr>
        <w:tblW w:type="dxa" w:w="9360"/>
        <w:jc w:val="left"/>
        <w:tblLayout w:type="fixed"/>
        <w:tblLook w:firstColumn="1" w:firstRow="1" w:lastColumn="0" w:lastRow="0" w:noHBand="0" w:noVBand="1" w:val="04A0"/>
        <w:tblInd w:w="120" w:type="dxa"/>
        <w:tblBorders>
          <w:top w:val="single" w:sz="6" w:space="0" w:color="DDD3C1"/>
          <w:left w:val="single" w:sz="6" w:space="0" w:color="DDD3C1"/>
          <w:bottom w:val="single" w:sz="6" w:space="0" w:color="DDD3C1"/>
          <w:right w:val="single" w:sz="6" w:space="0" w:color="DDD3C1"/>
          <w:insideH w:val="single" w:sz="6" w:space="0" w:color="DDD3C1"/>
          <w:insideV w:val="single" w:sz="6" w:space="0" w:color="DDD3C1"/>
        </w:tblBorders>
      </w:tblPr>
      <w:tblGrid>
        <w:gridCol w:w="1700"/>
        <w:gridCol w:w="7660"/>
      </w:tblGrid>
      <w:tr>
        <w:trPr>
          <w:tblHeader w:val="true"/>
        </w:trPr>
        <w:tc>
          <w:tcPr>
            <w:tcW w:type="dxa" w:w="1700"/>
            <w:tcMar>
              <w:top w:w="100" w:type="dxa"/>
              <w:start w:w="120" w:type="dxa"/>
              <w:bottom w:w="100" w:type="dxa"/>
              <w:end w:w="120" w:type="dxa"/>
            </w:tcMar>
            <w:shd w:fill="18264F"/>
            <w:vAlign w:val="center"/>
          </w:tcPr>
          <w:p>
            <w:pPr>
              <w:spacing w:after="0"/>
            </w:pPr>
            <w:r>
              <w:rPr>
                <w:rFonts w:ascii="Aptos" w:hAnsi="Aptos"/>
                <w:b/>
                <w:i w:val="0"/>
                <w:color w:val="FFFFFF"/>
                <w:sz w:val="18"/>
              </w:rPr>
              <w:t>Domain</w:t>
            </w:r>
          </w:p>
        </w:tc>
        <w:tc>
          <w:tcPr>
            <w:tcW w:type="dxa" w:w="7660"/>
            <w:tcMar>
              <w:top w:w="100" w:type="dxa"/>
              <w:start w:w="120" w:type="dxa"/>
              <w:bottom w:w="100" w:type="dxa"/>
              <w:end w:w="120" w:type="dxa"/>
            </w:tcMar>
            <w:shd w:fill="18264F"/>
            <w:vAlign w:val="center"/>
          </w:tcPr>
          <w:p>
            <w:pPr>
              <w:spacing w:after="0"/>
            </w:pPr>
            <w:r>
              <w:rPr>
                <w:rFonts w:ascii="Aptos" w:hAnsi="Aptos"/>
                <w:b/>
                <w:i w:val="0"/>
                <w:color w:val="FFFFFF"/>
                <w:sz w:val="18"/>
              </w:rPr>
              <w:t>Capabilities</w:t>
            </w:r>
          </w:p>
        </w:tc>
      </w:tr>
      <w:tr>
        <w:tc>
          <w:tcPr>
            <w:tcW w:type="dxa" w:w="1700"/>
            <w:vAlign w:val="center"/>
          </w:tcPr>
          <w:p>
            <w:pPr>
              <w:spacing w:after="0" w:line="252" w:lineRule="auto"/>
            </w:pPr>
            <w:r>
              <w:rPr>
                <w:rFonts w:ascii="Aptos" w:hAnsi="Aptos"/>
                <w:b w:val="0"/>
                <w:i w:val="0"/>
                <w:color w:val="17213A"/>
                <w:sz w:val="16"/>
              </w:rPr>
              <w:t>Experience delivery</w:t>
            </w:r>
          </w:p>
        </w:tc>
        <w:tc>
          <w:tcPr>
            <w:tcW w:type="dxa" w:w="7660"/>
            <w:vAlign w:val="center"/>
          </w:tcPr>
          <w:p>
            <w:pPr>
              <w:spacing w:after="0" w:line="252" w:lineRule="auto"/>
            </w:pPr>
            <w:r>
              <w:rPr>
                <w:rFonts w:ascii="Aptos" w:hAnsi="Aptos"/>
                <w:b w:val="0"/>
                <w:i w:val="0"/>
                <w:color w:val="17213A"/>
                <w:sz w:val="16"/>
              </w:rPr>
              <w:t>Responsive SSR/PWA web; iOS/Android client; design tokens; tenant theming; localisation.</w:t>
            </w:r>
          </w:p>
        </w:tc>
      </w:tr>
      <w:tr>
        <w:tc>
          <w:tcPr>
            <w:tcW w:type="dxa" w:w="1700"/>
            <w:vAlign w:val="center"/>
            <w:shd w:fill="F8F6F1"/>
          </w:tcPr>
          <w:p>
            <w:pPr>
              <w:spacing w:after="0" w:line="252" w:lineRule="auto"/>
            </w:pPr>
            <w:r>
              <w:rPr>
                <w:rFonts w:ascii="Aptos" w:hAnsi="Aptos"/>
                <w:b w:val="0"/>
                <w:i w:val="0"/>
                <w:color w:val="17213A"/>
                <w:sz w:val="16"/>
              </w:rPr>
              <w:t>API layer</w:t>
            </w:r>
          </w:p>
        </w:tc>
        <w:tc>
          <w:tcPr>
            <w:tcW w:type="dxa" w:w="7660"/>
            <w:vAlign w:val="center"/>
            <w:shd w:fill="F8F6F1"/>
          </w:tcPr>
          <w:p>
            <w:pPr>
              <w:spacing w:after="0" w:line="252" w:lineRule="auto"/>
            </w:pPr>
            <w:r>
              <w:rPr>
                <w:rFonts w:ascii="Aptos" w:hAnsi="Aptos"/>
                <w:b w:val="0"/>
                <w:i w:val="0"/>
                <w:color w:val="17213A"/>
                <w:sz w:val="16"/>
              </w:rPr>
              <w:t>Versioned REST/GraphQL as justified; tenant context; idempotency; rate limits; mobile compatibility.</w:t>
            </w:r>
          </w:p>
        </w:tc>
      </w:tr>
      <w:tr>
        <w:tc>
          <w:tcPr>
            <w:tcW w:type="dxa" w:w="1700"/>
            <w:vAlign w:val="center"/>
          </w:tcPr>
          <w:p>
            <w:pPr>
              <w:spacing w:after="0" w:line="252" w:lineRule="auto"/>
            </w:pPr>
            <w:r>
              <w:rPr>
                <w:rFonts w:ascii="Aptos" w:hAnsi="Aptos"/>
                <w:b w:val="0"/>
                <w:i w:val="0"/>
                <w:color w:val="17213A"/>
                <w:sz w:val="16"/>
              </w:rPr>
              <w:t>Content</w:t>
            </w:r>
          </w:p>
        </w:tc>
        <w:tc>
          <w:tcPr>
            <w:tcW w:type="dxa" w:w="7660"/>
            <w:vAlign w:val="center"/>
          </w:tcPr>
          <w:p>
            <w:pPr>
              <w:spacing w:after="0" w:line="252" w:lineRule="auto"/>
            </w:pPr>
            <w:r>
              <w:rPr>
                <w:rFonts w:ascii="Aptos" w:hAnsi="Aptos"/>
                <w:b w:val="0"/>
                <w:i w:val="0"/>
                <w:color w:val="17213A"/>
                <w:sz w:val="16"/>
              </w:rPr>
              <w:t>Headless structured CMS, object storage, CDN, media transcoding, captions/transcripts and search indexing.</w:t>
            </w:r>
          </w:p>
        </w:tc>
      </w:tr>
      <w:tr>
        <w:tc>
          <w:tcPr>
            <w:tcW w:type="dxa" w:w="1700"/>
            <w:vAlign w:val="center"/>
            <w:shd w:fill="F8F6F1"/>
          </w:tcPr>
          <w:p>
            <w:pPr>
              <w:spacing w:after="0" w:line="252" w:lineRule="auto"/>
            </w:pPr>
            <w:r>
              <w:rPr>
                <w:rFonts w:ascii="Aptos" w:hAnsi="Aptos"/>
                <w:b w:val="0"/>
                <w:i w:val="0"/>
                <w:color w:val="17213A"/>
                <w:sz w:val="16"/>
              </w:rPr>
              <w:t>Learning</w:t>
            </w:r>
          </w:p>
        </w:tc>
        <w:tc>
          <w:tcPr>
            <w:tcW w:type="dxa" w:w="7660"/>
            <w:vAlign w:val="center"/>
            <w:shd w:fill="F8F6F1"/>
          </w:tcPr>
          <w:p>
            <w:pPr>
              <w:spacing w:after="0" w:line="252" w:lineRule="auto"/>
            </w:pPr>
            <w:r>
              <w:rPr>
                <w:rFonts w:ascii="Aptos" w:hAnsi="Aptos"/>
                <w:b w:val="0"/>
                <w:i w:val="0"/>
                <w:color w:val="17213A"/>
                <w:sz w:val="16"/>
              </w:rPr>
              <w:t>Enrolment, prerequisites, activity completion, attempts, mastery, schedules and offline sync.</w:t>
            </w:r>
          </w:p>
        </w:tc>
      </w:tr>
      <w:tr>
        <w:tc>
          <w:tcPr>
            <w:tcW w:type="dxa" w:w="1700"/>
            <w:vAlign w:val="center"/>
          </w:tcPr>
          <w:p>
            <w:pPr>
              <w:spacing w:after="0" w:line="252" w:lineRule="auto"/>
            </w:pPr>
            <w:r>
              <w:rPr>
                <w:rFonts w:ascii="Aptos" w:hAnsi="Aptos"/>
                <w:b w:val="0"/>
                <w:i w:val="0"/>
                <w:color w:val="17213A"/>
                <w:sz w:val="16"/>
              </w:rPr>
              <w:t>Identity</w:t>
            </w:r>
          </w:p>
        </w:tc>
        <w:tc>
          <w:tcPr>
            <w:tcW w:type="dxa" w:w="7660"/>
            <w:vAlign w:val="center"/>
          </w:tcPr>
          <w:p>
            <w:pPr>
              <w:spacing w:after="0" w:line="252" w:lineRule="auto"/>
            </w:pPr>
            <w:r>
              <w:rPr>
                <w:rFonts w:ascii="Aptos" w:hAnsi="Aptos"/>
                <w:b w:val="0"/>
                <w:i w:val="0"/>
                <w:color w:val="17213A"/>
                <w:sz w:val="16"/>
              </w:rPr>
              <w:t>OIDC/OAuth, passwordless, tenant SSO, LTI launches, session/device management and scoped roles.</w:t>
            </w:r>
          </w:p>
        </w:tc>
      </w:tr>
      <w:tr>
        <w:tc>
          <w:tcPr>
            <w:tcW w:type="dxa" w:w="1700"/>
            <w:vAlign w:val="center"/>
            <w:shd w:fill="F8F6F1"/>
          </w:tcPr>
          <w:p>
            <w:pPr>
              <w:spacing w:after="0" w:line="252" w:lineRule="auto"/>
            </w:pPr>
            <w:r>
              <w:rPr>
                <w:rFonts w:ascii="Aptos" w:hAnsi="Aptos"/>
                <w:b w:val="0"/>
                <w:i w:val="0"/>
                <w:color w:val="17213A"/>
                <w:sz w:val="16"/>
              </w:rPr>
              <w:t>Data</w:t>
            </w:r>
          </w:p>
        </w:tc>
        <w:tc>
          <w:tcPr>
            <w:tcW w:type="dxa" w:w="7660"/>
            <w:vAlign w:val="center"/>
            <w:shd w:fill="F8F6F1"/>
          </w:tcPr>
          <w:p>
            <w:pPr>
              <w:spacing w:after="0" w:line="252" w:lineRule="auto"/>
            </w:pPr>
            <w:r>
              <w:rPr>
                <w:rFonts w:ascii="Aptos" w:hAnsi="Aptos"/>
                <w:b w:val="0"/>
                <w:i w:val="0"/>
                <w:color w:val="17213A"/>
                <w:sz w:val="16"/>
              </w:rPr>
              <w:t>Relational operational store, object storage, cache, event/queue, warehouse/analytics and audit log.</w:t>
            </w:r>
          </w:p>
        </w:tc>
      </w:tr>
      <w:tr>
        <w:tc>
          <w:tcPr>
            <w:tcW w:type="dxa" w:w="1700"/>
            <w:vAlign w:val="center"/>
          </w:tcPr>
          <w:p>
            <w:pPr>
              <w:spacing w:after="0" w:line="252" w:lineRule="auto"/>
            </w:pPr>
            <w:r>
              <w:rPr>
                <w:rFonts w:ascii="Aptos" w:hAnsi="Aptos"/>
                <w:b w:val="0"/>
                <w:i w:val="0"/>
                <w:color w:val="17213A"/>
                <w:sz w:val="16"/>
              </w:rPr>
              <w:t>Operations</w:t>
            </w:r>
          </w:p>
        </w:tc>
        <w:tc>
          <w:tcPr>
            <w:tcW w:type="dxa" w:w="7660"/>
            <w:vAlign w:val="center"/>
          </w:tcPr>
          <w:p>
            <w:pPr>
              <w:spacing w:after="0" w:line="252" w:lineRule="auto"/>
            </w:pPr>
            <w:r>
              <w:rPr>
                <w:rFonts w:ascii="Aptos" w:hAnsi="Aptos"/>
                <w:b w:val="0"/>
                <w:i w:val="0"/>
                <w:color w:val="17213A"/>
                <w:sz w:val="16"/>
              </w:rPr>
              <w:t>Infrastructure as code, CI/CD, observability, feature flags, secrets, backups and disaster recovery.</w:t>
            </w:r>
          </w:p>
        </w:tc>
      </w:tr>
    </w:tbl>
    <w:p>
      <w:pPr>
        <w:spacing w:after="20"/>
      </w:pPr>
    </w:p>
    <w:p>
      <w:pPr>
        <w:sectPr>
          <w:pgSz w:w="12240" w:h="15840"/>
          <w:pgMar w:top="1440" w:right="1440" w:bottom="1440" w:left="1440" w:header="708" w:footer="708" w:gutter="0"/>
          <w:cols w:space="720"/>
          <w:docGrid w:linePitch="360"/>
        </w:sectPr>
      </w:pPr>
    </w:p>
    <w:p>
      <w:pPr>
        <w:pStyle w:val="Heading2"/>
      </w:pPr>
      <w:r>
        <w:t>Integration standards and APIs</w:t>
      </w:r>
    </w:p>
    <w:p>
      <w:pPr>
        <w:pStyle w:val="ListBullet"/>
      </w:pPr>
      <w:r>
        <w:rPr>
          <w:rFonts w:ascii="Aptos" w:hAnsi="Aptos"/>
          <w:b w:val="0"/>
          <w:i w:val="0"/>
          <w:color w:val="17213A"/>
          <w:sz w:val="20"/>
        </w:rPr>
        <w:t>Use OpenID Connect/OAuth 2.0 for modern identity integrations and SAML 2.0 only where enterprise/school demand justifies it.</w:t>
      </w:r>
    </w:p>
    <w:p>
      <w:pPr>
        <w:pStyle w:val="ListBullet"/>
      </w:pPr>
      <w:r>
        <w:rPr>
          <w:rFonts w:ascii="Aptos" w:hAnsi="Aptos"/>
          <w:b w:val="0"/>
          <w:i w:val="0"/>
          <w:color w:val="17213A"/>
          <w:sz w:val="20"/>
        </w:rPr>
        <w:t>Support 1EdTech LTI 1.3 and LTI Advantage for secure LMS launch, deep linking, roster/roles and grade return; seek certification when the school product is ready.</w:t>
      </w:r>
    </w:p>
    <w:p>
      <w:pPr>
        <w:pStyle w:val="ListBullet"/>
      </w:pPr>
      <w:r>
        <w:rPr>
          <w:rFonts w:ascii="Aptos" w:hAnsi="Aptos"/>
          <w:b w:val="0"/>
          <w:i w:val="0"/>
          <w:color w:val="17213A"/>
          <w:sz w:val="20"/>
        </w:rPr>
        <w:t>Consider OneRoster for roster exchange and QTI for assessment portability after confirming target systems.</w:t>
      </w:r>
    </w:p>
    <w:p>
      <w:pPr>
        <w:pStyle w:val="ListBullet"/>
      </w:pPr>
      <w:r>
        <w:rPr>
          <w:rFonts w:ascii="Aptos" w:hAnsi="Aptos"/>
          <w:b w:val="0"/>
          <w:i w:val="0"/>
          <w:color w:val="17213A"/>
          <w:sz w:val="20"/>
        </w:rPr>
        <w:t>Use xAPI-style learning statements or an internal event model that can map cleanly to xAPI for institutional analytics.</w:t>
      </w:r>
    </w:p>
    <w:p>
      <w:pPr>
        <w:pStyle w:val="ListBullet"/>
      </w:pPr>
      <w:r>
        <w:rPr>
          <w:rFonts w:ascii="Aptos" w:hAnsi="Aptos"/>
          <w:b w:val="0"/>
          <w:i w:val="0"/>
          <w:color w:val="17213A"/>
          <w:sz w:val="20"/>
        </w:rPr>
        <w:t>Provide documented webhooks and export APIs for enrolment, completion, certificate and content release events.</w:t>
      </w:r>
    </w:p>
    <w:p>
      <w:pPr>
        <w:pStyle w:val="Heading2"/>
      </w:pPr>
      <w:r>
        <w:t>Prototype migration</w:t>
      </w:r>
    </w:p>
    <w:p>
      <w:pPr>
        <w:pStyle w:val="ListBullet"/>
      </w:pPr>
      <w:r>
        <w:rPr>
          <w:rFonts w:ascii="Aptos" w:hAnsi="Aptos"/>
          <w:b w:val="0"/>
          <w:i w:val="0"/>
          <w:color w:val="17213A"/>
          <w:sz w:val="20"/>
        </w:rPr>
        <w:t>Preserve the approved information design and visual tokens; rebuild prototype-only static content as structured CMS records.</w:t>
      </w:r>
    </w:p>
    <w:p>
      <w:pPr>
        <w:pStyle w:val="ListBullet"/>
      </w:pPr>
      <w:r>
        <w:rPr>
          <w:rFonts w:ascii="Aptos" w:hAnsi="Aptos"/>
          <w:b w:val="0"/>
          <w:i w:val="0"/>
          <w:color w:val="17213A"/>
          <w:sz w:val="20"/>
        </w:rPr>
        <w:t>Migrate existing accounts/progress only after data mapping, consent, deduplication and rollback are approved.</w:t>
      </w:r>
    </w:p>
    <w:p>
      <w:pPr>
        <w:pStyle w:val="ListBullet"/>
      </w:pPr>
      <w:r>
        <w:rPr>
          <w:rFonts w:ascii="Aptos" w:hAnsi="Aptos"/>
          <w:b w:val="0"/>
          <w:i w:val="0"/>
          <w:color w:val="17213A"/>
          <w:sz w:val="20"/>
        </w:rPr>
        <w:t>Retain stable public URLs or implement redirects; verify certificates and shared links remain valid.</w:t>
      </w:r>
    </w:p>
    <w:p>
      <w:pPr>
        <w:sectPr>
          <w:pgSz w:w="12240" w:h="15840"/>
          <w:pgMar w:top="1440" w:right="1440" w:bottom="1440" w:left="1440" w:header="708" w:footer="708" w:gutter="0"/>
          <w:cols w:space="720"/>
          <w:docGrid w:linePitch="360"/>
        </w:sectPr>
      </w:pPr>
    </w:p>
    <w:p>
      <w:pPr>
        <w:spacing w:after="100"/>
      </w:pPr>
      <w:r>
        <w:rPr>
          <w:rFonts w:ascii="Aptos" w:hAnsi="Aptos"/>
          <w:b/>
          <w:i w:val="0"/>
          <w:caps/>
          <w:color w:val="D9832E"/>
          <w:sz w:val="16"/>
        </w:rPr>
        <w:t>SECTION 16</w:t>
      </w:r>
    </w:p>
    <w:p>
      <w:pPr>
        <w:pStyle w:val="Heading1"/>
      </w:pPr>
      <w:r>
        <w:t>Data, privacy, security and safeguarding</w:t>
      </w:r>
    </w:p>
    <w:p>
      <w:pPr>
        <w:pStyle w:val="Heading2"/>
      </w:pPr>
      <w:r>
        <w:t>Privacy architecture</w:t>
      </w:r>
    </w:p>
    <w:p>
      <w:pPr>
        <w:pStyle w:val="ListBullet"/>
      </w:pPr>
      <w:r>
        <w:rPr>
          <w:rFonts w:ascii="Aptos" w:hAnsi="Aptos"/>
          <w:b w:val="0"/>
          <w:i w:val="0"/>
          <w:color w:val="17213A"/>
          <w:sz w:val="20"/>
        </w:rPr>
        <w:t>Map controller/processor roles by deployment and tenant; maintain records of purpose, lawful basis/consent, data category, retention, sharing and rights handling.</w:t>
      </w:r>
    </w:p>
    <w:p>
      <w:pPr>
        <w:pStyle w:val="ListBullet"/>
      </w:pPr>
      <w:r>
        <w:rPr>
          <w:rFonts w:ascii="Aptos" w:hAnsi="Aptos"/>
          <w:b w:val="0"/>
          <w:i w:val="0"/>
          <w:color w:val="17213A"/>
          <w:sz w:val="20"/>
        </w:rPr>
        <w:t>Use data minimisation and purpose limitation. Private reflections require separate treatment and should not feed analytics or AI by default.</w:t>
      </w:r>
    </w:p>
    <w:p>
      <w:pPr>
        <w:pStyle w:val="ListBullet"/>
      </w:pPr>
      <w:r>
        <w:rPr>
          <w:rFonts w:ascii="Aptos" w:hAnsi="Aptos"/>
          <w:b w:val="0"/>
          <w:i w:val="0"/>
          <w:color w:val="17213A"/>
          <w:sz w:val="20"/>
        </w:rPr>
        <w:t>Provide self-service access, correction, export and deletion workflows appropriate to policy and legal obligations.</w:t>
      </w:r>
    </w:p>
    <w:p>
      <w:pPr>
        <w:pStyle w:val="ListBullet"/>
      </w:pPr>
      <w:r>
        <w:rPr>
          <w:rFonts w:ascii="Aptos" w:hAnsi="Aptos"/>
          <w:b w:val="0"/>
          <w:i w:val="0"/>
          <w:color w:val="17213A"/>
          <w:sz w:val="20"/>
        </w:rPr>
        <w:t>Maintain a current subprocessor register, cross-border transfer approach and data-processing agreement templates.</w:t>
      </w:r>
    </w:p>
    <w:p>
      <w:pPr>
        <w:pStyle w:val="ListBullet"/>
      </w:pPr>
      <w:r>
        <w:rPr>
          <w:rFonts w:ascii="Aptos" w:hAnsi="Aptos"/>
          <w:b w:val="0"/>
          <w:i w:val="0"/>
          <w:color w:val="17213A"/>
          <w:sz w:val="20"/>
        </w:rPr>
        <w:t>Treat India’s Digital Personal Data Protection Act 2023 and Digital Personal Data Protection Rules 2025 as requirements for legal review, especially children’s data and consent; implement per launch timeline and jurisdictional advice.</w:t>
      </w:r>
    </w:p>
    <w:p>
      <w:pPr>
        <w:pStyle w:val="Heading2"/>
      </w:pPr>
      <w:r>
        <w:t>Security baseline</w:t>
      </w:r>
    </w:p>
    <w:tbl>
      <w:tblPr>
        <w:tblW w:type="dxa" w:w="9360"/>
        <w:jc w:val="left"/>
        <w:tblLayout w:type="fixed"/>
        <w:tblLook w:firstColumn="1" w:firstRow="1" w:lastColumn="0" w:lastRow="0" w:noHBand="0" w:noVBand="1" w:val="04A0"/>
        <w:tblInd w:w="120" w:type="dxa"/>
        <w:tblBorders>
          <w:top w:val="single" w:sz="6" w:space="0" w:color="DDD3C1"/>
          <w:left w:val="single" w:sz="6" w:space="0" w:color="DDD3C1"/>
          <w:bottom w:val="single" w:sz="6" w:space="0" w:color="DDD3C1"/>
          <w:right w:val="single" w:sz="6" w:space="0" w:color="DDD3C1"/>
          <w:insideH w:val="single" w:sz="6" w:space="0" w:color="DDD3C1"/>
          <w:insideV w:val="single" w:sz="6" w:space="0" w:color="DDD3C1"/>
        </w:tblBorders>
      </w:tblPr>
      <w:tblGrid>
        <w:gridCol w:w="1900"/>
        <w:gridCol w:w="7460"/>
      </w:tblGrid>
      <w:tr>
        <w:trPr>
          <w:tblHeader w:val="true"/>
        </w:trPr>
        <w:tc>
          <w:tcPr>
            <w:tcW w:type="dxa" w:w="1900"/>
            <w:tcMar>
              <w:top w:w="100" w:type="dxa"/>
              <w:start w:w="120" w:type="dxa"/>
              <w:bottom w:w="100" w:type="dxa"/>
              <w:end w:w="120" w:type="dxa"/>
            </w:tcMar>
            <w:shd w:fill="18264F"/>
            <w:vAlign w:val="center"/>
          </w:tcPr>
          <w:p>
            <w:pPr>
              <w:spacing w:after="0"/>
            </w:pPr>
            <w:r>
              <w:rPr>
                <w:rFonts w:ascii="Aptos" w:hAnsi="Aptos"/>
                <w:b/>
                <w:i w:val="0"/>
                <w:color w:val="FFFFFF"/>
                <w:sz w:val="18"/>
              </w:rPr>
              <w:t>Area</w:t>
            </w:r>
          </w:p>
        </w:tc>
        <w:tc>
          <w:tcPr>
            <w:tcW w:type="dxa" w:w="7460"/>
            <w:tcMar>
              <w:top w:w="100" w:type="dxa"/>
              <w:start w:w="120" w:type="dxa"/>
              <w:bottom w:w="100" w:type="dxa"/>
              <w:end w:w="120" w:type="dxa"/>
            </w:tcMar>
            <w:shd w:fill="18264F"/>
            <w:vAlign w:val="center"/>
          </w:tcPr>
          <w:p>
            <w:pPr>
              <w:spacing w:after="0"/>
            </w:pPr>
            <w:r>
              <w:rPr>
                <w:rFonts w:ascii="Aptos" w:hAnsi="Aptos"/>
                <w:b/>
                <w:i w:val="0"/>
                <w:color w:val="FFFFFF"/>
                <w:sz w:val="18"/>
              </w:rPr>
              <w:t>Minimum expectation</w:t>
            </w:r>
          </w:p>
        </w:tc>
      </w:tr>
      <w:tr>
        <w:tc>
          <w:tcPr>
            <w:tcW w:type="dxa" w:w="1900"/>
            <w:vAlign w:val="center"/>
          </w:tcPr>
          <w:p>
            <w:pPr>
              <w:spacing w:after="0" w:line="252" w:lineRule="auto"/>
            </w:pPr>
            <w:r>
              <w:rPr>
                <w:rFonts w:ascii="Aptos" w:hAnsi="Aptos"/>
                <w:b w:val="0"/>
                <w:i w:val="0"/>
                <w:color w:val="17213A"/>
                <w:sz w:val="16"/>
              </w:rPr>
              <w:t>Identity</w:t>
            </w:r>
          </w:p>
        </w:tc>
        <w:tc>
          <w:tcPr>
            <w:tcW w:type="dxa" w:w="7460"/>
            <w:vAlign w:val="center"/>
          </w:tcPr>
          <w:p>
            <w:pPr>
              <w:spacing w:after="0" w:line="252" w:lineRule="auto"/>
            </w:pPr>
            <w:r>
              <w:rPr>
                <w:rFonts w:ascii="Aptos" w:hAnsi="Aptos"/>
                <w:b w:val="0"/>
                <w:i w:val="0"/>
                <w:color w:val="17213A"/>
                <w:sz w:val="16"/>
              </w:rPr>
              <w:t>MFA for privileged roles; phishing-resistant option; secure recovery; short-lived sessions; device/session management.</w:t>
            </w:r>
          </w:p>
        </w:tc>
      </w:tr>
      <w:tr>
        <w:tc>
          <w:tcPr>
            <w:tcW w:type="dxa" w:w="1900"/>
            <w:vAlign w:val="center"/>
            <w:shd w:fill="F8F6F1"/>
          </w:tcPr>
          <w:p>
            <w:pPr>
              <w:spacing w:after="0" w:line="252" w:lineRule="auto"/>
            </w:pPr>
            <w:r>
              <w:rPr>
                <w:rFonts w:ascii="Aptos" w:hAnsi="Aptos"/>
                <w:b w:val="0"/>
                <w:i w:val="0"/>
                <w:color w:val="17213A"/>
                <w:sz w:val="16"/>
              </w:rPr>
              <w:t>Authorisation</w:t>
            </w:r>
          </w:p>
        </w:tc>
        <w:tc>
          <w:tcPr>
            <w:tcW w:type="dxa" w:w="7460"/>
            <w:vAlign w:val="center"/>
            <w:shd w:fill="F8F6F1"/>
          </w:tcPr>
          <w:p>
            <w:pPr>
              <w:spacing w:after="0" w:line="252" w:lineRule="auto"/>
            </w:pPr>
            <w:r>
              <w:rPr>
                <w:rFonts w:ascii="Aptos" w:hAnsi="Aptos"/>
                <w:b w:val="0"/>
                <w:i w:val="0"/>
                <w:color w:val="17213A"/>
                <w:sz w:val="16"/>
              </w:rPr>
              <w:t>Central policy enforcement, least privilege, tenant isolation and automated negative tests.</w:t>
            </w:r>
          </w:p>
        </w:tc>
      </w:tr>
      <w:tr>
        <w:tc>
          <w:tcPr>
            <w:tcW w:type="dxa" w:w="1900"/>
            <w:vAlign w:val="center"/>
          </w:tcPr>
          <w:p>
            <w:pPr>
              <w:spacing w:after="0" w:line="252" w:lineRule="auto"/>
            </w:pPr>
            <w:r>
              <w:rPr>
                <w:rFonts w:ascii="Aptos" w:hAnsi="Aptos"/>
                <w:b w:val="0"/>
                <w:i w:val="0"/>
                <w:color w:val="17213A"/>
                <w:sz w:val="16"/>
              </w:rPr>
              <w:t>Data protection</w:t>
            </w:r>
          </w:p>
        </w:tc>
        <w:tc>
          <w:tcPr>
            <w:tcW w:type="dxa" w:w="7460"/>
            <w:vAlign w:val="center"/>
          </w:tcPr>
          <w:p>
            <w:pPr>
              <w:spacing w:after="0" w:line="252" w:lineRule="auto"/>
            </w:pPr>
            <w:r>
              <w:rPr>
                <w:rFonts w:ascii="Aptos" w:hAnsi="Aptos"/>
                <w:b w:val="0"/>
                <w:i w:val="0"/>
                <w:color w:val="17213A"/>
                <w:sz w:val="16"/>
              </w:rPr>
              <w:t>TLS, encryption at rest, managed keys, secrets vault, encrypted backups and secure local mobile storage.</w:t>
            </w:r>
          </w:p>
        </w:tc>
      </w:tr>
      <w:tr>
        <w:tc>
          <w:tcPr>
            <w:tcW w:type="dxa" w:w="1900"/>
            <w:vAlign w:val="center"/>
            <w:shd w:fill="F8F6F1"/>
          </w:tcPr>
          <w:p>
            <w:pPr>
              <w:spacing w:after="0" w:line="252" w:lineRule="auto"/>
            </w:pPr>
            <w:r>
              <w:rPr>
                <w:rFonts w:ascii="Aptos" w:hAnsi="Aptos"/>
                <w:b w:val="0"/>
                <w:i w:val="0"/>
                <w:color w:val="17213A"/>
                <w:sz w:val="16"/>
              </w:rPr>
              <w:t>Application security</w:t>
            </w:r>
          </w:p>
        </w:tc>
        <w:tc>
          <w:tcPr>
            <w:tcW w:type="dxa" w:w="7460"/>
            <w:vAlign w:val="center"/>
            <w:shd w:fill="F8F6F1"/>
          </w:tcPr>
          <w:p>
            <w:pPr>
              <w:spacing w:after="0" w:line="252" w:lineRule="auto"/>
            </w:pPr>
            <w:r>
              <w:rPr>
                <w:rFonts w:ascii="Aptos" w:hAnsi="Aptos"/>
                <w:b w:val="0"/>
                <w:i w:val="0"/>
                <w:color w:val="17213A"/>
                <w:sz w:val="16"/>
              </w:rPr>
              <w:t>Threat modelling, secure SDLC, dependency/SBOM management, SAST/DAST, code review and penetration testing.</w:t>
            </w:r>
          </w:p>
        </w:tc>
      </w:tr>
      <w:tr>
        <w:tc>
          <w:tcPr>
            <w:tcW w:type="dxa" w:w="1900"/>
            <w:vAlign w:val="center"/>
          </w:tcPr>
          <w:p>
            <w:pPr>
              <w:spacing w:after="0" w:line="252" w:lineRule="auto"/>
            </w:pPr>
            <w:r>
              <w:rPr>
                <w:rFonts w:ascii="Aptos" w:hAnsi="Aptos"/>
                <w:b w:val="0"/>
                <w:i w:val="0"/>
                <w:color w:val="17213A"/>
                <w:sz w:val="16"/>
              </w:rPr>
              <w:t>Audit</w:t>
            </w:r>
          </w:p>
        </w:tc>
        <w:tc>
          <w:tcPr>
            <w:tcW w:type="dxa" w:w="7460"/>
            <w:vAlign w:val="center"/>
          </w:tcPr>
          <w:p>
            <w:pPr>
              <w:spacing w:after="0" w:line="252" w:lineRule="auto"/>
            </w:pPr>
            <w:r>
              <w:rPr>
                <w:rFonts w:ascii="Aptos" w:hAnsi="Aptos"/>
                <w:b w:val="0"/>
                <w:i w:val="0"/>
                <w:color w:val="17213A"/>
                <w:sz w:val="16"/>
              </w:rPr>
              <w:t>Immutable or tamper-evident privileged, content, certificate, export and consent events with monitored access.</w:t>
            </w:r>
          </w:p>
        </w:tc>
      </w:tr>
      <w:tr>
        <w:tc>
          <w:tcPr>
            <w:tcW w:type="dxa" w:w="1900"/>
            <w:vAlign w:val="center"/>
            <w:shd w:fill="F8F6F1"/>
          </w:tcPr>
          <w:p>
            <w:pPr>
              <w:spacing w:after="0" w:line="252" w:lineRule="auto"/>
            </w:pPr>
            <w:r>
              <w:rPr>
                <w:rFonts w:ascii="Aptos" w:hAnsi="Aptos"/>
                <w:b w:val="0"/>
                <w:i w:val="0"/>
                <w:color w:val="17213A"/>
                <w:sz w:val="16"/>
              </w:rPr>
              <w:t>Operations</w:t>
            </w:r>
          </w:p>
        </w:tc>
        <w:tc>
          <w:tcPr>
            <w:tcW w:type="dxa" w:w="7460"/>
            <w:vAlign w:val="center"/>
            <w:shd w:fill="F8F6F1"/>
          </w:tcPr>
          <w:p>
            <w:pPr>
              <w:spacing w:after="0" w:line="252" w:lineRule="auto"/>
            </w:pPr>
            <w:r>
              <w:rPr>
                <w:rFonts w:ascii="Aptos" w:hAnsi="Aptos"/>
                <w:b w:val="0"/>
                <w:i w:val="0"/>
                <w:color w:val="17213A"/>
                <w:sz w:val="16"/>
              </w:rPr>
              <w:t>Central logs/metrics/traces, alerting, incident response, vulnerability SLAs, backup restore tests and DR exercises.</w:t>
            </w:r>
          </w:p>
        </w:tc>
      </w:tr>
      <w:tr>
        <w:tc>
          <w:tcPr>
            <w:tcW w:type="dxa" w:w="1900"/>
            <w:vAlign w:val="center"/>
          </w:tcPr>
          <w:p>
            <w:pPr>
              <w:spacing w:after="0" w:line="252" w:lineRule="auto"/>
            </w:pPr>
            <w:r>
              <w:rPr>
                <w:rFonts w:ascii="Aptos" w:hAnsi="Aptos"/>
                <w:b w:val="0"/>
                <w:i w:val="0"/>
                <w:color w:val="17213A"/>
                <w:sz w:val="16"/>
              </w:rPr>
              <w:t>Suppliers</w:t>
            </w:r>
          </w:p>
        </w:tc>
        <w:tc>
          <w:tcPr>
            <w:tcW w:type="dxa" w:w="7460"/>
            <w:vAlign w:val="center"/>
          </w:tcPr>
          <w:p>
            <w:pPr>
              <w:spacing w:after="0" w:line="252" w:lineRule="auto"/>
            </w:pPr>
            <w:r>
              <w:rPr>
                <w:rFonts w:ascii="Aptos" w:hAnsi="Aptos"/>
                <w:b w:val="0"/>
                <w:i w:val="0"/>
                <w:color w:val="17213A"/>
                <w:sz w:val="16"/>
              </w:rPr>
              <w:t>Risk assessment and contractual security/privacy obligations for hosting, email, video, analytics, AI and support.</w:t>
            </w:r>
          </w:p>
        </w:tc>
      </w:tr>
    </w:tbl>
    <w:p>
      <w:pPr>
        <w:spacing w:after="20"/>
      </w:pPr>
    </w:p>
    <w:p>
      <w:pPr>
        <w:sectPr>
          <w:pgSz w:w="12240" w:h="15840"/>
          <w:pgMar w:top="1440" w:right="1440" w:bottom="1440" w:left="1440" w:header="708" w:footer="708" w:gutter="0"/>
          <w:cols w:space="720"/>
          <w:docGrid w:linePitch="360"/>
        </w:sectPr>
      </w:pPr>
    </w:p>
    <w:p>
      <w:pPr>
        <w:pStyle w:val="Heading2"/>
      </w:pPr>
      <w:r>
        <w:t>Child safeguarding</w:t>
      </w:r>
    </w:p>
    <w:p>
      <w:pPr>
        <w:pStyle w:val="ListBullet"/>
      </w:pPr>
      <w:r>
        <w:rPr>
          <w:rFonts w:ascii="Aptos" w:hAnsi="Aptos"/>
          <w:b w:val="0"/>
          <w:i w:val="0"/>
          <w:color w:val="17213A"/>
          <w:sz w:val="20"/>
        </w:rPr>
        <w:t>Age and jurisdiction rules determine consent, account model, messaging, discoverability, notifications and data collection.</w:t>
      </w:r>
    </w:p>
    <w:p>
      <w:pPr>
        <w:pStyle w:val="ListBullet"/>
      </w:pPr>
      <w:r>
        <w:rPr>
          <w:rFonts w:ascii="Aptos" w:hAnsi="Aptos"/>
          <w:b w:val="0"/>
          <w:i w:val="0"/>
          <w:color w:val="17213A"/>
          <w:sz w:val="20"/>
        </w:rPr>
        <w:t>No open direct messaging between adults and minors. Teacher/facilitator communication must be institutionally governed, logged and reportable.</w:t>
      </w:r>
    </w:p>
    <w:p>
      <w:pPr>
        <w:pStyle w:val="ListBullet"/>
      </w:pPr>
      <w:r>
        <w:rPr>
          <w:rFonts w:ascii="Aptos" w:hAnsi="Aptos"/>
          <w:b w:val="0"/>
          <w:i w:val="0"/>
          <w:color w:val="17213A"/>
          <w:sz w:val="20"/>
        </w:rPr>
        <w:t>Provide reporting/escalation paths, staff permissions, safeguarding training and incident procedures.</w:t>
      </w:r>
    </w:p>
    <w:p>
      <w:pPr>
        <w:pStyle w:val="ListBullet"/>
      </w:pPr>
      <w:r>
        <w:rPr>
          <w:rFonts w:ascii="Aptos" w:hAnsi="Aptos"/>
          <w:b w:val="0"/>
          <w:i w:val="0"/>
          <w:color w:val="17213A"/>
          <w:sz w:val="20"/>
        </w:rPr>
        <w:t>Do not use targeted advertising, sell learner data or infer sensitive religious profiles for unrelated purposes.</w:t>
      </w:r>
    </w:p>
    <w:p>
      <w:pPr>
        <w:pStyle w:val="Heading2"/>
      </w:pPr>
      <w:r>
        <w:t>Availability and continuity targets to agree in discovery</w:t>
      </w:r>
    </w:p>
    <w:p>
      <w:pPr>
        <w:pStyle w:val="ListBullet"/>
      </w:pPr>
      <w:r>
        <w:rPr>
          <w:rFonts w:ascii="Aptos" w:hAnsi="Aptos"/>
          <w:b w:val="0"/>
          <w:i w:val="0"/>
          <w:color w:val="17213A"/>
          <w:sz w:val="20"/>
        </w:rPr>
        <w:t>Define service-level objectives, recovery time and recovery point by customer tier; test them before launch.</w:t>
      </w:r>
    </w:p>
    <w:p>
      <w:pPr>
        <w:pStyle w:val="ListBullet"/>
      </w:pPr>
      <w:r>
        <w:rPr>
          <w:rFonts w:ascii="Aptos" w:hAnsi="Aptos"/>
          <w:b w:val="0"/>
          <w:i w:val="0"/>
          <w:color w:val="17213A"/>
          <w:sz w:val="20"/>
        </w:rPr>
        <w:t>Graceful degradation: scripture text and downloaded lessons remain available when analytics, notifications or nonessential integrations fail.</w:t>
      </w:r>
    </w:p>
    <w:p>
      <w:pPr>
        <w:sectPr>
          <w:pgSz w:w="12240" w:h="15840"/>
          <w:pgMar w:top="1440" w:right="1440" w:bottom="1440" w:left="1440" w:header="708" w:footer="708" w:gutter="0"/>
          <w:cols w:space="720"/>
          <w:docGrid w:linePitch="360"/>
        </w:sectPr>
      </w:pPr>
    </w:p>
    <w:p>
      <w:pPr>
        <w:spacing w:after="100"/>
      </w:pPr>
      <w:r>
        <w:rPr>
          <w:rFonts w:ascii="Aptos" w:hAnsi="Aptos"/>
          <w:b/>
          <w:i w:val="0"/>
          <w:caps/>
          <w:color w:val="D9832E"/>
          <w:sz w:val="16"/>
        </w:rPr>
        <w:t>SECTION 17</w:t>
      </w:r>
    </w:p>
    <w:p>
      <w:pPr>
        <w:pStyle w:val="Heading1"/>
      </w:pPr>
      <w:r>
        <w:t>Accessibility and localisation</w:t>
      </w:r>
    </w:p>
    <w:p>
      <w:pPr>
        <w:pStyle w:val="Heading2"/>
      </w:pPr>
      <w:r>
        <w:t>Accessibility target</w:t>
      </w:r>
    </w:p>
    <w:tbl>
      <w:tblPr>
        <w:tblW w:type="dxa" w:w="9360"/>
        <w:jc w:val="left"/>
        <w:tblLayout w:type="fixed"/>
        <w:tblLook w:firstColumn="1" w:firstRow="1" w:lastColumn="0" w:lastRow="0" w:noHBand="0" w:noVBand="1" w:val="04A0"/>
        <w:tblInd w:w="120" w:type="dxa"/>
        <w:tblBorders>
          <w:top w:val="single" w:sz="10" w:space="0" w:color="18264F"/>
          <w:left w:val="single" w:sz="10" w:space="0" w:color="18264F"/>
          <w:bottom w:val="single" w:sz="10" w:space="0" w:color="18264F"/>
          <w:right w:val="single" w:sz="10" w:space="0" w:color="18264F"/>
          <w:insideH w:val="single" w:sz="10" w:space="0" w:color="18264F"/>
          <w:insideV w:val="single" w:sz="10" w:space="0" w:color="18264F"/>
        </w:tblBorders>
      </w:tblPr>
      <w:tblGrid>
        <w:gridCol w:w="9360"/>
      </w:tblGrid>
      <w:tr>
        <w:trPr>
          <w:tblHeader/>
        </w:trPr>
        <w:tc>
          <w:tcPr>
            <w:tcW w:type="dxa" w:w="9360"/>
            <w:tcMar>
              <w:top w:w="100" w:type="dxa"/>
              <w:start w:w="120" w:type="dxa"/>
              <w:bottom w:w="100" w:type="dxa"/>
              <w:end w:w="120" w:type="dxa"/>
            </w:tcMar>
            <w:shd w:fill="EDF1F8"/>
            <w:vAlign w:val="center"/>
          </w:tcPr>
          <w:p>
            <w:pPr>
              <w:spacing w:after="0" w:line="269" w:lineRule="auto"/>
            </w:pPr>
            <w:r>
              <w:rPr>
                <w:rFonts w:ascii="Aptos" w:hAnsi="Aptos"/>
                <w:b/>
                <w:i w:val="0"/>
                <w:color w:val="18264F"/>
                <w:sz w:val="18"/>
              </w:rPr>
              <w:t xml:space="preserve">TARGET: </w:t>
            </w:r>
            <w:r>
              <w:rPr>
                <w:rFonts w:ascii="Aptos" w:hAnsi="Aptos"/>
                <w:b w:val="0"/>
                <w:i w:val="0"/>
                <w:color w:val="17213A"/>
                <w:sz w:val="20"/>
              </w:rPr>
              <w:t>Conform to WCAG 2.2 Level AA for web and relevant mobile accessibility guidance, supported by automated tests, expert manual audits and testing with disabled learners. Procurement claims must be evidence-based.</w:t>
            </w:r>
          </w:p>
        </w:tc>
      </w:tr>
    </w:tbl>
    <w:p>
      <w:pPr>
        <w:spacing w:after="40"/>
      </w:pPr>
    </w:p>
    <w:p>
      <w:pPr>
        <w:pStyle w:val="Heading2"/>
      </w:pPr>
      <w:r>
        <w:t>Required experience coverage</w:t>
      </w:r>
    </w:p>
    <w:p>
      <w:pPr>
        <w:pStyle w:val="ListBullet"/>
      </w:pPr>
      <w:r>
        <w:rPr>
          <w:rFonts w:ascii="Aptos" w:hAnsi="Aptos"/>
          <w:b w:val="0"/>
          <w:i w:val="0"/>
          <w:color w:val="17213A"/>
          <w:sz w:val="20"/>
        </w:rPr>
        <w:t>Keyboard and switch access, visible focus, logical order, skip links and no keyboard traps.</w:t>
      </w:r>
    </w:p>
    <w:p>
      <w:pPr>
        <w:pStyle w:val="ListBullet"/>
      </w:pPr>
      <w:r>
        <w:rPr>
          <w:rFonts w:ascii="Aptos" w:hAnsi="Aptos"/>
          <w:b w:val="0"/>
          <w:i w:val="0"/>
          <w:color w:val="17213A"/>
          <w:sz w:val="20"/>
        </w:rPr>
        <w:t>Screen-reader names, roles, states, landmarks, headings, live-region restraint and accessible assessment feedback.</w:t>
      </w:r>
    </w:p>
    <w:p>
      <w:pPr>
        <w:pStyle w:val="ListBullet"/>
      </w:pPr>
      <w:r>
        <w:rPr>
          <w:rFonts w:ascii="Aptos" w:hAnsi="Aptos"/>
          <w:b w:val="0"/>
          <w:i w:val="0"/>
          <w:color w:val="17213A"/>
          <w:sz w:val="20"/>
        </w:rPr>
        <w:t>Text resize/reflow, colour contrast, non-colour cues, large touch targets and reduced motion.</w:t>
      </w:r>
    </w:p>
    <w:p>
      <w:pPr>
        <w:pStyle w:val="ListBullet"/>
      </w:pPr>
      <w:r>
        <w:rPr>
          <w:rFonts w:ascii="Aptos" w:hAnsi="Aptos"/>
          <w:b w:val="0"/>
          <w:i w:val="0"/>
          <w:color w:val="17213A"/>
          <w:sz w:val="20"/>
        </w:rPr>
        <w:t>Captions, transcripts, audio description where needed, downloadable text alternatives and playback controls.</w:t>
      </w:r>
    </w:p>
    <w:p>
      <w:pPr>
        <w:pStyle w:val="ListBullet"/>
      </w:pPr>
      <w:r>
        <w:rPr>
          <w:rFonts w:ascii="Aptos" w:hAnsi="Aptos"/>
          <w:b w:val="0"/>
          <w:i w:val="0"/>
          <w:color w:val="17213A"/>
          <w:sz w:val="20"/>
        </w:rPr>
        <w:t>Accessible authentication and reduced repeated entry; time limits adjustable unless essential.</w:t>
      </w:r>
    </w:p>
    <w:p>
      <w:pPr>
        <w:pStyle w:val="ListBullet"/>
      </w:pPr>
      <w:r>
        <w:rPr>
          <w:rFonts w:ascii="Aptos" w:hAnsi="Aptos"/>
          <w:b w:val="0"/>
          <w:i w:val="0"/>
          <w:color w:val="17213A"/>
          <w:sz w:val="20"/>
        </w:rPr>
        <w:t>Math/script/diacritic reading tests with target assistive technologies and languages.</w:t>
      </w:r>
    </w:p>
    <w:p>
      <w:pPr>
        <w:pStyle w:val="Heading2"/>
      </w:pPr>
      <w:r>
        <w:t>Localisation architecture</w:t>
      </w:r>
    </w:p>
    <w:p>
      <w:pPr>
        <w:pStyle w:val="ListBullet"/>
      </w:pPr>
      <w:r>
        <w:rPr>
          <w:rFonts w:ascii="Aptos" w:hAnsi="Aptos"/>
          <w:b w:val="0"/>
          <w:i w:val="0"/>
          <w:color w:val="17213A"/>
          <w:sz w:val="20"/>
        </w:rPr>
        <w:t>Separate UI strings, curriculum content, scripture layers, terminology, media tracks and policy documents.</w:t>
      </w:r>
    </w:p>
    <w:p>
      <w:pPr>
        <w:pStyle w:val="ListBullet"/>
      </w:pPr>
      <w:r>
        <w:rPr>
          <w:rFonts w:ascii="Aptos" w:hAnsi="Aptos"/>
          <w:b w:val="0"/>
          <w:i w:val="0"/>
          <w:color w:val="17213A"/>
          <w:sz w:val="20"/>
        </w:rPr>
        <w:t>Support right-to-left layout if future markets require it; do not hard-code direction or punctuation assumptions.</w:t>
      </w:r>
    </w:p>
    <w:p>
      <w:pPr>
        <w:pStyle w:val="ListBullet"/>
      </w:pPr>
      <w:r>
        <w:rPr>
          <w:rFonts w:ascii="Aptos" w:hAnsi="Aptos"/>
          <w:b w:val="0"/>
          <w:i w:val="0"/>
          <w:color w:val="17213A"/>
          <w:sz w:val="20"/>
        </w:rPr>
        <w:t>Use translation memory, terminology/glossary controls, reviewer roles, fallback rules and per-language release status.</w:t>
      </w:r>
    </w:p>
    <w:p>
      <w:pPr>
        <w:pStyle w:val="ListBullet"/>
      </w:pPr>
      <w:r>
        <w:rPr>
          <w:rFonts w:ascii="Aptos" w:hAnsi="Aptos"/>
          <w:b w:val="0"/>
          <w:i w:val="0"/>
          <w:color w:val="17213A"/>
          <w:sz w:val="20"/>
        </w:rPr>
        <w:t>Allow regional date/number/time formats, school calendars, names and address rules.</w:t>
      </w:r>
    </w:p>
    <w:p>
      <w:pPr>
        <w:pStyle w:val="Heading2"/>
      </w:pPr>
      <w:r>
        <w:t>Language launch sequence</w:t>
      </w:r>
    </w:p>
    <w:p>
      <w:pPr>
        <w:spacing w:before="0"/>
      </w:pPr>
      <w:r>
        <w:rPr>
          <w:rFonts w:ascii="Aptos" w:hAnsi="Aptos"/>
          <w:b w:val="0"/>
          <w:i w:val="0"/>
          <w:color w:val="17213A"/>
          <w:sz w:val="21"/>
        </w:rPr>
        <w:t>Recommended sequence: establish English + Sanskrit/Devanagari content integrity and localisation infrastructure; pilot Hindi and one Living Bliss priority language (for example Odia); then scale language-by-language based on partner demand, reviewer capacity and rights. A language is not “launched” until interface, content, media, support, assessment and policy coverage are complete or transparently labelled.</w:t>
      </w:r>
    </w:p>
    <w:p>
      <w:pPr>
        <w:pStyle w:val="Heading2"/>
      </w:pPr>
      <w:r>
        <w:t>Inclusive content design</w:t>
      </w:r>
    </w:p>
    <w:p>
      <w:pPr>
        <w:pStyle w:val="ListBullet"/>
      </w:pPr>
      <w:r>
        <w:rPr>
          <w:rFonts w:ascii="Aptos" w:hAnsi="Aptos"/>
          <w:b w:val="0"/>
          <w:i w:val="0"/>
          <w:color w:val="17213A"/>
          <w:sz w:val="20"/>
        </w:rPr>
        <w:t>Provide simple-language summaries without replacing or altering the authoritative layer.</w:t>
      </w:r>
    </w:p>
    <w:p>
      <w:pPr>
        <w:pStyle w:val="ListBullet"/>
      </w:pPr>
      <w:r>
        <w:rPr>
          <w:rFonts w:ascii="Aptos" w:hAnsi="Aptos"/>
          <w:b w:val="0"/>
          <w:i w:val="0"/>
          <w:color w:val="17213A"/>
          <w:sz w:val="20"/>
        </w:rPr>
        <w:t>Offer dyslexia-friendly spacing and text settings through design tokens, not a single questionable “special font”.</w:t>
      </w:r>
    </w:p>
    <w:p>
      <w:pPr>
        <w:pStyle w:val="ListBullet"/>
      </w:pPr>
      <w:r>
        <w:rPr>
          <w:rFonts w:ascii="Aptos" w:hAnsi="Aptos"/>
          <w:b w:val="0"/>
          <w:i w:val="0"/>
          <w:color w:val="17213A"/>
          <w:sz w:val="20"/>
        </w:rPr>
        <w:t>Use culturally and age-appropriate examples reviewed by the relevant tenant and educators.</w:t>
      </w:r>
    </w:p>
    <w:p>
      <w:pPr>
        <w:sectPr>
          <w:pgSz w:w="12240" w:h="15840"/>
          <w:pgMar w:top="1440" w:right="1440" w:bottom="1440" w:left="1440" w:header="708" w:footer="708" w:gutter="0"/>
          <w:cols w:space="720"/>
          <w:docGrid w:linePitch="360"/>
        </w:sectPr>
      </w:pPr>
    </w:p>
    <w:p>
      <w:pPr>
        <w:spacing w:after="100"/>
      </w:pPr>
      <w:r>
        <w:rPr>
          <w:rFonts w:ascii="Aptos" w:hAnsi="Aptos"/>
          <w:b/>
          <w:i w:val="0"/>
          <w:caps/>
          <w:color w:val="D9832E"/>
          <w:sz w:val="16"/>
        </w:rPr>
        <w:t>SECTION 18</w:t>
      </w:r>
    </w:p>
    <w:p>
      <w:pPr>
        <w:pStyle w:val="Heading1"/>
      </w:pPr>
      <w:r>
        <w:t>Analytics and success measurement</w:t>
      </w:r>
    </w:p>
    <w:p>
      <w:pPr>
        <w:pStyle w:val="Heading2"/>
      </w:pPr>
      <w:r>
        <w:t>North-star outcome</w:t>
      </w:r>
    </w:p>
    <w:tbl>
      <w:tblPr>
        <w:tblW w:type="dxa" w:w="9360"/>
        <w:jc w:val="left"/>
        <w:tblLayout w:type="fixed"/>
        <w:tblLook w:firstColumn="1" w:firstRow="1" w:lastColumn="0" w:lastRow="0" w:noHBand="0" w:noVBand="1" w:val="04A0"/>
        <w:tblInd w:w="120" w:type="dxa"/>
        <w:tblBorders>
          <w:top w:val="single" w:sz="10" w:space="0" w:color="18264F"/>
          <w:left w:val="single" w:sz="10" w:space="0" w:color="18264F"/>
          <w:bottom w:val="single" w:sz="10" w:space="0" w:color="18264F"/>
          <w:right w:val="single" w:sz="10" w:space="0" w:color="18264F"/>
          <w:insideH w:val="single" w:sz="10" w:space="0" w:color="18264F"/>
          <w:insideV w:val="single" w:sz="10" w:space="0" w:color="18264F"/>
        </w:tblBorders>
      </w:tblPr>
      <w:tblGrid>
        <w:gridCol w:w="9360"/>
      </w:tblGrid>
      <w:tr>
        <w:trPr>
          <w:tblHeader/>
        </w:trPr>
        <w:tc>
          <w:tcPr>
            <w:tcW w:type="dxa" w:w="9360"/>
            <w:tcMar>
              <w:top w:w="100" w:type="dxa"/>
              <w:start w:w="120" w:type="dxa"/>
              <w:bottom w:w="100" w:type="dxa"/>
              <w:end w:w="120" w:type="dxa"/>
            </w:tcMar>
            <w:shd w:fill="EDF1F8"/>
            <w:vAlign w:val="center"/>
          </w:tcPr>
          <w:p>
            <w:pPr>
              <w:spacing w:after="0" w:line="269" w:lineRule="auto"/>
            </w:pPr>
            <w:r>
              <w:rPr>
                <w:rFonts w:ascii="Aptos" w:hAnsi="Aptos"/>
                <w:b/>
                <w:i w:val="0"/>
                <w:color w:val="18264F"/>
                <w:sz w:val="18"/>
              </w:rPr>
              <w:t xml:space="preserve">NORTH STAR: </w:t>
            </w:r>
            <w:r>
              <w:rPr>
                <w:rFonts w:ascii="Aptos" w:hAnsi="Aptos"/>
                <w:b w:val="0"/>
                <w:i w:val="0"/>
                <w:color w:val="17213A"/>
                <w:sz w:val="20"/>
              </w:rPr>
              <w:t>The percentage of enrolled learners who demonstrate sustained mastery of the course’s approved learning outcomes—not raw time spent or screen views.</w:t>
            </w:r>
          </w:p>
        </w:tc>
      </w:tr>
    </w:tbl>
    <w:p>
      <w:pPr>
        <w:spacing w:after="40"/>
      </w:pPr>
    </w:p>
    <w:p>
      <w:pPr>
        <w:pStyle w:val="Heading2"/>
      </w:pPr>
      <w:r>
        <w:t>Measurement framework</w:t>
      </w:r>
    </w:p>
    <w:tbl>
      <w:tblPr>
        <w:tblW w:type="dxa" w:w="9360"/>
        <w:jc w:val="left"/>
        <w:tblLayout w:type="fixed"/>
        <w:tblLook w:firstColumn="1" w:firstRow="1" w:lastColumn="0" w:lastRow="0" w:noHBand="0" w:noVBand="1" w:val="04A0"/>
        <w:tblInd w:w="120" w:type="dxa"/>
        <w:tblBorders>
          <w:top w:val="single" w:sz="6" w:space="0" w:color="DDD3C1"/>
          <w:left w:val="single" w:sz="6" w:space="0" w:color="DDD3C1"/>
          <w:bottom w:val="single" w:sz="6" w:space="0" w:color="DDD3C1"/>
          <w:right w:val="single" w:sz="6" w:space="0" w:color="DDD3C1"/>
          <w:insideH w:val="single" w:sz="6" w:space="0" w:color="DDD3C1"/>
          <w:insideV w:val="single" w:sz="6" w:space="0" w:color="DDD3C1"/>
        </w:tblBorders>
      </w:tblPr>
      <w:tblGrid>
        <w:gridCol w:w="1900"/>
        <w:gridCol w:w="7460"/>
      </w:tblGrid>
      <w:tr>
        <w:trPr>
          <w:tblHeader w:val="true"/>
        </w:trPr>
        <w:tc>
          <w:tcPr>
            <w:tcW w:type="dxa" w:w="1900"/>
            <w:tcMar>
              <w:top w:w="100" w:type="dxa"/>
              <w:start w:w="120" w:type="dxa"/>
              <w:bottom w:w="100" w:type="dxa"/>
              <w:end w:w="120" w:type="dxa"/>
            </w:tcMar>
            <w:shd w:fill="18264F"/>
            <w:vAlign w:val="center"/>
          </w:tcPr>
          <w:p>
            <w:pPr>
              <w:spacing w:after="0"/>
            </w:pPr>
            <w:r>
              <w:rPr>
                <w:rFonts w:ascii="Aptos" w:hAnsi="Aptos"/>
                <w:b/>
                <w:i w:val="0"/>
                <w:color w:val="FFFFFF"/>
                <w:sz w:val="18"/>
              </w:rPr>
              <w:t>Dimension</w:t>
            </w:r>
          </w:p>
        </w:tc>
        <w:tc>
          <w:tcPr>
            <w:tcW w:type="dxa" w:w="7460"/>
            <w:tcMar>
              <w:top w:w="100" w:type="dxa"/>
              <w:start w:w="120" w:type="dxa"/>
              <w:bottom w:w="100" w:type="dxa"/>
              <w:end w:w="120" w:type="dxa"/>
            </w:tcMar>
            <w:shd w:fill="18264F"/>
            <w:vAlign w:val="center"/>
          </w:tcPr>
          <w:p>
            <w:pPr>
              <w:spacing w:after="0"/>
            </w:pPr>
            <w:r>
              <w:rPr>
                <w:rFonts w:ascii="Aptos" w:hAnsi="Aptos"/>
                <w:b/>
                <w:i w:val="0"/>
                <w:color w:val="FFFFFF"/>
                <w:sz w:val="18"/>
              </w:rPr>
              <w:t>Measures</w:t>
            </w:r>
          </w:p>
        </w:tc>
      </w:tr>
      <w:tr>
        <w:tc>
          <w:tcPr>
            <w:tcW w:type="dxa" w:w="1900"/>
            <w:vAlign w:val="center"/>
          </w:tcPr>
          <w:p>
            <w:pPr>
              <w:spacing w:after="0" w:line="252" w:lineRule="auto"/>
            </w:pPr>
            <w:r>
              <w:rPr>
                <w:rFonts w:ascii="Aptos" w:hAnsi="Aptos"/>
                <w:b w:val="0"/>
                <w:i w:val="0"/>
                <w:color w:val="17213A"/>
                <w:sz w:val="16"/>
              </w:rPr>
              <w:t>Reach</w:t>
            </w:r>
          </w:p>
        </w:tc>
        <w:tc>
          <w:tcPr>
            <w:tcW w:type="dxa" w:w="7460"/>
            <w:vAlign w:val="center"/>
          </w:tcPr>
          <w:p>
            <w:pPr>
              <w:spacing w:after="0" w:line="252" w:lineRule="auto"/>
            </w:pPr>
            <w:r>
              <w:rPr>
                <w:rFonts w:ascii="Aptos" w:hAnsi="Aptos"/>
                <w:b w:val="0"/>
                <w:i w:val="0"/>
                <w:color w:val="17213A"/>
                <w:sz w:val="16"/>
              </w:rPr>
              <w:t>Eligible visitors, enrolments, language/edition access, school/organisation adoption and accessibility usage.</w:t>
            </w:r>
          </w:p>
        </w:tc>
      </w:tr>
      <w:tr>
        <w:tc>
          <w:tcPr>
            <w:tcW w:type="dxa" w:w="1900"/>
            <w:vAlign w:val="center"/>
            <w:shd w:fill="F8F6F1"/>
          </w:tcPr>
          <w:p>
            <w:pPr>
              <w:spacing w:after="0" w:line="252" w:lineRule="auto"/>
            </w:pPr>
            <w:r>
              <w:rPr>
                <w:rFonts w:ascii="Aptos" w:hAnsi="Aptos"/>
                <w:b w:val="0"/>
                <w:i w:val="0"/>
                <w:color w:val="17213A"/>
                <w:sz w:val="16"/>
              </w:rPr>
              <w:t>Activation</w:t>
            </w:r>
          </w:p>
        </w:tc>
        <w:tc>
          <w:tcPr>
            <w:tcW w:type="dxa" w:w="7460"/>
            <w:vAlign w:val="center"/>
            <w:shd w:fill="F8F6F1"/>
          </w:tcPr>
          <w:p>
            <w:pPr>
              <w:spacing w:after="0" w:line="252" w:lineRule="auto"/>
            </w:pPr>
            <w:r>
              <w:rPr>
                <w:rFonts w:ascii="Aptos" w:hAnsi="Aptos"/>
                <w:b w:val="0"/>
                <w:i w:val="0"/>
                <w:color w:val="17213A"/>
                <w:sz w:val="16"/>
              </w:rPr>
              <w:t>Course start, prerequisite completion, first chapter completion and time to first learning success.</w:t>
            </w:r>
          </w:p>
        </w:tc>
      </w:tr>
      <w:tr>
        <w:tc>
          <w:tcPr>
            <w:tcW w:type="dxa" w:w="1900"/>
            <w:vAlign w:val="center"/>
          </w:tcPr>
          <w:p>
            <w:pPr>
              <w:spacing w:after="0" w:line="252" w:lineRule="auto"/>
            </w:pPr>
            <w:r>
              <w:rPr>
                <w:rFonts w:ascii="Aptos" w:hAnsi="Aptos"/>
                <w:b w:val="0"/>
                <w:i w:val="0"/>
                <w:color w:val="17213A"/>
                <w:sz w:val="16"/>
              </w:rPr>
              <w:t>Learning</w:t>
            </w:r>
          </w:p>
        </w:tc>
        <w:tc>
          <w:tcPr>
            <w:tcW w:type="dxa" w:w="7460"/>
            <w:vAlign w:val="center"/>
          </w:tcPr>
          <w:p>
            <w:pPr>
              <w:spacing w:after="0" w:line="252" w:lineRule="auto"/>
            </w:pPr>
            <w:r>
              <w:rPr>
                <w:rFonts w:ascii="Aptos" w:hAnsi="Aptos"/>
                <w:b w:val="0"/>
                <w:i w:val="0"/>
                <w:color w:val="17213A"/>
                <w:sz w:val="16"/>
              </w:rPr>
              <w:t>Outcome mastery, misconception patterns, revision effectiveness, attempt quality and capstone evidence.</w:t>
            </w:r>
          </w:p>
        </w:tc>
      </w:tr>
      <w:tr>
        <w:tc>
          <w:tcPr>
            <w:tcW w:type="dxa" w:w="1900"/>
            <w:vAlign w:val="center"/>
            <w:shd w:fill="F8F6F1"/>
          </w:tcPr>
          <w:p>
            <w:pPr>
              <w:spacing w:after="0" w:line="252" w:lineRule="auto"/>
            </w:pPr>
            <w:r>
              <w:rPr>
                <w:rFonts w:ascii="Aptos" w:hAnsi="Aptos"/>
                <w:b w:val="0"/>
                <w:i w:val="0"/>
                <w:color w:val="17213A"/>
                <w:sz w:val="16"/>
              </w:rPr>
              <w:t>Continuation</w:t>
            </w:r>
          </w:p>
        </w:tc>
        <w:tc>
          <w:tcPr>
            <w:tcW w:type="dxa" w:w="7460"/>
            <w:vAlign w:val="center"/>
            <w:shd w:fill="F8F6F1"/>
          </w:tcPr>
          <w:p>
            <w:pPr>
              <w:spacing w:after="0" w:line="252" w:lineRule="auto"/>
            </w:pPr>
            <w:r>
              <w:rPr>
                <w:rFonts w:ascii="Aptos" w:hAnsi="Aptos"/>
                <w:b w:val="0"/>
                <w:i w:val="0"/>
                <w:color w:val="17213A"/>
                <w:sz w:val="16"/>
              </w:rPr>
              <w:t>Chapter-to-chapter progression, return after 7/30 days, completion and post-course revision.</w:t>
            </w:r>
          </w:p>
        </w:tc>
      </w:tr>
      <w:tr>
        <w:tc>
          <w:tcPr>
            <w:tcW w:type="dxa" w:w="1900"/>
            <w:vAlign w:val="center"/>
          </w:tcPr>
          <w:p>
            <w:pPr>
              <w:spacing w:after="0" w:line="252" w:lineRule="auto"/>
            </w:pPr>
            <w:r>
              <w:rPr>
                <w:rFonts w:ascii="Aptos" w:hAnsi="Aptos"/>
                <w:b w:val="0"/>
                <w:i w:val="0"/>
                <w:color w:val="17213A"/>
                <w:sz w:val="16"/>
              </w:rPr>
              <w:t>Trust and quality</w:t>
            </w:r>
          </w:p>
        </w:tc>
        <w:tc>
          <w:tcPr>
            <w:tcW w:type="dxa" w:w="7460"/>
            <w:vAlign w:val="center"/>
          </w:tcPr>
          <w:p>
            <w:pPr>
              <w:spacing w:after="0" w:line="252" w:lineRule="auto"/>
            </w:pPr>
            <w:r>
              <w:rPr>
                <w:rFonts w:ascii="Aptos" w:hAnsi="Aptos"/>
                <w:b w:val="0"/>
                <w:i w:val="0"/>
                <w:color w:val="17213A"/>
                <w:sz w:val="16"/>
              </w:rPr>
              <w:t>Content issue rate, correction turnaround, source-detail usage, learner/teacher confidence and reviewer SLA.</w:t>
            </w:r>
          </w:p>
        </w:tc>
      </w:tr>
      <w:tr>
        <w:tc>
          <w:tcPr>
            <w:tcW w:type="dxa" w:w="1900"/>
            <w:vAlign w:val="center"/>
            <w:shd w:fill="F8F6F1"/>
          </w:tcPr>
          <w:p>
            <w:pPr>
              <w:spacing w:after="0" w:line="252" w:lineRule="auto"/>
            </w:pPr>
            <w:r>
              <w:rPr>
                <w:rFonts w:ascii="Aptos" w:hAnsi="Aptos"/>
                <w:b w:val="0"/>
                <w:i w:val="0"/>
                <w:color w:val="17213A"/>
                <w:sz w:val="16"/>
              </w:rPr>
              <w:t>Inclusion</w:t>
            </w:r>
          </w:p>
        </w:tc>
        <w:tc>
          <w:tcPr>
            <w:tcW w:type="dxa" w:w="7460"/>
            <w:vAlign w:val="center"/>
            <w:shd w:fill="F8F6F1"/>
          </w:tcPr>
          <w:p>
            <w:pPr>
              <w:spacing w:after="0" w:line="252" w:lineRule="auto"/>
            </w:pPr>
            <w:r>
              <w:rPr>
                <w:rFonts w:ascii="Aptos" w:hAnsi="Aptos"/>
                <w:b w:val="0"/>
                <w:i w:val="0"/>
                <w:color w:val="17213A"/>
                <w:sz w:val="16"/>
              </w:rPr>
              <w:t>Completion gaps by permitted non-sensitive segments, accessibility barriers, bandwidth/device failure and language coverage.</w:t>
            </w:r>
          </w:p>
        </w:tc>
      </w:tr>
      <w:tr>
        <w:tc>
          <w:tcPr>
            <w:tcW w:type="dxa" w:w="1900"/>
            <w:vAlign w:val="center"/>
          </w:tcPr>
          <w:p>
            <w:pPr>
              <w:spacing w:after="0" w:line="252" w:lineRule="auto"/>
            </w:pPr>
            <w:r>
              <w:rPr>
                <w:rFonts w:ascii="Aptos" w:hAnsi="Aptos"/>
                <w:b w:val="0"/>
                <w:i w:val="0"/>
                <w:color w:val="17213A"/>
                <w:sz w:val="16"/>
              </w:rPr>
              <w:t>Institutional value</w:t>
            </w:r>
          </w:p>
        </w:tc>
        <w:tc>
          <w:tcPr>
            <w:tcW w:type="dxa" w:w="7460"/>
            <w:vAlign w:val="center"/>
          </w:tcPr>
          <w:p>
            <w:pPr>
              <w:spacing w:after="0" w:line="252" w:lineRule="auto"/>
            </w:pPr>
            <w:r>
              <w:rPr>
                <w:rFonts w:ascii="Aptos" w:hAnsi="Aptos"/>
                <w:b w:val="0"/>
                <w:i w:val="0"/>
                <w:color w:val="17213A"/>
                <w:sz w:val="16"/>
              </w:rPr>
              <w:t>Teacher time saved, assignment completion, LMS reliability, cohort outcomes, renewal and support burden.</w:t>
            </w:r>
          </w:p>
        </w:tc>
      </w:tr>
      <w:tr>
        <w:tc>
          <w:tcPr>
            <w:tcW w:type="dxa" w:w="1900"/>
            <w:vAlign w:val="center"/>
            <w:shd w:fill="F8F6F1"/>
          </w:tcPr>
          <w:p>
            <w:pPr>
              <w:spacing w:after="0" w:line="252" w:lineRule="auto"/>
            </w:pPr>
            <w:r>
              <w:rPr>
                <w:rFonts w:ascii="Aptos" w:hAnsi="Aptos"/>
                <w:b w:val="0"/>
                <w:i w:val="0"/>
                <w:color w:val="17213A"/>
                <w:sz w:val="16"/>
              </w:rPr>
              <w:t>Platform health</w:t>
            </w:r>
          </w:p>
        </w:tc>
        <w:tc>
          <w:tcPr>
            <w:tcW w:type="dxa" w:w="7460"/>
            <w:vAlign w:val="center"/>
            <w:shd w:fill="F8F6F1"/>
          </w:tcPr>
          <w:p>
            <w:pPr>
              <w:spacing w:after="0" w:line="252" w:lineRule="auto"/>
            </w:pPr>
            <w:r>
              <w:rPr>
                <w:rFonts w:ascii="Aptos" w:hAnsi="Aptos"/>
                <w:b w:val="0"/>
                <w:i w:val="0"/>
                <w:color w:val="17213A"/>
                <w:sz w:val="16"/>
              </w:rPr>
              <w:t>Availability, latency, crash-free sessions, sync success, security incidents and recovery performance.</w:t>
            </w:r>
          </w:p>
        </w:tc>
      </w:tr>
    </w:tbl>
    <w:p>
      <w:pPr>
        <w:spacing w:after="20"/>
      </w:pPr>
    </w:p>
    <w:p>
      <w:pPr>
        <w:pStyle w:val="Heading2"/>
      </w:pPr>
      <w:r>
        <w:t>Analytics guardrails</w:t>
      </w:r>
    </w:p>
    <w:p>
      <w:pPr>
        <w:pStyle w:val="ListBullet"/>
      </w:pPr>
      <w:r>
        <w:rPr>
          <w:rFonts w:ascii="Aptos" w:hAnsi="Aptos"/>
          <w:b w:val="0"/>
          <w:i w:val="0"/>
          <w:color w:val="17213A"/>
          <w:sz w:val="20"/>
        </w:rPr>
        <w:t>Document event purpose and retention before collection; no “collect everything” analytics.</w:t>
      </w:r>
    </w:p>
    <w:p>
      <w:pPr>
        <w:pStyle w:val="ListBullet"/>
      </w:pPr>
      <w:r>
        <w:rPr>
          <w:rFonts w:ascii="Aptos" w:hAnsi="Aptos"/>
          <w:b w:val="0"/>
          <w:i w:val="0"/>
          <w:color w:val="17213A"/>
          <w:sz w:val="20"/>
        </w:rPr>
        <w:t>Keep spiritual reflections, free-text notes and sensitive inferences out of standard analytics.</w:t>
      </w:r>
    </w:p>
    <w:p>
      <w:pPr>
        <w:pStyle w:val="ListBullet"/>
      </w:pPr>
      <w:r>
        <w:rPr>
          <w:rFonts w:ascii="Aptos" w:hAnsi="Aptos"/>
          <w:b w:val="0"/>
          <w:i w:val="0"/>
          <w:color w:val="17213A"/>
          <w:sz w:val="20"/>
        </w:rPr>
        <w:t>Use aggregated reporting and small-cell suppression where learner identification is possible.</w:t>
      </w:r>
    </w:p>
    <w:p>
      <w:pPr>
        <w:pStyle w:val="ListBullet"/>
      </w:pPr>
      <w:r>
        <w:rPr>
          <w:rFonts w:ascii="Aptos" w:hAnsi="Aptos"/>
          <w:b w:val="0"/>
          <w:i w:val="0"/>
          <w:color w:val="17213A"/>
          <w:sz w:val="20"/>
        </w:rPr>
        <w:t>Tenant dashboards show only authorised scope; platform benchmarking requires contractual and privacy approval.</w:t>
      </w:r>
    </w:p>
    <w:p>
      <w:pPr>
        <w:pStyle w:val="Heading2"/>
      </w:pPr>
      <w:r>
        <w:t>Pilot success criteria</w:t>
      </w:r>
    </w:p>
    <w:tbl>
      <w:tblPr>
        <w:tblW w:type="dxa" w:w="9360"/>
        <w:jc w:val="left"/>
        <w:tblLayout w:type="fixed"/>
        <w:tblLook w:firstColumn="1" w:firstRow="1" w:lastColumn="0" w:lastRow="0" w:noHBand="0" w:noVBand="1" w:val="04A0"/>
        <w:tblInd w:w="120" w:type="dxa"/>
        <w:tblBorders>
          <w:top w:val="single" w:sz="6" w:space="0" w:color="DDD3C1"/>
          <w:left w:val="single" w:sz="6" w:space="0" w:color="DDD3C1"/>
          <w:bottom w:val="single" w:sz="6" w:space="0" w:color="DDD3C1"/>
          <w:right w:val="single" w:sz="6" w:space="0" w:color="DDD3C1"/>
          <w:insideH w:val="single" w:sz="6" w:space="0" w:color="DDD3C1"/>
          <w:insideV w:val="single" w:sz="6" w:space="0" w:color="DDD3C1"/>
        </w:tblBorders>
      </w:tblPr>
      <w:tblGrid>
        <w:gridCol w:w="1900"/>
        <w:gridCol w:w="7460"/>
      </w:tblGrid>
      <w:tr>
        <w:trPr>
          <w:tblHeader w:val="true"/>
        </w:trPr>
        <w:tc>
          <w:tcPr>
            <w:tcW w:type="dxa" w:w="1900"/>
            <w:tcMar>
              <w:top w:w="100" w:type="dxa"/>
              <w:start w:w="120" w:type="dxa"/>
              <w:bottom w:w="100" w:type="dxa"/>
              <w:end w:w="120" w:type="dxa"/>
            </w:tcMar>
            <w:shd w:fill="18264F"/>
            <w:vAlign w:val="center"/>
          </w:tcPr>
          <w:p>
            <w:pPr>
              <w:spacing w:after="0"/>
            </w:pPr>
            <w:r>
              <w:rPr>
                <w:rFonts w:ascii="Aptos" w:hAnsi="Aptos"/>
                <w:b/>
                <w:i w:val="0"/>
                <w:color w:val="FFFFFF"/>
                <w:sz w:val="18"/>
              </w:rPr>
              <w:t>Area</w:t>
            </w:r>
          </w:p>
        </w:tc>
        <w:tc>
          <w:tcPr>
            <w:tcW w:type="dxa" w:w="7460"/>
            <w:tcMar>
              <w:top w:w="100" w:type="dxa"/>
              <w:start w:w="120" w:type="dxa"/>
              <w:bottom w:w="100" w:type="dxa"/>
              <w:end w:w="120" w:type="dxa"/>
            </w:tcMar>
            <w:shd w:fill="18264F"/>
            <w:vAlign w:val="center"/>
          </w:tcPr>
          <w:p>
            <w:pPr>
              <w:spacing w:after="0"/>
            </w:pPr>
            <w:r>
              <w:rPr>
                <w:rFonts w:ascii="Aptos" w:hAnsi="Aptos"/>
                <w:b/>
                <w:i w:val="0"/>
                <w:color w:val="FFFFFF"/>
                <w:sz w:val="18"/>
              </w:rPr>
              <w:t>Proposed gate (confirm during discovery)</w:t>
            </w:r>
          </w:p>
        </w:tc>
      </w:tr>
      <w:tr>
        <w:tc>
          <w:tcPr>
            <w:tcW w:type="dxa" w:w="1900"/>
            <w:vAlign w:val="center"/>
          </w:tcPr>
          <w:p>
            <w:pPr>
              <w:spacing w:after="0" w:line="252" w:lineRule="auto"/>
            </w:pPr>
            <w:r>
              <w:rPr>
                <w:rFonts w:ascii="Aptos" w:hAnsi="Aptos"/>
                <w:b w:val="0"/>
                <w:i w:val="0"/>
                <w:color w:val="17213A"/>
                <w:sz w:val="16"/>
              </w:rPr>
              <w:t>Usability</w:t>
            </w:r>
          </w:p>
        </w:tc>
        <w:tc>
          <w:tcPr>
            <w:tcW w:type="dxa" w:w="7460"/>
            <w:vAlign w:val="center"/>
          </w:tcPr>
          <w:p>
            <w:pPr>
              <w:spacing w:after="0" w:line="252" w:lineRule="auto"/>
            </w:pPr>
            <w:r>
              <w:rPr>
                <w:rFonts w:ascii="Aptos" w:hAnsi="Aptos"/>
                <w:b w:val="0"/>
                <w:i w:val="0"/>
                <w:color w:val="17213A"/>
                <w:sz w:val="16"/>
              </w:rPr>
              <w:t>At least 80% of representative learners complete core tasks without assistance; no critical usability blockers.</w:t>
            </w:r>
          </w:p>
        </w:tc>
      </w:tr>
      <w:tr>
        <w:tc>
          <w:tcPr>
            <w:tcW w:type="dxa" w:w="1900"/>
            <w:vAlign w:val="center"/>
            <w:shd w:fill="F8F6F1"/>
          </w:tcPr>
          <w:p>
            <w:pPr>
              <w:spacing w:after="0" w:line="252" w:lineRule="auto"/>
            </w:pPr>
            <w:r>
              <w:rPr>
                <w:rFonts w:ascii="Aptos" w:hAnsi="Aptos"/>
                <w:b w:val="0"/>
                <w:i w:val="0"/>
                <w:color w:val="17213A"/>
                <w:sz w:val="16"/>
              </w:rPr>
              <w:t>Learning</w:t>
            </w:r>
          </w:p>
        </w:tc>
        <w:tc>
          <w:tcPr>
            <w:tcW w:type="dxa" w:w="7460"/>
            <w:vAlign w:val="center"/>
            <w:shd w:fill="F8F6F1"/>
          </w:tcPr>
          <w:p>
            <w:pPr>
              <w:spacing w:after="0" w:line="252" w:lineRule="auto"/>
            </w:pPr>
            <w:r>
              <w:rPr>
                <w:rFonts w:ascii="Aptos" w:hAnsi="Aptos"/>
                <w:b w:val="0"/>
                <w:i w:val="0"/>
                <w:color w:val="17213A"/>
                <w:sz w:val="16"/>
              </w:rPr>
              <w:t>Pre/post or matched evidence shows improvement on approved outcomes; assessment reliability reviewed by education lead.</w:t>
            </w:r>
          </w:p>
        </w:tc>
      </w:tr>
      <w:tr>
        <w:tc>
          <w:tcPr>
            <w:tcW w:type="dxa" w:w="1900"/>
            <w:vAlign w:val="center"/>
          </w:tcPr>
          <w:p>
            <w:pPr>
              <w:spacing w:after="0" w:line="252" w:lineRule="auto"/>
            </w:pPr>
            <w:r>
              <w:rPr>
                <w:rFonts w:ascii="Aptos" w:hAnsi="Aptos"/>
                <w:b w:val="0"/>
                <w:i w:val="0"/>
                <w:color w:val="17213A"/>
                <w:sz w:val="16"/>
              </w:rPr>
              <w:t>Completion</w:t>
            </w:r>
          </w:p>
        </w:tc>
        <w:tc>
          <w:tcPr>
            <w:tcW w:type="dxa" w:w="7460"/>
            <w:vAlign w:val="center"/>
          </w:tcPr>
          <w:p>
            <w:pPr>
              <w:spacing w:after="0" w:line="252" w:lineRule="auto"/>
            </w:pPr>
            <w:r>
              <w:rPr>
                <w:rFonts w:ascii="Aptos" w:hAnsi="Aptos"/>
                <w:b w:val="0"/>
                <w:i w:val="0"/>
                <w:color w:val="17213A"/>
                <w:sz w:val="16"/>
              </w:rPr>
              <w:t>Pilot completion and chapter drop-off meet agreed cohort targets; reasons are qualitatively understood.</w:t>
            </w:r>
          </w:p>
        </w:tc>
      </w:tr>
      <w:tr>
        <w:tc>
          <w:tcPr>
            <w:tcW w:type="dxa" w:w="1900"/>
            <w:vAlign w:val="center"/>
            <w:shd w:fill="F8F6F1"/>
          </w:tcPr>
          <w:p>
            <w:pPr>
              <w:spacing w:after="0" w:line="252" w:lineRule="auto"/>
            </w:pPr>
            <w:r>
              <w:rPr>
                <w:rFonts w:ascii="Aptos" w:hAnsi="Aptos"/>
                <w:b w:val="0"/>
                <w:i w:val="0"/>
                <w:color w:val="17213A"/>
                <w:sz w:val="16"/>
              </w:rPr>
              <w:t>Accessibility</w:t>
            </w:r>
          </w:p>
        </w:tc>
        <w:tc>
          <w:tcPr>
            <w:tcW w:type="dxa" w:w="7460"/>
            <w:vAlign w:val="center"/>
            <w:shd w:fill="F8F6F1"/>
          </w:tcPr>
          <w:p>
            <w:pPr>
              <w:spacing w:after="0" w:line="252" w:lineRule="auto"/>
            </w:pPr>
            <w:r>
              <w:rPr>
                <w:rFonts w:ascii="Aptos" w:hAnsi="Aptos"/>
                <w:b w:val="0"/>
                <w:i w:val="0"/>
                <w:color w:val="17213A"/>
                <w:sz w:val="16"/>
              </w:rPr>
              <w:t>No unresolved critical/serious issues in expert audit and disabled-user testing.</w:t>
            </w:r>
          </w:p>
        </w:tc>
      </w:tr>
      <w:tr>
        <w:tc>
          <w:tcPr>
            <w:tcW w:type="dxa" w:w="1900"/>
            <w:vAlign w:val="center"/>
          </w:tcPr>
          <w:p>
            <w:pPr>
              <w:spacing w:after="0" w:line="252" w:lineRule="auto"/>
            </w:pPr>
            <w:r>
              <w:rPr>
                <w:rFonts w:ascii="Aptos" w:hAnsi="Aptos"/>
                <w:b w:val="0"/>
                <w:i w:val="0"/>
                <w:color w:val="17213A"/>
                <w:sz w:val="16"/>
              </w:rPr>
              <w:t>Reliability</w:t>
            </w:r>
          </w:p>
        </w:tc>
        <w:tc>
          <w:tcPr>
            <w:tcW w:type="dxa" w:w="7460"/>
            <w:vAlign w:val="center"/>
          </w:tcPr>
          <w:p>
            <w:pPr>
              <w:spacing w:after="0" w:line="252" w:lineRule="auto"/>
            </w:pPr>
            <w:r>
              <w:rPr>
                <w:rFonts w:ascii="Aptos" w:hAnsi="Aptos"/>
                <w:b w:val="0"/>
                <w:i w:val="0"/>
                <w:color w:val="17213A"/>
                <w:sz w:val="16"/>
              </w:rPr>
              <w:t>Launch SLOs, offline sync and certificate integrity pass load and recovery tests.</w:t>
            </w:r>
          </w:p>
        </w:tc>
      </w:tr>
      <w:tr>
        <w:tc>
          <w:tcPr>
            <w:tcW w:type="dxa" w:w="1900"/>
            <w:vAlign w:val="center"/>
            <w:shd w:fill="F8F6F1"/>
          </w:tcPr>
          <w:p>
            <w:pPr>
              <w:spacing w:after="0" w:line="252" w:lineRule="auto"/>
            </w:pPr>
            <w:r>
              <w:rPr>
                <w:rFonts w:ascii="Aptos" w:hAnsi="Aptos"/>
                <w:b w:val="0"/>
                <w:i w:val="0"/>
                <w:color w:val="17213A"/>
                <w:sz w:val="16"/>
              </w:rPr>
              <w:t>Trust</w:t>
            </w:r>
          </w:p>
        </w:tc>
        <w:tc>
          <w:tcPr>
            <w:tcW w:type="dxa" w:w="7460"/>
            <w:vAlign w:val="center"/>
            <w:shd w:fill="F8F6F1"/>
          </w:tcPr>
          <w:p>
            <w:pPr>
              <w:spacing w:after="0" w:line="252" w:lineRule="auto"/>
            </w:pPr>
            <w:r>
              <w:rPr>
                <w:rFonts w:ascii="Aptos" w:hAnsi="Aptos"/>
                <w:b w:val="0"/>
                <w:i w:val="0"/>
                <w:color w:val="17213A"/>
                <w:sz w:val="16"/>
              </w:rPr>
              <w:t>Scholarly authority signs off edition; no unresolved high-severity rights or provenance gaps.</w:t>
            </w:r>
          </w:p>
        </w:tc>
      </w:tr>
    </w:tbl>
    <w:p>
      <w:pPr>
        <w:spacing w:after="20"/>
      </w:pPr>
    </w:p>
    <w:p>
      <w:pPr>
        <w:sectPr>
          <w:pgSz w:w="12240" w:h="15840"/>
          <w:pgMar w:top="1440" w:right="1440" w:bottom="1440" w:left="1440" w:header="708" w:footer="708" w:gutter="0"/>
          <w:cols w:space="720"/>
          <w:docGrid w:linePitch="360"/>
        </w:sectPr>
      </w:pPr>
    </w:p>
    <w:p>
      <w:pPr>
        <w:spacing w:after="100"/>
      </w:pPr>
      <w:r>
        <w:rPr>
          <w:rFonts w:ascii="Aptos" w:hAnsi="Aptos"/>
          <w:b/>
          <w:i w:val="0"/>
          <w:caps/>
          <w:color w:val="D9832E"/>
          <w:sz w:val="16"/>
        </w:rPr>
        <w:t>SECTION 19</w:t>
      </w:r>
    </w:p>
    <w:p>
      <w:pPr>
        <w:pStyle w:val="Heading1"/>
      </w:pPr>
      <w:r>
        <w:t>Delivery roadmap and team</w:t>
      </w:r>
    </w:p>
    <w:p>
      <w:pPr>
        <w:pStyle w:val="Heading2"/>
      </w:pPr>
      <w:r>
        <w:t>Phased plan</w:t>
      </w:r>
    </w:p>
    <w:tbl>
      <w:tblPr>
        <w:tblW w:type="dxa" w:w="9360"/>
        <w:jc w:val="left"/>
        <w:tblLayout w:type="fixed"/>
        <w:tblLook w:firstColumn="1" w:firstRow="1" w:lastColumn="0" w:lastRow="0" w:noHBand="0" w:noVBand="1" w:val="04A0"/>
        <w:tblInd w:w="120" w:type="dxa"/>
        <w:tblBorders>
          <w:top w:val="single" w:sz="6" w:space="0" w:color="DDD3C1"/>
          <w:left w:val="single" w:sz="6" w:space="0" w:color="DDD3C1"/>
          <w:bottom w:val="single" w:sz="6" w:space="0" w:color="DDD3C1"/>
          <w:right w:val="single" w:sz="6" w:space="0" w:color="DDD3C1"/>
          <w:insideH w:val="single" w:sz="6" w:space="0" w:color="DDD3C1"/>
          <w:insideV w:val="single" w:sz="6" w:space="0" w:color="DDD3C1"/>
        </w:tblBorders>
      </w:tblPr>
      <w:tblGrid>
        <w:gridCol w:w="1400"/>
        <w:gridCol w:w="1350"/>
        <w:gridCol w:w="4410"/>
        <w:gridCol w:w="2200"/>
      </w:tblGrid>
      <w:tr>
        <w:trPr>
          <w:tblHeader w:val="true"/>
        </w:trPr>
        <w:tc>
          <w:tcPr>
            <w:tcW w:type="dxa" w:w="1400"/>
            <w:tcMar>
              <w:top w:w="100" w:type="dxa"/>
              <w:start w:w="120" w:type="dxa"/>
              <w:bottom w:w="100" w:type="dxa"/>
              <w:end w:w="120" w:type="dxa"/>
            </w:tcMar>
            <w:shd w:fill="18264F"/>
            <w:vAlign w:val="center"/>
          </w:tcPr>
          <w:p>
            <w:pPr>
              <w:spacing w:after="0"/>
            </w:pPr>
            <w:r>
              <w:rPr>
                <w:rFonts w:ascii="Aptos" w:hAnsi="Aptos"/>
                <w:b/>
                <w:i w:val="0"/>
                <w:color w:val="FFFFFF"/>
                <w:sz w:val="18"/>
              </w:rPr>
              <w:t>Phase</w:t>
            </w:r>
          </w:p>
        </w:tc>
        <w:tc>
          <w:tcPr>
            <w:tcW w:type="dxa" w:w="1350"/>
            <w:tcMar>
              <w:top w:w="100" w:type="dxa"/>
              <w:start w:w="120" w:type="dxa"/>
              <w:bottom w:w="100" w:type="dxa"/>
              <w:end w:w="120" w:type="dxa"/>
            </w:tcMar>
            <w:shd w:fill="18264F"/>
            <w:vAlign w:val="center"/>
          </w:tcPr>
          <w:p>
            <w:pPr>
              <w:spacing w:after="0"/>
            </w:pPr>
            <w:r>
              <w:rPr>
                <w:rFonts w:ascii="Aptos" w:hAnsi="Aptos"/>
                <w:b/>
                <w:i w:val="0"/>
                <w:color w:val="FFFFFF"/>
                <w:sz w:val="18"/>
              </w:rPr>
              <w:t>Indicative duration</w:t>
            </w:r>
          </w:p>
        </w:tc>
        <w:tc>
          <w:tcPr>
            <w:tcW w:type="dxa" w:w="4410"/>
            <w:tcMar>
              <w:top w:w="100" w:type="dxa"/>
              <w:start w:w="120" w:type="dxa"/>
              <w:bottom w:w="100" w:type="dxa"/>
              <w:end w:w="120" w:type="dxa"/>
            </w:tcMar>
            <w:shd w:fill="18264F"/>
            <w:vAlign w:val="center"/>
          </w:tcPr>
          <w:p>
            <w:pPr>
              <w:spacing w:after="0"/>
            </w:pPr>
            <w:r>
              <w:rPr>
                <w:rFonts w:ascii="Aptos" w:hAnsi="Aptos"/>
                <w:b/>
                <w:i w:val="0"/>
                <w:color w:val="FFFFFF"/>
                <w:sz w:val="18"/>
              </w:rPr>
              <w:t>Primary outcomes</w:t>
            </w:r>
          </w:p>
        </w:tc>
        <w:tc>
          <w:tcPr>
            <w:tcW w:type="dxa" w:w="2200"/>
            <w:tcMar>
              <w:top w:w="100" w:type="dxa"/>
              <w:start w:w="120" w:type="dxa"/>
              <w:bottom w:w="100" w:type="dxa"/>
              <w:end w:w="120" w:type="dxa"/>
            </w:tcMar>
            <w:shd w:fill="18264F"/>
            <w:vAlign w:val="center"/>
          </w:tcPr>
          <w:p>
            <w:pPr>
              <w:spacing w:after="0"/>
            </w:pPr>
            <w:r>
              <w:rPr>
                <w:rFonts w:ascii="Aptos" w:hAnsi="Aptos"/>
                <w:b/>
                <w:i w:val="0"/>
                <w:color w:val="FFFFFF"/>
                <w:sz w:val="18"/>
              </w:rPr>
              <w:t>Exit gate</w:t>
            </w:r>
          </w:p>
        </w:tc>
      </w:tr>
      <w:tr>
        <w:tc>
          <w:tcPr>
            <w:tcW w:type="dxa" w:w="1400"/>
            <w:vAlign w:val="center"/>
          </w:tcPr>
          <w:p>
            <w:pPr>
              <w:spacing w:after="0" w:line="252" w:lineRule="auto"/>
            </w:pPr>
            <w:r>
              <w:rPr>
                <w:rFonts w:ascii="Aptos" w:hAnsi="Aptos"/>
                <w:b w:val="0"/>
                <w:i w:val="0"/>
                <w:color w:val="17213A"/>
                <w:sz w:val="15"/>
              </w:rPr>
              <w:t>0. Partner mobilisation</w:t>
            </w:r>
          </w:p>
        </w:tc>
        <w:tc>
          <w:tcPr>
            <w:tcW w:type="dxa" w:w="1350"/>
            <w:vAlign w:val="center"/>
          </w:tcPr>
          <w:p>
            <w:pPr>
              <w:spacing w:after="0" w:line="252" w:lineRule="auto"/>
            </w:pPr>
            <w:r>
              <w:rPr>
                <w:rFonts w:ascii="Aptos" w:hAnsi="Aptos"/>
                <w:b w:val="0"/>
                <w:i w:val="0"/>
                <w:color w:val="17213A"/>
                <w:sz w:val="15"/>
              </w:rPr>
              <w:t>2 weeks</w:t>
            </w:r>
          </w:p>
        </w:tc>
        <w:tc>
          <w:tcPr>
            <w:tcW w:type="dxa" w:w="4410"/>
            <w:vAlign w:val="center"/>
          </w:tcPr>
          <w:p>
            <w:pPr>
              <w:spacing w:after="0" w:line="252" w:lineRule="auto"/>
            </w:pPr>
            <w:r>
              <w:rPr>
                <w:rFonts w:ascii="Aptos" w:hAnsi="Aptos"/>
                <w:b w:val="0"/>
                <w:i w:val="0"/>
                <w:color w:val="17213A"/>
                <w:sz w:val="15"/>
              </w:rPr>
              <w:t>Contracts, product owner, governance, repositories, environments and working practices.</w:t>
            </w:r>
          </w:p>
        </w:tc>
        <w:tc>
          <w:tcPr>
            <w:tcW w:type="dxa" w:w="2200"/>
            <w:vAlign w:val="center"/>
          </w:tcPr>
          <w:p>
            <w:pPr>
              <w:spacing w:after="0" w:line="252" w:lineRule="auto"/>
            </w:pPr>
            <w:r>
              <w:rPr>
                <w:rFonts w:ascii="Aptos" w:hAnsi="Aptos"/>
                <w:b w:val="0"/>
                <w:i w:val="0"/>
                <w:color w:val="17213A"/>
                <w:sz w:val="15"/>
              </w:rPr>
              <w:t>Team and decision rights active.</w:t>
            </w:r>
          </w:p>
        </w:tc>
      </w:tr>
      <w:tr>
        <w:tc>
          <w:tcPr>
            <w:tcW w:type="dxa" w:w="1400"/>
            <w:vAlign w:val="center"/>
            <w:shd w:fill="F8F6F1"/>
          </w:tcPr>
          <w:p>
            <w:pPr>
              <w:spacing w:after="0" w:line="252" w:lineRule="auto"/>
            </w:pPr>
            <w:r>
              <w:rPr>
                <w:rFonts w:ascii="Aptos" w:hAnsi="Aptos"/>
                <w:b w:val="0"/>
                <w:i w:val="0"/>
                <w:color w:val="17213A"/>
                <w:sz w:val="15"/>
              </w:rPr>
              <w:t>1. Discovery &amp; definition</w:t>
            </w:r>
          </w:p>
        </w:tc>
        <w:tc>
          <w:tcPr>
            <w:tcW w:type="dxa" w:w="1350"/>
            <w:vAlign w:val="center"/>
            <w:shd w:fill="F8F6F1"/>
          </w:tcPr>
          <w:p>
            <w:pPr>
              <w:spacing w:after="0" w:line="252" w:lineRule="auto"/>
            </w:pPr>
            <w:r>
              <w:rPr>
                <w:rFonts w:ascii="Aptos" w:hAnsi="Aptos"/>
                <w:b w:val="0"/>
                <w:i w:val="0"/>
                <w:color w:val="17213A"/>
                <w:sz w:val="15"/>
              </w:rPr>
              <w:t>6 weeks</w:t>
            </w:r>
          </w:p>
        </w:tc>
        <w:tc>
          <w:tcPr>
            <w:tcW w:type="dxa" w:w="4410"/>
            <w:vAlign w:val="center"/>
            <w:shd w:fill="F8F6F1"/>
          </w:tcPr>
          <w:p>
            <w:pPr>
              <w:spacing w:after="0" w:line="252" w:lineRule="auto"/>
            </w:pPr>
            <w:r>
              <w:rPr>
                <w:rFonts w:ascii="Aptos" w:hAnsi="Aptos"/>
                <w:b w:val="0"/>
                <w:i w:val="0"/>
                <w:color w:val="17213A"/>
                <w:sz w:val="15"/>
              </w:rPr>
              <w:t>Research, content audit, target architecture, data/privacy mapping, PRD, curriculum blueprint, delivery plan and prototype tests.</w:t>
            </w:r>
          </w:p>
        </w:tc>
        <w:tc>
          <w:tcPr>
            <w:tcW w:type="dxa" w:w="2200"/>
            <w:vAlign w:val="center"/>
            <w:shd w:fill="F8F6F1"/>
          </w:tcPr>
          <w:p>
            <w:pPr>
              <w:spacing w:after="0" w:line="252" w:lineRule="auto"/>
            </w:pPr>
            <w:r>
              <w:rPr>
                <w:rFonts w:ascii="Aptos" w:hAnsi="Aptos"/>
                <w:b w:val="0"/>
                <w:i w:val="0"/>
                <w:color w:val="17213A"/>
                <w:sz w:val="15"/>
              </w:rPr>
              <w:t>Signed discovery pack and prioritised backlog.</w:t>
            </w:r>
          </w:p>
        </w:tc>
      </w:tr>
      <w:tr>
        <w:tc>
          <w:tcPr>
            <w:tcW w:type="dxa" w:w="1400"/>
            <w:vAlign w:val="center"/>
          </w:tcPr>
          <w:p>
            <w:pPr>
              <w:spacing w:after="0" w:line="252" w:lineRule="auto"/>
            </w:pPr>
            <w:r>
              <w:rPr>
                <w:rFonts w:ascii="Aptos" w:hAnsi="Aptos"/>
                <w:b w:val="0"/>
                <w:i w:val="0"/>
                <w:color w:val="17213A"/>
                <w:sz w:val="15"/>
              </w:rPr>
              <w:t>2. Foundation &amp; alpha</w:t>
            </w:r>
          </w:p>
        </w:tc>
        <w:tc>
          <w:tcPr>
            <w:tcW w:type="dxa" w:w="1350"/>
            <w:vAlign w:val="center"/>
          </w:tcPr>
          <w:p>
            <w:pPr>
              <w:spacing w:after="0" w:line="252" w:lineRule="auto"/>
            </w:pPr>
            <w:r>
              <w:rPr>
                <w:rFonts w:ascii="Aptos" w:hAnsi="Aptos"/>
                <w:b w:val="0"/>
                <w:i w:val="0"/>
                <w:color w:val="17213A"/>
                <w:sz w:val="15"/>
              </w:rPr>
              <w:t>12–16 weeks</w:t>
            </w:r>
          </w:p>
        </w:tc>
        <w:tc>
          <w:tcPr>
            <w:tcW w:type="dxa" w:w="4410"/>
            <w:vAlign w:val="center"/>
          </w:tcPr>
          <w:p>
            <w:pPr>
              <w:spacing w:after="0" w:line="252" w:lineRule="auto"/>
            </w:pPr>
            <w:r>
              <w:rPr>
                <w:rFonts w:ascii="Aptos" w:hAnsi="Aptos"/>
                <w:b w:val="0"/>
                <w:i w:val="0"/>
                <w:color w:val="17213A"/>
                <w:sz w:val="15"/>
              </w:rPr>
              <w:t>Design system, tenant/identity/content foundations, web learner shell, mobile skeleton, Chapter 1–2 vertical slice, CMS workflow.</w:t>
            </w:r>
          </w:p>
        </w:tc>
        <w:tc>
          <w:tcPr>
            <w:tcW w:type="dxa" w:w="2200"/>
            <w:vAlign w:val="center"/>
          </w:tcPr>
          <w:p>
            <w:pPr>
              <w:spacing w:after="0" w:line="252" w:lineRule="auto"/>
            </w:pPr>
            <w:r>
              <w:rPr>
                <w:rFonts w:ascii="Aptos" w:hAnsi="Aptos"/>
                <w:b w:val="0"/>
                <w:i w:val="0"/>
                <w:color w:val="17213A"/>
                <w:sz w:val="15"/>
              </w:rPr>
              <w:t>Alpha with real approved content and architecture review.</w:t>
            </w:r>
          </w:p>
        </w:tc>
      </w:tr>
      <w:tr>
        <w:tc>
          <w:tcPr>
            <w:tcW w:type="dxa" w:w="1400"/>
            <w:vAlign w:val="center"/>
            <w:shd w:fill="F8F6F1"/>
          </w:tcPr>
          <w:p>
            <w:pPr>
              <w:spacing w:after="0" w:line="252" w:lineRule="auto"/>
            </w:pPr>
            <w:r>
              <w:rPr>
                <w:rFonts w:ascii="Aptos" w:hAnsi="Aptos"/>
                <w:b w:val="0"/>
                <w:i w:val="0"/>
                <w:color w:val="17213A"/>
                <w:sz w:val="15"/>
              </w:rPr>
              <w:t>3. Complete course &amp; beta</w:t>
            </w:r>
          </w:p>
        </w:tc>
        <w:tc>
          <w:tcPr>
            <w:tcW w:type="dxa" w:w="1350"/>
            <w:vAlign w:val="center"/>
            <w:shd w:fill="F8F6F1"/>
          </w:tcPr>
          <w:p>
            <w:pPr>
              <w:spacing w:after="0" w:line="252" w:lineRule="auto"/>
            </w:pPr>
            <w:r>
              <w:rPr>
                <w:rFonts w:ascii="Aptos" w:hAnsi="Aptos"/>
                <w:b w:val="0"/>
                <w:i w:val="0"/>
                <w:color w:val="17213A"/>
                <w:sz w:val="15"/>
              </w:rPr>
              <w:t>16–20 weeks</w:t>
            </w:r>
          </w:p>
        </w:tc>
        <w:tc>
          <w:tcPr>
            <w:tcW w:type="dxa" w:w="4410"/>
            <w:vAlign w:val="center"/>
            <w:shd w:fill="F8F6F1"/>
          </w:tcPr>
          <w:p>
            <w:pPr>
              <w:spacing w:after="0" w:line="252" w:lineRule="auto"/>
            </w:pPr>
            <w:r>
              <w:rPr>
                <w:rFonts w:ascii="Aptos" w:hAnsi="Aptos"/>
                <w:b w:val="0"/>
                <w:i w:val="0"/>
                <w:color w:val="17213A"/>
                <w:sz w:val="15"/>
              </w:rPr>
              <w:t>All 18 chapters, assessments, certificate, offline, analytics, admin, remaining media/content production.</w:t>
            </w:r>
          </w:p>
        </w:tc>
        <w:tc>
          <w:tcPr>
            <w:tcW w:type="dxa" w:w="2200"/>
            <w:vAlign w:val="center"/>
            <w:shd w:fill="F8F6F1"/>
          </w:tcPr>
          <w:p>
            <w:pPr>
              <w:spacing w:after="0" w:line="252" w:lineRule="auto"/>
            </w:pPr>
            <w:r>
              <w:rPr>
                <w:rFonts w:ascii="Aptos" w:hAnsi="Aptos"/>
                <w:b w:val="0"/>
                <w:i w:val="0"/>
                <w:color w:val="17213A"/>
                <w:sz w:val="15"/>
              </w:rPr>
              <w:t>Feature/content complete beta; security/accessibility testing starts.</w:t>
            </w:r>
          </w:p>
        </w:tc>
      </w:tr>
      <w:tr>
        <w:tc>
          <w:tcPr>
            <w:tcW w:type="dxa" w:w="1400"/>
            <w:vAlign w:val="center"/>
          </w:tcPr>
          <w:p>
            <w:pPr>
              <w:spacing w:after="0" w:line="252" w:lineRule="auto"/>
            </w:pPr>
            <w:r>
              <w:rPr>
                <w:rFonts w:ascii="Aptos" w:hAnsi="Aptos"/>
                <w:b w:val="0"/>
                <w:i w:val="0"/>
                <w:color w:val="17213A"/>
                <w:sz w:val="15"/>
              </w:rPr>
              <w:t>4. Institutional pilot</w:t>
            </w:r>
          </w:p>
        </w:tc>
        <w:tc>
          <w:tcPr>
            <w:tcW w:type="dxa" w:w="1350"/>
            <w:vAlign w:val="center"/>
          </w:tcPr>
          <w:p>
            <w:pPr>
              <w:spacing w:after="0" w:line="252" w:lineRule="auto"/>
            </w:pPr>
            <w:r>
              <w:rPr>
                <w:rFonts w:ascii="Aptos" w:hAnsi="Aptos"/>
                <w:b w:val="0"/>
                <w:i w:val="0"/>
                <w:color w:val="17213A"/>
                <w:sz w:val="15"/>
              </w:rPr>
              <w:t>8–12 weeks</w:t>
            </w:r>
          </w:p>
        </w:tc>
        <w:tc>
          <w:tcPr>
            <w:tcW w:type="dxa" w:w="4410"/>
            <w:vAlign w:val="center"/>
          </w:tcPr>
          <w:p>
            <w:pPr>
              <w:spacing w:after="0" w:line="252" w:lineRule="auto"/>
            </w:pPr>
            <w:r>
              <w:rPr>
                <w:rFonts w:ascii="Aptos" w:hAnsi="Aptos"/>
                <w:b w:val="0"/>
                <w:i w:val="0"/>
                <w:color w:val="17213A"/>
                <w:sz w:val="15"/>
              </w:rPr>
              <w:t>Teacher/cohort tools, selected integrations, external organisation or school pilots, migration and support readiness.</w:t>
            </w:r>
          </w:p>
        </w:tc>
        <w:tc>
          <w:tcPr>
            <w:tcW w:type="dxa" w:w="2200"/>
            <w:vAlign w:val="center"/>
          </w:tcPr>
          <w:p>
            <w:pPr>
              <w:spacing w:after="0" w:line="252" w:lineRule="auto"/>
            </w:pPr>
            <w:r>
              <w:rPr>
                <w:rFonts w:ascii="Aptos" w:hAnsi="Aptos"/>
                <w:b w:val="0"/>
                <w:i w:val="0"/>
                <w:color w:val="17213A"/>
                <w:sz w:val="15"/>
              </w:rPr>
              <w:t>Pilot outcomes and go-live decision.</w:t>
            </w:r>
          </w:p>
        </w:tc>
      </w:tr>
      <w:tr>
        <w:tc>
          <w:tcPr>
            <w:tcW w:type="dxa" w:w="1400"/>
            <w:vAlign w:val="center"/>
            <w:shd w:fill="F8F6F1"/>
          </w:tcPr>
          <w:p>
            <w:pPr>
              <w:spacing w:after="0" w:line="252" w:lineRule="auto"/>
            </w:pPr>
            <w:r>
              <w:rPr>
                <w:rFonts w:ascii="Aptos" w:hAnsi="Aptos"/>
                <w:b w:val="0"/>
                <w:i w:val="0"/>
                <w:color w:val="17213A"/>
                <w:sz w:val="15"/>
              </w:rPr>
              <w:t>5. Launch &amp; scale</w:t>
            </w:r>
          </w:p>
        </w:tc>
        <w:tc>
          <w:tcPr>
            <w:tcW w:type="dxa" w:w="1350"/>
            <w:vAlign w:val="center"/>
            <w:shd w:fill="F8F6F1"/>
          </w:tcPr>
          <w:p>
            <w:pPr>
              <w:spacing w:after="0" w:line="252" w:lineRule="auto"/>
            </w:pPr>
            <w:r>
              <w:rPr>
                <w:rFonts w:ascii="Aptos" w:hAnsi="Aptos"/>
                <w:b w:val="0"/>
                <w:i w:val="0"/>
                <w:color w:val="17213A"/>
                <w:sz w:val="15"/>
              </w:rPr>
              <w:t>Ongoing</w:t>
            </w:r>
          </w:p>
        </w:tc>
        <w:tc>
          <w:tcPr>
            <w:tcW w:type="dxa" w:w="4410"/>
            <w:vAlign w:val="center"/>
            <w:shd w:fill="F8F6F1"/>
          </w:tcPr>
          <w:p>
            <w:pPr>
              <w:spacing w:after="0" w:line="252" w:lineRule="auto"/>
            </w:pPr>
            <w:r>
              <w:rPr>
                <w:rFonts w:ascii="Aptos" w:hAnsi="Aptos"/>
                <w:b w:val="0"/>
                <w:i w:val="0"/>
                <w:color w:val="17213A"/>
                <w:sz w:val="15"/>
              </w:rPr>
              <w:t>Production launch, SLOs, language/tenant onboarding, optimisation and roadmap.</w:t>
            </w:r>
          </w:p>
        </w:tc>
        <w:tc>
          <w:tcPr>
            <w:tcW w:type="dxa" w:w="2200"/>
            <w:vAlign w:val="center"/>
            <w:shd w:fill="F8F6F1"/>
          </w:tcPr>
          <w:p>
            <w:pPr>
              <w:spacing w:after="0" w:line="252" w:lineRule="auto"/>
            </w:pPr>
            <w:r>
              <w:rPr>
                <w:rFonts w:ascii="Aptos" w:hAnsi="Aptos"/>
                <w:b w:val="0"/>
                <w:i w:val="0"/>
                <w:color w:val="17213A"/>
                <w:sz w:val="15"/>
              </w:rPr>
              <w:t>Quarterly outcome and risk review.</w:t>
            </w:r>
          </w:p>
        </w:tc>
      </w:tr>
    </w:tbl>
    <w:p>
      <w:pPr>
        <w:spacing w:after="20"/>
      </w:pPr>
    </w:p>
    <w:p>
      <w:pPr>
        <w:pStyle w:val="Heading2"/>
      </w:pPr>
      <w:r>
        <w:t>Parallel workstreams</w:t>
      </w:r>
    </w:p>
    <w:p>
      <w:pPr>
        <w:pStyle w:val="ListBullet"/>
      </w:pPr>
      <w:r>
        <w:rPr>
          <w:rFonts w:ascii="Aptos" w:hAnsi="Aptos"/>
          <w:b w:val="0"/>
          <w:i w:val="0"/>
          <w:color w:val="17213A"/>
          <w:sz w:val="20"/>
        </w:rPr>
        <w:t>Product and user research; curriculum and assessment; content and media; experience/design system; platform engineering; mobile; data/integrations; privacy/security/safeguarding; accessibility/localisation; operations/change management.</w:t>
      </w:r>
    </w:p>
    <w:p>
      <w:pPr>
        <w:sectPr>
          <w:pgSz w:w="12240" w:h="15840"/>
          <w:pgMar w:top="1440" w:right="1440" w:bottom="1440" w:left="1440" w:header="708" w:footer="708" w:gutter="0"/>
          <w:cols w:space="720"/>
          <w:docGrid w:linePitch="360"/>
        </w:sectPr>
      </w:pPr>
    </w:p>
    <w:p>
      <w:pPr>
        <w:pStyle w:val="Heading2"/>
      </w:pPr>
      <w:r>
        <w:t>Recommended core team</w:t>
      </w:r>
    </w:p>
    <w:tbl>
      <w:tblPr>
        <w:tblW w:type="dxa" w:w="9360"/>
        <w:jc w:val="left"/>
        <w:tblLayout w:type="fixed"/>
        <w:tblLook w:firstColumn="1" w:firstRow="1" w:lastColumn="0" w:lastRow="0" w:noHBand="0" w:noVBand="1" w:val="04A0"/>
        <w:tblInd w:w="120" w:type="dxa"/>
        <w:tblBorders>
          <w:top w:val="single" w:sz="6" w:space="0" w:color="DDD3C1"/>
          <w:left w:val="single" w:sz="6" w:space="0" w:color="DDD3C1"/>
          <w:bottom w:val="single" w:sz="6" w:space="0" w:color="DDD3C1"/>
          <w:right w:val="single" w:sz="6" w:space="0" w:color="DDD3C1"/>
          <w:insideH w:val="single" w:sz="6" w:space="0" w:color="DDD3C1"/>
          <w:insideV w:val="single" w:sz="6" w:space="0" w:color="DDD3C1"/>
        </w:tblBorders>
      </w:tblPr>
      <w:tblGrid>
        <w:gridCol w:w="3000"/>
        <w:gridCol w:w="6360"/>
      </w:tblGrid>
      <w:tr>
        <w:trPr>
          <w:tblHeader w:val="true"/>
        </w:trPr>
        <w:tc>
          <w:tcPr>
            <w:tcW w:type="dxa" w:w="3000"/>
            <w:tcMar>
              <w:top w:w="100" w:type="dxa"/>
              <w:start w:w="120" w:type="dxa"/>
              <w:bottom w:w="100" w:type="dxa"/>
              <w:end w:w="120" w:type="dxa"/>
            </w:tcMar>
            <w:shd w:fill="18264F"/>
            <w:vAlign w:val="center"/>
          </w:tcPr>
          <w:p>
            <w:pPr>
              <w:spacing w:after="0"/>
            </w:pPr>
            <w:r>
              <w:rPr>
                <w:rFonts w:ascii="Aptos" w:hAnsi="Aptos"/>
                <w:b/>
                <w:i w:val="0"/>
                <w:color w:val="FFFFFF"/>
                <w:sz w:val="18"/>
              </w:rPr>
              <w:t>Role</w:t>
            </w:r>
          </w:p>
        </w:tc>
        <w:tc>
          <w:tcPr>
            <w:tcW w:type="dxa" w:w="6360"/>
            <w:tcMar>
              <w:top w:w="100" w:type="dxa"/>
              <w:start w:w="120" w:type="dxa"/>
              <w:bottom w:w="100" w:type="dxa"/>
              <w:end w:w="120" w:type="dxa"/>
            </w:tcMar>
            <w:shd w:fill="18264F"/>
            <w:vAlign w:val="center"/>
          </w:tcPr>
          <w:p>
            <w:pPr>
              <w:spacing w:after="0"/>
            </w:pPr>
            <w:r>
              <w:rPr>
                <w:rFonts w:ascii="Aptos" w:hAnsi="Aptos"/>
                <w:b/>
                <w:i w:val="0"/>
                <w:color w:val="FFFFFF"/>
                <w:sz w:val="18"/>
              </w:rPr>
              <w:t>Indicative allocation / responsibility</w:t>
            </w:r>
          </w:p>
        </w:tc>
      </w:tr>
      <w:tr>
        <w:tc>
          <w:tcPr>
            <w:tcW w:type="dxa" w:w="3000"/>
            <w:vAlign w:val="center"/>
          </w:tcPr>
          <w:p>
            <w:pPr>
              <w:spacing w:after="0" w:line="252" w:lineRule="auto"/>
            </w:pPr>
            <w:r>
              <w:rPr>
                <w:rFonts w:ascii="Aptos" w:hAnsi="Aptos"/>
                <w:b w:val="0"/>
                <w:i w:val="0"/>
                <w:color w:val="17213A"/>
                <w:sz w:val="16"/>
              </w:rPr>
              <w:t>Living Bliss product owner</w:t>
            </w:r>
          </w:p>
        </w:tc>
        <w:tc>
          <w:tcPr>
            <w:tcW w:type="dxa" w:w="6360"/>
            <w:vAlign w:val="center"/>
          </w:tcPr>
          <w:p>
            <w:pPr>
              <w:spacing w:after="0" w:line="252" w:lineRule="auto"/>
            </w:pPr>
            <w:r>
              <w:rPr>
                <w:rFonts w:ascii="Aptos" w:hAnsi="Aptos"/>
                <w:b w:val="0"/>
                <w:i w:val="0"/>
                <w:color w:val="17213A"/>
                <w:sz w:val="16"/>
              </w:rPr>
              <w:t>1 accountable decision-maker; scope, priorities and acceptance.</w:t>
            </w:r>
          </w:p>
        </w:tc>
      </w:tr>
      <w:tr>
        <w:tc>
          <w:tcPr>
            <w:tcW w:type="dxa" w:w="3000"/>
            <w:vAlign w:val="center"/>
            <w:shd w:fill="F8F6F1"/>
          </w:tcPr>
          <w:p>
            <w:pPr>
              <w:spacing w:after="0" w:line="252" w:lineRule="auto"/>
            </w:pPr>
            <w:r>
              <w:rPr>
                <w:rFonts w:ascii="Aptos" w:hAnsi="Aptos"/>
                <w:b w:val="0"/>
                <w:i w:val="0"/>
                <w:color w:val="17213A"/>
                <w:sz w:val="16"/>
              </w:rPr>
              <w:t>Programme/delivery lead</w:t>
            </w:r>
          </w:p>
        </w:tc>
        <w:tc>
          <w:tcPr>
            <w:tcW w:type="dxa" w:w="6360"/>
            <w:vAlign w:val="center"/>
            <w:shd w:fill="F8F6F1"/>
          </w:tcPr>
          <w:p>
            <w:pPr>
              <w:spacing w:after="0" w:line="252" w:lineRule="auto"/>
            </w:pPr>
            <w:r>
              <w:rPr>
                <w:rFonts w:ascii="Aptos" w:hAnsi="Aptos"/>
                <w:b w:val="0"/>
                <w:i w:val="0"/>
                <w:color w:val="17213A"/>
                <w:sz w:val="16"/>
              </w:rPr>
              <w:t>1; integrated plan, dependencies, risks and vendor governance.</w:t>
            </w:r>
          </w:p>
        </w:tc>
      </w:tr>
      <w:tr>
        <w:tc>
          <w:tcPr>
            <w:tcW w:type="dxa" w:w="3000"/>
            <w:vAlign w:val="center"/>
          </w:tcPr>
          <w:p>
            <w:pPr>
              <w:spacing w:after="0" w:line="252" w:lineRule="auto"/>
            </w:pPr>
            <w:r>
              <w:rPr>
                <w:rFonts w:ascii="Aptos" w:hAnsi="Aptos"/>
                <w:b w:val="0"/>
                <w:i w:val="0"/>
                <w:color w:val="17213A"/>
                <w:sz w:val="16"/>
              </w:rPr>
              <w:t>Product manager / business analyst</w:t>
            </w:r>
          </w:p>
        </w:tc>
        <w:tc>
          <w:tcPr>
            <w:tcW w:type="dxa" w:w="6360"/>
            <w:vAlign w:val="center"/>
          </w:tcPr>
          <w:p>
            <w:pPr>
              <w:spacing w:after="0" w:line="252" w:lineRule="auto"/>
            </w:pPr>
            <w:r>
              <w:rPr>
                <w:rFonts w:ascii="Aptos" w:hAnsi="Aptos"/>
                <w:b w:val="0"/>
                <w:i w:val="0"/>
                <w:color w:val="17213A"/>
                <w:sz w:val="16"/>
              </w:rPr>
              <w:t>1–2; discovery, requirements, backlog and metrics.</w:t>
            </w:r>
          </w:p>
        </w:tc>
      </w:tr>
      <w:tr>
        <w:tc>
          <w:tcPr>
            <w:tcW w:type="dxa" w:w="3000"/>
            <w:vAlign w:val="center"/>
            <w:shd w:fill="F8F6F1"/>
          </w:tcPr>
          <w:p>
            <w:pPr>
              <w:spacing w:after="0" w:line="252" w:lineRule="auto"/>
            </w:pPr>
            <w:r>
              <w:rPr>
                <w:rFonts w:ascii="Aptos" w:hAnsi="Aptos"/>
                <w:b w:val="0"/>
                <w:i w:val="0"/>
                <w:color w:val="17213A"/>
                <w:sz w:val="16"/>
              </w:rPr>
              <w:t>UX/service designer + UI/design system</w:t>
            </w:r>
          </w:p>
        </w:tc>
        <w:tc>
          <w:tcPr>
            <w:tcW w:type="dxa" w:w="6360"/>
            <w:vAlign w:val="center"/>
            <w:shd w:fill="F8F6F1"/>
          </w:tcPr>
          <w:p>
            <w:pPr>
              <w:spacing w:after="0" w:line="252" w:lineRule="auto"/>
            </w:pPr>
            <w:r>
              <w:rPr>
                <w:rFonts w:ascii="Aptos" w:hAnsi="Aptos"/>
                <w:b w:val="0"/>
                <w:i w:val="0"/>
                <w:color w:val="17213A"/>
                <w:sz w:val="16"/>
              </w:rPr>
              <w:t>2–3; research, journeys, prototypes, responsive and multi-brand system.</w:t>
            </w:r>
          </w:p>
        </w:tc>
      </w:tr>
      <w:tr>
        <w:tc>
          <w:tcPr>
            <w:tcW w:type="dxa" w:w="3000"/>
            <w:vAlign w:val="center"/>
          </w:tcPr>
          <w:p>
            <w:pPr>
              <w:spacing w:after="0" w:line="252" w:lineRule="auto"/>
            </w:pPr>
            <w:r>
              <w:rPr>
                <w:rFonts w:ascii="Aptos" w:hAnsi="Aptos"/>
                <w:b w:val="0"/>
                <w:i w:val="0"/>
                <w:color w:val="17213A"/>
                <w:sz w:val="16"/>
              </w:rPr>
              <w:t>Solution architect / technical lead</w:t>
            </w:r>
          </w:p>
        </w:tc>
        <w:tc>
          <w:tcPr>
            <w:tcW w:type="dxa" w:w="6360"/>
            <w:vAlign w:val="center"/>
          </w:tcPr>
          <w:p>
            <w:pPr>
              <w:spacing w:after="0" w:line="252" w:lineRule="auto"/>
            </w:pPr>
            <w:r>
              <w:rPr>
                <w:rFonts w:ascii="Aptos" w:hAnsi="Aptos"/>
                <w:b w:val="0"/>
                <w:i w:val="0"/>
                <w:color w:val="17213A"/>
                <w:sz w:val="16"/>
              </w:rPr>
              <w:t>1; architecture, integrations, security and technical quality.</w:t>
            </w:r>
          </w:p>
        </w:tc>
      </w:tr>
      <w:tr>
        <w:tc>
          <w:tcPr>
            <w:tcW w:type="dxa" w:w="3000"/>
            <w:vAlign w:val="center"/>
            <w:shd w:fill="F8F6F1"/>
          </w:tcPr>
          <w:p>
            <w:pPr>
              <w:spacing w:after="0" w:line="252" w:lineRule="auto"/>
            </w:pPr>
            <w:r>
              <w:rPr>
                <w:rFonts w:ascii="Aptos" w:hAnsi="Aptos"/>
                <w:b w:val="0"/>
                <w:i w:val="0"/>
                <w:color w:val="17213A"/>
                <w:sz w:val="16"/>
              </w:rPr>
              <w:t>Engineers</w:t>
            </w:r>
          </w:p>
        </w:tc>
        <w:tc>
          <w:tcPr>
            <w:tcW w:type="dxa" w:w="6360"/>
            <w:vAlign w:val="center"/>
            <w:shd w:fill="F8F6F1"/>
          </w:tcPr>
          <w:p>
            <w:pPr>
              <w:spacing w:after="0" w:line="252" w:lineRule="auto"/>
            </w:pPr>
            <w:r>
              <w:rPr>
                <w:rFonts w:ascii="Aptos" w:hAnsi="Aptos"/>
                <w:b w:val="0"/>
                <w:i w:val="0"/>
                <w:color w:val="17213A"/>
                <w:sz w:val="16"/>
              </w:rPr>
              <w:t>6–10 across web, backend, mobile and quality automation depending on timeline.</w:t>
            </w:r>
          </w:p>
        </w:tc>
      </w:tr>
      <w:tr>
        <w:tc>
          <w:tcPr>
            <w:tcW w:type="dxa" w:w="3000"/>
            <w:vAlign w:val="center"/>
          </w:tcPr>
          <w:p>
            <w:pPr>
              <w:spacing w:after="0" w:line="252" w:lineRule="auto"/>
            </w:pPr>
            <w:r>
              <w:rPr>
                <w:rFonts w:ascii="Aptos" w:hAnsi="Aptos"/>
                <w:b w:val="0"/>
                <w:i w:val="0"/>
                <w:color w:val="17213A"/>
                <w:sz w:val="16"/>
              </w:rPr>
              <w:t>QA / test automation</w:t>
            </w:r>
          </w:p>
        </w:tc>
        <w:tc>
          <w:tcPr>
            <w:tcW w:type="dxa" w:w="6360"/>
            <w:vAlign w:val="center"/>
          </w:tcPr>
          <w:p>
            <w:pPr>
              <w:spacing w:after="0" w:line="252" w:lineRule="auto"/>
            </w:pPr>
            <w:r>
              <w:rPr>
                <w:rFonts w:ascii="Aptos" w:hAnsi="Aptos"/>
                <w:b w:val="0"/>
                <w:i w:val="0"/>
                <w:color w:val="17213A"/>
                <w:sz w:val="16"/>
              </w:rPr>
              <w:t>2–3 plus specialist performance, security and accessibility testing.</w:t>
            </w:r>
          </w:p>
        </w:tc>
      </w:tr>
      <w:tr>
        <w:tc>
          <w:tcPr>
            <w:tcW w:type="dxa" w:w="3000"/>
            <w:vAlign w:val="center"/>
            <w:shd w:fill="F8F6F1"/>
          </w:tcPr>
          <w:p>
            <w:pPr>
              <w:spacing w:after="0" w:line="252" w:lineRule="auto"/>
            </w:pPr>
            <w:r>
              <w:rPr>
                <w:rFonts w:ascii="Aptos" w:hAnsi="Aptos"/>
                <w:b w:val="0"/>
                <w:i w:val="0"/>
                <w:color w:val="17213A"/>
                <w:sz w:val="16"/>
              </w:rPr>
              <w:t>Curriculum lead + learning designer</w:t>
            </w:r>
          </w:p>
        </w:tc>
        <w:tc>
          <w:tcPr>
            <w:tcW w:type="dxa" w:w="6360"/>
            <w:vAlign w:val="center"/>
            <w:shd w:fill="F8F6F1"/>
          </w:tcPr>
          <w:p>
            <w:pPr>
              <w:spacing w:after="0" w:line="252" w:lineRule="auto"/>
            </w:pPr>
            <w:r>
              <w:rPr>
                <w:rFonts w:ascii="Aptos" w:hAnsi="Aptos"/>
                <w:b w:val="0"/>
                <w:i w:val="0"/>
                <w:color w:val="17213A"/>
                <w:sz w:val="16"/>
              </w:rPr>
              <w:t>2–3; course spine, outcomes, pedagogy and assessment.</w:t>
            </w:r>
          </w:p>
        </w:tc>
      </w:tr>
      <w:tr>
        <w:tc>
          <w:tcPr>
            <w:tcW w:type="dxa" w:w="3000"/>
            <w:vAlign w:val="center"/>
          </w:tcPr>
          <w:p>
            <w:pPr>
              <w:spacing w:after="0" w:line="252" w:lineRule="auto"/>
            </w:pPr>
            <w:r>
              <w:rPr>
                <w:rFonts w:ascii="Aptos" w:hAnsi="Aptos"/>
                <w:b w:val="0"/>
                <w:i w:val="0"/>
                <w:color w:val="17213A"/>
                <w:sz w:val="16"/>
              </w:rPr>
              <w:t>Scholarly/content team</w:t>
            </w:r>
          </w:p>
        </w:tc>
        <w:tc>
          <w:tcPr>
            <w:tcW w:type="dxa" w:w="6360"/>
            <w:vAlign w:val="center"/>
          </w:tcPr>
          <w:p>
            <w:pPr>
              <w:spacing w:after="0" w:line="252" w:lineRule="auto"/>
            </w:pPr>
            <w:r>
              <w:rPr>
                <w:rFonts w:ascii="Aptos" w:hAnsi="Aptos"/>
                <w:b w:val="0"/>
                <w:i w:val="0"/>
                <w:color w:val="17213A"/>
                <w:sz w:val="16"/>
              </w:rPr>
              <w:t>Sized per edition/language; authors, translators, reviewers, editors and media producers.</w:t>
            </w:r>
          </w:p>
        </w:tc>
      </w:tr>
      <w:tr>
        <w:tc>
          <w:tcPr>
            <w:tcW w:type="dxa" w:w="3000"/>
            <w:vAlign w:val="center"/>
            <w:shd w:fill="F8F6F1"/>
          </w:tcPr>
          <w:p>
            <w:pPr>
              <w:spacing w:after="0" w:line="252" w:lineRule="auto"/>
            </w:pPr>
            <w:r>
              <w:rPr>
                <w:rFonts w:ascii="Aptos" w:hAnsi="Aptos"/>
                <w:b w:val="0"/>
                <w:i w:val="0"/>
                <w:color w:val="17213A"/>
                <w:sz w:val="16"/>
              </w:rPr>
              <w:t>Data/privacy/security/accessibility specialists</w:t>
            </w:r>
          </w:p>
        </w:tc>
        <w:tc>
          <w:tcPr>
            <w:tcW w:type="dxa" w:w="6360"/>
            <w:vAlign w:val="center"/>
            <w:shd w:fill="F8F6F1"/>
          </w:tcPr>
          <w:p>
            <w:pPr>
              <w:spacing w:after="0" w:line="252" w:lineRule="auto"/>
            </w:pPr>
            <w:r>
              <w:rPr>
                <w:rFonts w:ascii="Aptos" w:hAnsi="Aptos"/>
                <w:b w:val="0"/>
                <w:i w:val="0"/>
                <w:color w:val="17213A"/>
                <w:sz w:val="16"/>
              </w:rPr>
              <w:t>Fractional to dedicated at discovery, design and release gates.</w:t>
            </w:r>
          </w:p>
        </w:tc>
      </w:tr>
      <w:tr>
        <w:tc>
          <w:tcPr>
            <w:tcW w:type="dxa" w:w="3000"/>
            <w:vAlign w:val="center"/>
          </w:tcPr>
          <w:p>
            <w:pPr>
              <w:spacing w:after="0" w:line="252" w:lineRule="auto"/>
            </w:pPr>
            <w:r>
              <w:rPr>
                <w:rFonts w:ascii="Aptos" w:hAnsi="Aptos"/>
                <w:b w:val="0"/>
                <w:i w:val="0"/>
                <w:color w:val="17213A"/>
                <w:sz w:val="16"/>
              </w:rPr>
              <w:t>Implementation/support lead</w:t>
            </w:r>
          </w:p>
        </w:tc>
        <w:tc>
          <w:tcPr>
            <w:tcW w:type="dxa" w:w="6360"/>
            <w:vAlign w:val="center"/>
          </w:tcPr>
          <w:p>
            <w:pPr>
              <w:spacing w:after="0" w:line="252" w:lineRule="auto"/>
            </w:pPr>
            <w:r>
              <w:rPr>
                <w:rFonts w:ascii="Aptos" w:hAnsi="Aptos"/>
                <w:b w:val="0"/>
                <w:i w:val="0"/>
                <w:color w:val="17213A"/>
                <w:sz w:val="16"/>
              </w:rPr>
              <w:t>1–2; tenant onboarding, training, pilot and operations.</w:t>
            </w:r>
          </w:p>
        </w:tc>
      </w:tr>
    </w:tbl>
    <w:p>
      <w:pPr>
        <w:spacing w:after="20"/>
      </w:pPr>
    </w:p>
    <w:p>
      <w:pPr>
        <w:pStyle w:val="Heading2"/>
      </w:pPr>
      <w:r>
        <w:t>Delivery practice</w:t>
      </w:r>
    </w:p>
    <w:p>
      <w:pPr>
        <w:pStyle w:val="ListBullet"/>
      </w:pPr>
      <w:r>
        <w:rPr>
          <w:rFonts w:ascii="Aptos" w:hAnsi="Aptos"/>
          <w:b w:val="0"/>
          <w:i w:val="0"/>
          <w:color w:val="17213A"/>
          <w:sz w:val="20"/>
        </w:rPr>
        <w:t>Two-week increments with demonstrable vertical slices, weekly content/engineering dependency review and monthly steering decisions.</w:t>
      </w:r>
    </w:p>
    <w:p>
      <w:pPr>
        <w:pStyle w:val="ListBullet"/>
      </w:pPr>
      <w:r>
        <w:rPr>
          <w:rFonts w:ascii="Aptos" w:hAnsi="Aptos"/>
          <w:b w:val="0"/>
          <w:i w:val="0"/>
          <w:color w:val="17213A"/>
          <w:sz w:val="20"/>
        </w:rPr>
        <w:t>One integrated backlog linking outcome → requirement → design → content → test → release evidence.</w:t>
      </w:r>
    </w:p>
    <w:p>
      <w:pPr>
        <w:pStyle w:val="ListBullet"/>
      </w:pPr>
      <w:r>
        <w:rPr>
          <w:rFonts w:ascii="Aptos" w:hAnsi="Aptos"/>
          <w:b w:val="0"/>
          <w:i w:val="0"/>
          <w:color w:val="17213A"/>
          <w:sz w:val="20"/>
        </w:rPr>
        <w:t>Production-like environments early; tenant configuration, migrations and rollback tested continuously.</w:t>
      </w:r>
    </w:p>
    <w:p>
      <w:pPr>
        <w:sectPr>
          <w:pgSz w:w="12240" w:h="15840"/>
          <w:pgMar w:top="1440" w:right="1440" w:bottom="1440" w:left="1440" w:header="708" w:footer="708" w:gutter="0"/>
          <w:cols w:space="720"/>
          <w:docGrid w:linePitch="360"/>
        </w:sectPr>
      </w:pPr>
    </w:p>
    <w:p>
      <w:pPr>
        <w:spacing w:after="100"/>
      </w:pPr>
      <w:r>
        <w:rPr>
          <w:rFonts w:ascii="Aptos" w:hAnsi="Aptos"/>
          <w:b/>
          <w:i w:val="0"/>
          <w:caps/>
          <w:color w:val="D9832E"/>
          <w:sz w:val="16"/>
        </w:rPr>
        <w:t>SECTION 20</w:t>
      </w:r>
    </w:p>
    <w:p>
      <w:pPr>
        <w:pStyle w:val="Heading1"/>
      </w:pPr>
      <w:r>
        <w:t>Quality, acceptance and vendor response</w:t>
      </w:r>
    </w:p>
    <w:p>
      <w:pPr>
        <w:pStyle w:val="Heading2"/>
      </w:pPr>
      <w:r>
        <w:t>Definition of done for a release</w:t>
      </w:r>
    </w:p>
    <w:p>
      <w:pPr>
        <w:pStyle w:val="ListBullet"/>
      </w:pPr>
      <w:r>
        <w:rPr>
          <w:rFonts w:ascii="Aptos" w:hAnsi="Aptos"/>
          <w:b w:val="0"/>
          <w:i w:val="0"/>
          <w:color w:val="17213A"/>
          <w:sz w:val="20"/>
        </w:rPr>
        <w:t>Acceptance criteria and automated tests pass; code reviewed; dependency and secret scans pass.</w:t>
      </w:r>
    </w:p>
    <w:p>
      <w:pPr>
        <w:pStyle w:val="ListBullet"/>
      </w:pPr>
      <w:r>
        <w:rPr>
          <w:rFonts w:ascii="Aptos" w:hAnsi="Aptos"/>
          <w:b w:val="0"/>
          <w:i w:val="0"/>
          <w:color w:val="17213A"/>
          <w:sz w:val="20"/>
        </w:rPr>
        <w:t>Content carries required source, rights, edition, approval and accessibility metadata.</w:t>
      </w:r>
    </w:p>
    <w:p>
      <w:pPr>
        <w:pStyle w:val="ListBullet"/>
      </w:pPr>
      <w:r>
        <w:rPr>
          <w:rFonts w:ascii="Aptos" w:hAnsi="Aptos"/>
          <w:b w:val="0"/>
          <w:i w:val="0"/>
          <w:color w:val="17213A"/>
          <w:sz w:val="20"/>
        </w:rPr>
        <w:t>Responsive layouts, supported browsers/devices, offline behaviour and tenant themes pass regression.</w:t>
      </w:r>
    </w:p>
    <w:p>
      <w:pPr>
        <w:pStyle w:val="ListBullet"/>
      </w:pPr>
      <w:r>
        <w:rPr>
          <w:rFonts w:ascii="Aptos" w:hAnsi="Aptos"/>
          <w:b w:val="0"/>
          <w:i w:val="0"/>
          <w:color w:val="17213A"/>
          <w:sz w:val="20"/>
        </w:rPr>
        <w:t>Accessibility manual and automated gates pass; critical user journeys tested with assistive technology.</w:t>
      </w:r>
    </w:p>
    <w:p>
      <w:pPr>
        <w:pStyle w:val="ListBullet"/>
      </w:pPr>
      <w:r>
        <w:rPr>
          <w:rFonts w:ascii="Aptos" w:hAnsi="Aptos"/>
          <w:b w:val="0"/>
          <w:i w:val="0"/>
          <w:color w:val="17213A"/>
          <w:sz w:val="20"/>
        </w:rPr>
        <w:t>Threat model updated; security/privacy review and required penetration fixes complete.</w:t>
      </w:r>
    </w:p>
    <w:p>
      <w:pPr>
        <w:pStyle w:val="ListBullet"/>
      </w:pPr>
      <w:r>
        <w:rPr>
          <w:rFonts w:ascii="Aptos" w:hAnsi="Aptos"/>
          <w:b w:val="0"/>
          <w:i w:val="0"/>
          <w:color w:val="17213A"/>
          <w:sz w:val="20"/>
        </w:rPr>
        <w:t>Observability, runbooks, dashboards, support articles, migration and rollback are ready.</w:t>
      </w:r>
    </w:p>
    <w:p>
      <w:pPr>
        <w:pStyle w:val="ListBullet"/>
      </w:pPr>
      <w:r>
        <w:rPr>
          <w:rFonts w:ascii="Aptos" w:hAnsi="Aptos"/>
          <w:b w:val="0"/>
          <w:i w:val="0"/>
          <w:color w:val="17213A"/>
          <w:sz w:val="20"/>
        </w:rPr>
        <w:t>Product owner and relevant scholarly/tenant authority accept the release evidence.</w:t>
      </w:r>
    </w:p>
    <w:p>
      <w:pPr>
        <w:pStyle w:val="Heading2"/>
      </w:pPr>
      <w:r>
        <w:t>Non-functional acceptance topics for discovery</w:t>
      </w:r>
    </w:p>
    <w:tbl>
      <w:tblPr>
        <w:tblW w:type="dxa" w:w="9360"/>
        <w:jc w:val="left"/>
        <w:tblLayout w:type="fixed"/>
        <w:tblLook w:firstColumn="1" w:firstRow="1" w:lastColumn="0" w:lastRow="0" w:noHBand="0" w:noVBand="1" w:val="04A0"/>
        <w:tblInd w:w="120" w:type="dxa"/>
        <w:tblBorders>
          <w:top w:val="single" w:sz="6" w:space="0" w:color="DDD3C1"/>
          <w:left w:val="single" w:sz="6" w:space="0" w:color="DDD3C1"/>
          <w:bottom w:val="single" w:sz="6" w:space="0" w:color="DDD3C1"/>
          <w:right w:val="single" w:sz="6" w:space="0" w:color="DDD3C1"/>
          <w:insideH w:val="single" w:sz="6" w:space="0" w:color="DDD3C1"/>
          <w:insideV w:val="single" w:sz="6" w:space="0" w:color="DDD3C1"/>
        </w:tblBorders>
      </w:tblPr>
      <w:tblGrid>
        <w:gridCol w:w="1800"/>
        <w:gridCol w:w="7560"/>
      </w:tblGrid>
      <w:tr>
        <w:trPr>
          <w:tblHeader w:val="true"/>
        </w:trPr>
        <w:tc>
          <w:tcPr>
            <w:tcW w:type="dxa" w:w="1800"/>
            <w:tcMar>
              <w:top w:w="100" w:type="dxa"/>
              <w:start w:w="120" w:type="dxa"/>
              <w:bottom w:w="100" w:type="dxa"/>
              <w:end w:w="120" w:type="dxa"/>
            </w:tcMar>
            <w:shd w:fill="18264F"/>
            <w:vAlign w:val="center"/>
          </w:tcPr>
          <w:p>
            <w:pPr>
              <w:spacing w:after="0"/>
            </w:pPr>
            <w:r>
              <w:rPr>
                <w:rFonts w:ascii="Aptos" w:hAnsi="Aptos"/>
                <w:b/>
                <w:i w:val="0"/>
                <w:color w:val="FFFFFF"/>
                <w:sz w:val="18"/>
              </w:rPr>
              <w:t>Topic</w:t>
            </w:r>
          </w:p>
        </w:tc>
        <w:tc>
          <w:tcPr>
            <w:tcW w:type="dxa" w:w="7560"/>
            <w:tcMar>
              <w:top w:w="100" w:type="dxa"/>
              <w:start w:w="120" w:type="dxa"/>
              <w:bottom w:w="100" w:type="dxa"/>
              <w:end w:w="120" w:type="dxa"/>
            </w:tcMar>
            <w:shd w:fill="18264F"/>
            <w:vAlign w:val="center"/>
          </w:tcPr>
          <w:p>
            <w:pPr>
              <w:spacing w:after="0"/>
            </w:pPr>
            <w:r>
              <w:rPr>
                <w:rFonts w:ascii="Aptos" w:hAnsi="Aptos"/>
                <w:b/>
                <w:i w:val="0"/>
                <w:color w:val="FFFFFF"/>
                <w:sz w:val="18"/>
              </w:rPr>
              <w:t>Vendor must propose</w:t>
            </w:r>
          </w:p>
        </w:tc>
      </w:tr>
      <w:tr>
        <w:tc>
          <w:tcPr>
            <w:tcW w:type="dxa" w:w="1800"/>
            <w:vAlign w:val="center"/>
          </w:tcPr>
          <w:p>
            <w:pPr>
              <w:spacing w:after="0" w:line="252" w:lineRule="auto"/>
            </w:pPr>
            <w:r>
              <w:rPr>
                <w:rFonts w:ascii="Aptos" w:hAnsi="Aptos"/>
                <w:b w:val="0"/>
                <w:i w:val="0"/>
                <w:color w:val="17213A"/>
                <w:sz w:val="16"/>
              </w:rPr>
              <w:t>Performance</w:t>
            </w:r>
          </w:p>
        </w:tc>
        <w:tc>
          <w:tcPr>
            <w:tcW w:type="dxa" w:w="7560"/>
            <w:vAlign w:val="center"/>
          </w:tcPr>
          <w:p>
            <w:pPr>
              <w:spacing w:after="0" w:line="252" w:lineRule="auto"/>
            </w:pPr>
            <w:r>
              <w:rPr>
                <w:rFonts w:ascii="Aptos" w:hAnsi="Aptos"/>
                <w:b w:val="0"/>
                <w:i w:val="0"/>
                <w:color w:val="17213A"/>
                <w:sz w:val="16"/>
              </w:rPr>
              <w:t>Target devices/networks, page and API budgets, media startup, offline sync and load-test model.</w:t>
            </w:r>
          </w:p>
        </w:tc>
      </w:tr>
      <w:tr>
        <w:tc>
          <w:tcPr>
            <w:tcW w:type="dxa" w:w="1800"/>
            <w:vAlign w:val="center"/>
            <w:shd w:fill="F8F6F1"/>
          </w:tcPr>
          <w:p>
            <w:pPr>
              <w:spacing w:after="0" w:line="252" w:lineRule="auto"/>
            </w:pPr>
            <w:r>
              <w:rPr>
                <w:rFonts w:ascii="Aptos" w:hAnsi="Aptos"/>
                <w:b w:val="0"/>
                <w:i w:val="0"/>
                <w:color w:val="17213A"/>
                <w:sz w:val="16"/>
              </w:rPr>
              <w:t>Availability</w:t>
            </w:r>
          </w:p>
        </w:tc>
        <w:tc>
          <w:tcPr>
            <w:tcW w:type="dxa" w:w="7560"/>
            <w:vAlign w:val="center"/>
            <w:shd w:fill="F8F6F1"/>
          </w:tcPr>
          <w:p>
            <w:pPr>
              <w:spacing w:after="0" w:line="252" w:lineRule="auto"/>
            </w:pPr>
            <w:r>
              <w:rPr>
                <w:rFonts w:ascii="Aptos" w:hAnsi="Aptos"/>
                <w:b w:val="0"/>
                <w:i w:val="0"/>
                <w:color w:val="17213A"/>
                <w:sz w:val="16"/>
              </w:rPr>
              <w:t>SLO/SLA tiers, maintenance, dependencies, RTO/RPO and disaster-recovery test cadence.</w:t>
            </w:r>
          </w:p>
        </w:tc>
      </w:tr>
      <w:tr>
        <w:tc>
          <w:tcPr>
            <w:tcW w:type="dxa" w:w="1800"/>
            <w:vAlign w:val="center"/>
          </w:tcPr>
          <w:p>
            <w:pPr>
              <w:spacing w:after="0" w:line="252" w:lineRule="auto"/>
            </w:pPr>
            <w:r>
              <w:rPr>
                <w:rFonts w:ascii="Aptos" w:hAnsi="Aptos"/>
                <w:b w:val="0"/>
                <w:i w:val="0"/>
                <w:color w:val="17213A"/>
                <w:sz w:val="16"/>
              </w:rPr>
              <w:t>Security</w:t>
            </w:r>
          </w:p>
        </w:tc>
        <w:tc>
          <w:tcPr>
            <w:tcW w:type="dxa" w:w="7560"/>
            <w:vAlign w:val="center"/>
          </w:tcPr>
          <w:p>
            <w:pPr>
              <w:spacing w:after="0" w:line="252" w:lineRule="auto"/>
            </w:pPr>
            <w:r>
              <w:rPr>
                <w:rFonts w:ascii="Aptos" w:hAnsi="Aptos"/>
                <w:b w:val="0"/>
                <w:i w:val="0"/>
                <w:color w:val="17213A"/>
                <w:sz w:val="16"/>
              </w:rPr>
              <w:t>SSDLC, threat modelling, testing, vulnerability SLAs, SBOM, incident response and data isolation evidence.</w:t>
            </w:r>
          </w:p>
        </w:tc>
      </w:tr>
      <w:tr>
        <w:tc>
          <w:tcPr>
            <w:tcW w:type="dxa" w:w="1800"/>
            <w:vAlign w:val="center"/>
            <w:shd w:fill="F8F6F1"/>
          </w:tcPr>
          <w:p>
            <w:pPr>
              <w:spacing w:after="0" w:line="252" w:lineRule="auto"/>
            </w:pPr>
            <w:r>
              <w:rPr>
                <w:rFonts w:ascii="Aptos" w:hAnsi="Aptos"/>
                <w:b w:val="0"/>
                <w:i w:val="0"/>
                <w:color w:val="17213A"/>
                <w:sz w:val="16"/>
              </w:rPr>
              <w:t>Privacy</w:t>
            </w:r>
          </w:p>
        </w:tc>
        <w:tc>
          <w:tcPr>
            <w:tcW w:type="dxa" w:w="7560"/>
            <w:vAlign w:val="center"/>
            <w:shd w:fill="F8F6F1"/>
          </w:tcPr>
          <w:p>
            <w:pPr>
              <w:spacing w:after="0" w:line="252" w:lineRule="auto"/>
            </w:pPr>
            <w:r>
              <w:rPr>
                <w:rFonts w:ascii="Aptos" w:hAnsi="Aptos"/>
                <w:b w:val="0"/>
                <w:i w:val="0"/>
                <w:color w:val="17213A"/>
                <w:sz w:val="16"/>
              </w:rPr>
              <w:t>Data map, consent/rights flows, retention/deletion, subprocessors and jurisdiction approach.</w:t>
            </w:r>
          </w:p>
        </w:tc>
      </w:tr>
      <w:tr>
        <w:tc>
          <w:tcPr>
            <w:tcW w:type="dxa" w:w="1800"/>
            <w:vAlign w:val="center"/>
          </w:tcPr>
          <w:p>
            <w:pPr>
              <w:spacing w:after="0" w:line="252" w:lineRule="auto"/>
            </w:pPr>
            <w:r>
              <w:rPr>
                <w:rFonts w:ascii="Aptos" w:hAnsi="Aptos"/>
                <w:b w:val="0"/>
                <w:i w:val="0"/>
                <w:color w:val="17213A"/>
                <w:sz w:val="16"/>
              </w:rPr>
              <w:t>Accessibility</w:t>
            </w:r>
          </w:p>
        </w:tc>
        <w:tc>
          <w:tcPr>
            <w:tcW w:type="dxa" w:w="7560"/>
            <w:vAlign w:val="center"/>
          </w:tcPr>
          <w:p>
            <w:pPr>
              <w:spacing w:after="0" w:line="252" w:lineRule="auto"/>
            </w:pPr>
            <w:r>
              <w:rPr>
                <w:rFonts w:ascii="Aptos" w:hAnsi="Aptos"/>
                <w:b w:val="0"/>
                <w:i w:val="0"/>
                <w:color w:val="17213A"/>
                <w:sz w:val="16"/>
              </w:rPr>
              <w:t>WCAG 2.2 AA plan, target assistive technologies, audit cadence and conformance reporting.</w:t>
            </w:r>
          </w:p>
        </w:tc>
      </w:tr>
      <w:tr>
        <w:tc>
          <w:tcPr>
            <w:tcW w:type="dxa" w:w="1800"/>
            <w:vAlign w:val="center"/>
            <w:shd w:fill="F8F6F1"/>
          </w:tcPr>
          <w:p>
            <w:pPr>
              <w:spacing w:after="0" w:line="252" w:lineRule="auto"/>
            </w:pPr>
            <w:r>
              <w:rPr>
                <w:rFonts w:ascii="Aptos" w:hAnsi="Aptos"/>
                <w:b w:val="0"/>
                <w:i w:val="0"/>
                <w:color w:val="17213A"/>
                <w:sz w:val="16"/>
              </w:rPr>
              <w:t>Scalability</w:t>
            </w:r>
          </w:p>
        </w:tc>
        <w:tc>
          <w:tcPr>
            <w:tcW w:type="dxa" w:w="7560"/>
            <w:vAlign w:val="center"/>
            <w:shd w:fill="F8F6F1"/>
          </w:tcPr>
          <w:p>
            <w:pPr>
              <w:spacing w:after="0" w:line="252" w:lineRule="auto"/>
            </w:pPr>
            <w:r>
              <w:rPr>
                <w:rFonts w:ascii="Aptos" w:hAnsi="Aptos"/>
                <w:b w:val="0"/>
                <w:i w:val="0"/>
                <w:color w:val="17213A"/>
                <w:sz w:val="16"/>
              </w:rPr>
              <w:t>Tenant/learner assumptions, content/media traffic, assessment peaks and cost model.</w:t>
            </w:r>
          </w:p>
        </w:tc>
      </w:tr>
      <w:tr>
        <w:tc>
          <w:tcPr>
            <w:tcW w:type="dxa" w:w="1800"/>
            <w:vAlign w:val="center"/>
          </w:tcPr>
          <w:p>
            <w:pPr>
              <w:spacing w:after="0" w:line="252" w:lineRule="auto"/>
            </w:pPr>
            <w:r>
              <w:rPr>
                <w:rFonts w:ascii="Aptos" w:hAnsi="Aptos"/>
                <w:b w:val="0"/>
                <w:i w:val="0"/>
                <w:color w:val="17213A"/>
                <w:sz w:val="16"/>
              </w:rPr>
              <w:t>Maintainability</w:t>
            </w:r>
          </w:p>
        </w:tc>
        <w:tc>
          <w:tcPr>
            <w:tcW w:type="dxa" w:w="7560"/>
            <w:vAlign w:val="center"/>
          </w:tcPr>
          <w:p>
            <w:pPr>
              <w:spacing w:after="0" w:line="252" w:lineRule="auto"/>
            </w:pPr>
            <w:r>
              <w:rPr>
                <w:rFonts w:ascii="Aptos" w:hAnsi="Aptos"/>
                <w:b w:val="0"/>
                <w:i w:val="0"/>
                <w:color w:val="17213A"/>
                <w:sz w:val="16"/>
              </w:rPr>
              <w:t>Architecture rules, code quality, automated coverage, upgrade policy, documentation and knowledge transfer.</w:t>
            </w:r>
          </w:p>
        </w:tc>
      </w:tr>
    </w:tbl>
    <w:p>
      <w:pPr>
        <w:spacing w:after="20"/>
      </w:pPr>
    </w:p>
    <w:p>
      <w:pPr>
        <w:pStyle w:val="Heading2"/>
      </w:pPr>
      <w:r>
        <w:t>Required vendor proposal structure</w:t>
      </w:r>
    </w:p>
    <w:p>
      <w:pPr>
        <w:pStyle w:val="ListNumber"/>
        <w:numPr>
          <w:ilvl w:val="0"/>
          <w:numId w:val="15"/>
        </w:numPr>
      </w:pPr>
      <w:r>
        <w:rPr>
          <w:rFonts w:ascii="Aptos" w:hAnsi="Aptos"/>
          <w:b w:val="0"/>
          <w:i w:val="0"/>
          <w:color w:val="17213A"/>
          <w:sz w:val="20"/>
        </w:rPr>
        <w:t>Understanding of the product vision, assumptions, risks and recommended scope changes.</w:t>
      </w:r>
    </w:p>
    <w:p>
      <w:pPr>
        <w:pStyle w:val="ListNumber"/>
        <w:numPr>
          <w:ilvl w:val="0"/>
          <w:numId w:val="15"/>
        </w:numPr>
      </w:pPr>
      <w:r>
        <w:rPr>
          <w:rFonts w:ascii="Aptos" w:hAnsi="Aptos"/>
          <w:b w:val="0"/>
          <w:i w:val="0"/>
          <w:color w:val="17213A"/>
          <w:sz w:val="20"/>
        </w:rPr>
        <w:t>Discovery approach, research plan and deliverables.</w:t>
      </w:r>
    </w:p>
    <w:p>
      <w:pPr>
        <w:pStyle w:val="ListNumber"/>
        <w:numPr>
          <w:ilvl w:val="0"/>
          <w:numId w:val="15"/>
        </w:numPr>
      </w:pPr>
      <w:r>
        <w:rPr>
          <w:rFonts w:ascii="Aptos" w:hAnsi="Aptos"/>
          <w:b w:val="0"/>
          <w:i w:val="0"/>
          <w:color w:val="17213A"/>
          <w:sz w:val="20"/>
        </w:rPr>
        <w:t>Solution architecture, build/buy decisions, data model and integration strategy.</w:t>
      </w:r>
    </w:p>
    <w:p>
      <w:pPr>
        <w:pStyle w:val="ListNumber"/>
        <w:numPr>
          <w:ilvl w:val="0"/>
          <w:numId w:val="15"/>
        </w:numPr>
      </w:pPr>
      <w:r>
        <w:rPr>
          <w:rFonts w:ascii="Aptos" w:hAnsi="Aptos"/>
          <w:b w:val="0"/>
          <w:i w:val="0"/>
          <w:color w:val="17213A"/>
          <w:sz w:val="20"/>
        </w:rPr>
        <w:t>Experience/design-system approach, web/mobile technology and accessibility plan.</w:t>
      </w:r>
    </w:p>
    <w:p>
      <w:pPr>
        <w:pStyle w:val="ListNumber"/>
        <w:numPr>
          <w:ilvl w:val="0"/>
          <w:numId w:val="15"/>
        </w:numPr>
      </w:pPr>
      <w:r>
        <w:rPr>
          <w:rFonts w:ascii="Aptos" w:hAnsi="Aptos"/>
          <w:b w:val="0"/>
          <w:i w:val="0"/>
          <w:color w:val="17213A"/>
          <w:sz w:val="20"/>
        </w:rPr>
        <w:t>Content/CMS and multi-edition implementation approach, including rights and versioning.</w:t>
      </w:r>
    </w:p>
    <w:p>
      <w:pPr>
        <w:pStyle w:val="ListNumber"/>
        <w:numPr>
          <w:ilvl w:val="0"/>
          <w:numId w:val="15"/>
        </w:numPr>
      </w:pPr>
      <w:r>
        <w:rPr>
          <w:rFonts w:ascii="Aptos" w:hAnsi="Aptos"/>
          <w:b w:val="0"/>
          <w:i w:val="0"/>
          <w:color w:val="17213A"/>
          <w:sz w:val="20"/>
        </w:rPr>
        <w:t>Delivery plan, milestones, team by role, dependencies and Living Bliss responsibilities.</w:t>
      </w:r>
    </w:p>
    <w:p>
      <w:pPr>
        <w:pStyle w:val="ListNumber"/>
        <w:numPr>
          <w:ilvl w:val="0"/>
          <w:numId w:val="15"/>
        </w:numPr>
      </w:pPr>
      <w:r>
        <w:rPr>
          <w:rFonts w:ascii="Aptos" w:hAnsi="Aptos"/>
          <w:b w:val="0"/>
          <w:i w:val="0"/>
          <w:color w:val="17213A"/>
          <w:sz w:val="20"/>
        </w:rPr>
        <w:t>Quality, security, privacy, safeguarding, DevOps, support and service-management model.</w:t>
      </w:r>
    </w:p>
    <w:p>
      <w:pPr>
        <w:pStyle w:val="ListNumber"/>
        <w:numPr>
          <w:ilvl w:val="0"/>
          <w:numId w:val="15"/>
        </w:numPr>
      </w:pPr>
      <w:r>
        <w:rPr>
          <w:rFonts w:ascii="Aptos" w:hAnsi="Aptos"/>
          <w:b w:val="0"/>
          <w:i w:val="0"/>
          <w:color w:val="17213A"/>
          <w:sz w:val="20"/>
        </w:rPr>
        <w:t>Itemised commercial proposal: discovery, build, content/media assumptions, licences, hosting, support and change rates.</w:t>
      </w:r>
    </w:p>
    <w:p>
      <w:pPr>
        <w:pStyle w:val="ListNumber"/>
        <w:numPr>
          <w:ilvl w:val="0"/>
          <w:numId w:val="15"/>
        </w:numPr>
      </w:pPr>
      <w:r>
        <w:rPr>
          <w:rFonts w:ascii="Aptos" w:hAnsi="Aptos"/>
          <w:b w:val="0"/>
          <w:i w:val="0"/>
          <w:color w:val="17213A"/>
          <w:sz w:val="20"/>
        </w:rPr>
        <w:t>IP ownership, source access, portability, subcontractors, warranty and termination assistance.</w:t>
      </w:r>
    </w:p>
    <w:p>
      <w:pPr>
        <w:pStyle w:val="ListNumber"/>
        <w:numPr>
          <w:ilvl w:val="0"/>
          <w:numId w:val="15"/>
        </w:numPr>
      </w:pPr>
      <w:r>
        <w:rPr>
          <w:rFonts w:ascii="Aptos" w:hAnsi="Aptos"/>
          <w:b w:val="0"/>
          <w:i w:val="0"/>
          <w:color w:val="17213A"/>
          <w:sz w:val="20"/>
        </w:rPr>
        <w:t>Relevant references and demonstrations of comparable learning, multi-tenant and mobile work.</w:t>
      </w:r>
    </w:p>
    <w:p>
      <w:pPr>
        <w:sectPr>
          <w:pgSz w:w="12240" w:h="15840"/>
          <w:pgMar w:top="1440" w:right="1440" w:bottom="1440" w:left="1440" w:header="708" w:footer="708" w:gutter="0"/>
          <w:cols w:space="720"/>
          <w:docGrid w:linePitch="360"/>
        </w:sectPr>
      </w:pPr>
    </w:p>
    <w:p>
      <w:pPr>
        <w:spacing w:after="100"/>
      </w:pPr>
      <w:r>
        <w:rPr>
          <w:rFonts w:ascii="Aptos" w:hAnsi="Aptos"/>
          <w:b/>
          <w:i w:val="0"/>
          <w:caps/>
          <w:color w:val="D9832E"/>
          <w:sz w:val="16"/>
        </w:rPr>
        <w:t>SECTION 21</w:t>
      </w:r>
    </w:p>
    <w:p>
      <w:pPr>
        <w:pStyle w:val="Heading1"/>
      </w:pPr>
      <w:r>
        <w:t>Principal risks and mitigations</w:t>
      </w:r>
    </w:p>
    <w:tbl>
      <w:tblPr>
        <w:tblW w:type="dxa" w:w="9360"/>
        <w:jc w:val="left"/>
        <w:tblLayout w:type="fixed"/>
        <w:tblLook w:firstColumn="1" w:firstRow="1" w:lastColumn="0" w:lastRow="0" w:noHBand="0" w:noVBand="1" w:val="04A0"/>
        <w:tblInd w:w="120" w:type="dxa"/>
        <w:tblBorders>
          <w:top w:val="single" w:sz="6" w:space="0" w:color="DDD3C1"/>
          <w:left w:val="single" w:sz="6" w:space="0" w:color="DDD3C1"/>
          <w:bottom w:val="single" w:sz="6" w:space="0" w:color="DDD3C1"/>
          <w:right w:val="single" w:sz="6" w:space="0" w:color="DDD3C1"/>
          <w:insideH w:val="single" w:sz="6" w:space="0" w:color="DDD3C1"/>
          <w:insideV w:val="single" w:sz="6" w:space="0" w:color="DDD3C1"/>
        </w:tblBorders>
      </w:tblPr>
      <w:tblGrid>
        <w:gridCol w:w="1800"/>
        <w:gridCol w:w="2850"/>
        <w:gridCol w:w="4710"/>
      </w:tblGrid>
      <w:tr>
        <w:trPr>
          <w:tblHeader w:val="true"/>
        </w:trPr>
        <w:tc>
          <w:tcPr>
            <w:tcW w:type="dxa" w:w="1800"/>
            <w:tcMar>
              <w:top w:w="100" w:type="dxa"/>
              <w:start w:w="120" w:type="dxa"/>
              <w:bottom w:w="100" w:type="dxa"/>
              <w:end w:w="120" w:type="dxa"/>
            </w:tcMar>
            <w:shd w:fill="18264F"/>
            <w:vAlign w:val="center"/>
          </w:tcPr>
          <w:p>
            <w:pPr>
              <w:spacing w:after="0"/>
            </w:pPr>
            <w:r>
              <w:rPr>
                <w:rFonts w:ascii="Aptos" w:hAnsi="Aptos"/>
                <w:b/>
                <w:i w:val="0"/>
                <w:color w:val="FFFFFF"/>
                <w:sz w:val="18"/>
              </w:rPr>
              <w:t>Risk</w:t>
            </w:r>
          </w:p>
        </w:tc>
        <w:tc>
          <w:tcPr>
            <w:tcW w:type="dxa" w:w="2850"/>
            <w:tcMar>
              <w:top w:w="100" w:type="dxa"/>
              <w:start w:w="120" w:type="dxa"/>
              <w:bottom w:w="100" w:type="dxa"/>
              <w:end w:w="120" w:type="dxa"/>
            </w:tcMar>
            <w:shd w:fill="18264F"/>
            <w:vAlign w:val="center"/>
          </w:tcPr>
          <w:p>
            <w:pPr>
              <w:spacing w:after="0"/>
            </w:pPr>
            <w:r>
              <w:rPr>
                <w:rFonts w:ascii="Aptos" w:hAnsi="Aptos"/>
                <w:b/>
                <w:i w:val="0"/>
                <w:color w:val="FFFFFF"/>
                <w:sz w:val="18"/>
              </w:rPr>
              <w:t>Why it matters</w:t>
            </w:r>
          </w:p>
        </w:tc>
        <w:tc>
          <w:tcPr>
            <w:tcW w:type="dxa" w:w="4710"/>
            <w:tcMar>
              <w:top w:w="100" w:type="dxa"/>
              <w:start w:w="120" w:type="dxa"/>
              <w:bottom w:w="100" w:type="dxa"/>
              <w:end w:w="120" w:type="dxa"/>
            </w:tcMar>
            <w:shd w:fill="18264F"/>
            <w:vAlign w:val="center"/>
          </w:tcPr>
          <w:p>
            <w:pPr>
              <w:spacing w:after="0"/>
            </w:pPr>
            <w:r>
              <w:rPr>
                <w:rFonts w:ascii="Aptos" w:hAnsi="Aptos"/>
                <w:b/>
                <w:i w:val="0"/>
                <w:color w:val="FFFFFF"/>
                <w:sz w:val="18"/>
              </w:rPr>
              <w:t>Mitigation / decision</w:t>
            </w:r>
          </w:p>
        </w:tc>
      </w:tr>
      <w:tr>
        <w:tc>
          <w:tcPr>
            <w:tcW w:type="dxa" w:w="1800"/>
            <w:vAlign w:val="center"/>
          </w:tcPr>
          <w:p>
            <w:pPr>
              <w:spacing w:after="0" w:line="252" w:lineRule="auto"/>
            </w:pPr>
            <w:r>
              <w:rPr>
                <w:rFonts w:ascii="Aptos" w:hAnsi="Aptos"/>
                <w:b w:val="0"/>
                <w:i w:val="0"/>
                <w:color w:val="17213A"/>
                <w:sz w:val="15"/>
              </w:rPr>
              <w:t>Content becomes the critical path</w:t>
            </w:r>
          </w:p>
        </w:tc>
        <w:tc>
          <w:tcPr>
            <w:tcW w:type="dxa" w:w="2850"/>
            <w:vAlign w:val="center"/>
          </w:tcPr>
          <w:p>
            <w:pPr>
              <w:spacing w:after="0" w:line="252" w:lineRule="auto"/>
            </w:pPr>
            <w:r>
              <w:rPr>
                <w:rFonts w:ascii="Aptos" w:hAnsi="Aptos"/>
                <w:b w:val="0"/>
                <w:i w:val="0"/>
                <w:color w:val="17213A"/>
                <w:sz w:val="15"/>
              </w:rPr>
              <w:t>18 chapters × editions × languages × media is larger than the software build.</w:t>
            </w:r>
          </w:p>
        </w:tc>
        <w:tc>
          <w:tcPr>
            <w:tcW w:type="dxa" w:w="4710"/>
            <w:vAlign w:val="center"/>
          </w:tcPr>
          <w:p>
            <w:pPr>
              <w:spacing w:after="0" w:line="252" w:lineRule="auto"/>
            </w:pPr>
            <w:r>
              <w:rPr>
                <w:rFonts w:ascii="Aptos" w:hAnsi="Aptos"/>
                <w:b w:val="0"/>
                <w:i w:val="0"/>
                <w:color w:val="17213A"/>
                <w:sz w:val="15"/>
              </w:rPr>
              <w:t>Fund a dedicated content factory; finalise schema and representative chapter early; track content burndown separately.</w:t>
            </w:r>
          </w:p>
        </w:tc>
      </w:tr>
      <w:tr>
        <w:tc>
          <w:tcPr>
            <w:tcW w:type="dxa" w:w="1800"/>
            <w:vAlign w:val="center"/>
            <w:shd w:fill="F8F6F1"/>
          </w:tcPr>
          <w:p>
            <w:pPr>
              <w:spacing w:after="0" w:line="252" w:lineRule="auto"/>
            </w:pPr>
            <w:r>
              <w:rPr>
                <w:rFonts w:ascii="Aptos" w:hAnsi="Aptos"/>
                <w:b w:val="0"/>
                <w:i w:val="0"/>
                <w:color w:val="17213A"/>
                <w:sz w:val="15"/>
              </w:rPr>
              <w:t>White-label becomes code forks</w:t>
            </w:r>
          </w:p>
        </w:tc>
        <w:tc>
          <w:tcPr>
            <w:tcW w:type="dxa" w:w="2850"/>
            <w:vAlign w:val="center"/>
            <w:shd w:fill="F8F6F1"/>
          </w:tcPr>
          <w:p>
            <w:pPr>
              <w:spacing w:after="0" w:line="252" w:lineRule="auto"/>
            </w:pPr>
            <w:r>
              <w:rPr>
                <w:rFonts w:ascii="Aptos" w:hAnsi="Aptos"/>
                <w:b w:val="0"/>
                <w:i w:val="0"/>
                <w:color w:val="17213A"/>
                <w:sz w:val="15"/>
              </w:rPr>
              <w:t>Forks slow upgrades, create security drift and make support uneconomic.</w:t>
            </w:r>
          </w:p>
        </w:tc>
        <w:tc>
          <w:tcPr>
            <w:tcW w:type="dxa" w:w="4710"/>
            <w:vAlign w:val="center"/>
            <w:shd w:fill="F8F6F1"/>
          </w:tcPr>
          <w:p>
            <w:pPr>
              <w:spacing w:after="0" w:line="252" w:lineRule="auto"/>
            </w:pPr>
            <w:r>
              <w:rPr>
                <w:rFonts w:ascii="Aptos" w:hAnsi="Aptos"/>
                <w:b w:val="0"/>
                <w:i w:val="0"/>
                <w:color w:val="17213A"/>
                <w:sz w:val="15"/>
              </w:rPr>
              <w:t>Enforce configuration hierarchy and extension contracts; approve dedicated apps only with lifecycle funding.</w:t>
            </w:r>
          </w:p>
        </w:tc>
      </w:tr>
      <w:tr>
        <w:tc>
          <w:tcPr>
            <w:tcW w:type="dxa" w:w="1800"/>
            <w:vAlign w:val="center"/>
          </w:tcPr>
          <w:p>
            <w:pPr>
              <w:spacing w:after="0" w:line="252" w:lineRule="auto"/>
            </w:pPr>
            <w:r>
              <w:rPr>
                <w:rFonts w:ascii="Aptos" w:hAnsi="Aptos"/>
                <w:b w:val="0"/>
                <w:i w:val="0"/>
                <w:color w:val="17213A"/>
                <w:sz w:val="15"/>
              </w:rPr>
              <w:t>Doctrinal ambiguity reduces trust</w:t>
            </w:r>
          </w:p>
        </w:tc>
        <w:tc>
          <w:tcPr>
            <w:tcW w:type="dxa" w:w="2850"/>
            <w:vAlign w:val="center"/>
          </w:tcPr>
          <w:p>
            <w:pPr>
              <w:spacing w:after="0" w:line="252" w:lineRule="auto"/>
            </w:pPr>
            <w:r>
              <w:rPr>
                <w:rFonts w:ascii="Aptos" w:hAnsi="Aptos"/>
                <w:b w:val="0"/>
                <w:i w:val="0"/>
                <w:color w:val="17213A"/>
                <w:sz w:val="15"/>
              </w:rPr>
              <w:t>Blended or unlabelled interpretations will deter partner organisations.</w:t>
            </w:r>
          </w:p>
        </w:tc>
        <w:tc>
          <w:tcPr>
            <w:tcW w:type="dxa" w:w="4710"/>
            <w:vAlign w:val="center"/>
          </w:tcPr>
          <w:p>
            <w:pPr>
              <w:spacing w:after="0" w:line="252" w:lineRule="auto"/>
            </w:pPr>
            <w:r>
              <w:rPr>
                <w:rFonts w:ascii="Aptos" w:hAnsi="Aptos"/>
                <w:b w:val="0"/>
                <w:i w:val="0"/>
                <w:color w:val="17213A"/>
                <w:sz w:val="15"/>
              </w:rPr>
              <w:t>Edition integrity rules, named authority, provenance UX and tenant approval workflow.</w:t>
            </w:r>
          </w:p>
        </w:tc>
      </w:tr>
      <w:tr>
        <w:tc>
          <w:tcPr>
            <w:tcW w:type="dxa" w:w="1800"/>
            <w:vAlign w:val="center"/>
            <w:shd w:fill="F8F6F1"/>
          </w:tcPr>
          <w:p>
            <w:pPr>
              <w:spacing w:after="0" w:line="252" w:lineRule="auto"/>
            </w:pPr>
            <w:r>
              <w:rPr>
                <w:rFonts w:ascii="Aptos" w:hAnsi="Aptos"/>
                <w:b w:val="0"/>
                <w:i w:val="0"/>
                <w:color w:val="17213A"/>
                <w:sz w:val="15"/>
              </w:rPr>
              <w:t>Rights prevent distribution/offline use</w:t>
            </w:r>
          </w:p>
        </w:tc>
        <w:tc>
          <w:tcPr>
            <w:tcW w:type="dxa" w:w="2850"/>
            <w:vAlign w:val="center"/>
            <w:shd w:fill="F8F6F1"/>
          </w:tcPr>
          <w:p>
            <w:pPr>
              <w:spacing w:after="0" w:line="252" w:lineRule="auto"/>
            </w:pPr>
            <w:r>
              <w:rPr>
                <w:rFonts w:ascii="Aptos" w:hAnsi="Aptos"/>
                <w:b w:val="0"/>
                <w:i w:val="0"/>
                <w:color w:val="17213A"/>
                <w:sz w:val="15"/>
              </w:rPr>
              <w:t>A technically complete course may be unlawful to publish.</w:t>
            </w:r>
          </w:p>
        </w:tc>
        <w:tc>
          <w:tcPr>
            <w:tcW w:type="dxa" w:w="4710"/>
            <w:vAlign w:val="center"/>
            <w:shd w:fill="F8F6F1"/>
          </w:tcPr>
          <w:p>
            <w:pPr>
              <w:spacing w:after="0" w:line="252" w:lineRule="auto"/>
            </w:pPr>
            <w:r>
              <w:rPr>
                <w:rFonts w:ascii="Aptos" w:hAnsi="Aptos"/>
                <w:b w:val="0"/>
                <w:i w:val="0"/>
                <w:color w:val="17213A"/>
                <w:sz w:val="15"/>
              </w:rPr>
              <w:t>Rights ledger, contract templates, pre-publication gate and expiry enforcement.</w:t>
            </w:r>
          </w:p>
        </w:tc>
      </w:tr>
      <w:tr>
        <w:tc>
          <w:tcPr>
            <w:tcW w:type="dxa" w:w="1800"/>
            <w:vAlign w:val="center"/>
          </w:tcPr>
          <w:p>
            <w:pPr>
              <w:spacing w:after="0" w:line="252" w:lineRule="auto"/>
            </w:pPr>
            <w:r>
              <w:rPr>
                <w:rFonts w:ascii="Aptos" w:hAnsi="Aptos"/>
                <w:b w:val="0"/>
                <w:i w:val="0"/>
                <w:color w:val="17213A"/>
                <w:sz w:val="15"/>
              </w:rPr>
              <w:t>School expansion precedes safeguarding</w:t>
            </w:r>
          </w:p>
        </w:tc>
        <w:tc>
          <w:tcPr>
            <w:tcW w:type="dxa" w:w="2850"/>
            <w:vAlign w:val="center"/>
          </w:tcPr>
          <w:p>
            <w:pPr>
              <w:spacing w:after="0" w:line="252" w:lineRule="auto"/>
            </w:pPr>
            <w:r>
              <w:rPr>
                <w:rFonts w:ascii="Aptos" w:hAnsi="Aptos"/>
                <w:b w:val="0"/>
                <w:i w:val="0"/>
                <w:color w:val="17213A"/>
                <w:sz w:val="15"/>
              </w:rPr>
              <w:t>Children create a higher duty and procurement burden.</w:t>
            </w:r>
          </w:p>
        </w:tc>
        <w:tc>
          <w:tcPr>
            <w:tcW w:type="dxa" w:w="4710"/>
            <w:vAlign w:val="center"/>
          </w:tcPr>
          <w:p>
            <w:pPr>
              <w:spacing w:after="0" w:line="252" w:lineRule="auto"/>
            </w:pPr>
            <w:r>
              <w:rPr>
                <w:rFonts w:ascii="Aptos" w:hAnsi="Aptos"/>
                <w:b w:val="0"/>
                <w:i w:val="0"/>
                <w:color w:val="17213A"/>
                <w:sz w:val="15"/>
              </w:rPr>
              <w:t>Separate school release gate, child-focused DPIA/legal review, consent and communication controls.</w:t>
            </w:r>
          </w:p>
        </w:tc>
      </w:tr>
      <w:tr>
        <w:tc>
          <w:tcPr>
            <w:tcW w:type="dxa" w:w="1800"/>
            <w:vAlign w:val="center"/>
            <w:shd w:fill="F8F6F1"/>
          </w:tcPr>
          <w:p>
            <w:pPr>
              <w:spacing w:after="0" w:line="252" w:lineRule="auto"/>
            </w:pPr>
            <w:r>
              <w:rPr>
                <w:rFonts w:ascii="Aptos" w:hAnsi="Aptos"/>
                <w:b w:val="0"/>
                <w:i w:val="0"/>
                <w:color w:val="17213A"/>
                <w:sz w:val="15"/>
              </w:rPr>
              <w:t>Overengineering delays learning value</w:t>
            </w:r>
          </w:p>
        </w:tc>
        <w:tc>
          <w:tcPr>
            <w:tcW w:type="dxa" w:w="2850"/>
            <w:vAlign w:val="center"/>
            <w:shd w:fill="F8F6F1"/>
          </w:tcPr>
          <w:p>
            <w:pPr>
              <w:spacing w:after="0" w:line="252" w:lineRule="auto"/>
            </w:pPr>
            <w:r>
              <w:rPr>
                <w:rFonts w:ascii="Aptos" w:hAnsi="Aptos"/>
                <w:b w:val="0"/>
                <w:i w:val="0"/>
                <w:color w:val="17213A"/>
                <w:sz w:val="15"/>
              </w:rPr>
              <w:t>Premature microservices and integrations consume budget.</w:t>
            </w:r>
          </w:p>
        </w:tc>
        <w:tc>
          <w:tcPr>
            <w:tcW w:type="dxa" w:w="4710"/>
            <w:vAlign w:val="center"/>
            <w:shd w:fill="F8F6F1"/>
          </w:tcPr>
          <w:p>
            <w:pPr>
              <w:spacing w:after="0" w:line="252" w:lineRule="auto"/>
            </w:pPr>
            <w:r>
              <w:rPr>
                <w:rFonts w:ascii="Aptos" w:hAnsi="Aptos"/>
                <w:b w:val="0"/>
                <w:i w:val="0"/>
                <w:color w:val="17213A"/>
                <w:sz w:val="15"/>
              </w:rPr>
              <w:t>Modular monolith, vertical-slice alpha and evidence-based extraction.</w:t>
            </w:r>
          </w:p>
        </w:tc>
      </w:tr>
      <w:tr>
        <w:tc>
          <w:tcPr>
            <w:tcW w:type="dxa" w:w="1800"/>
            <w:vAlign w:val="center"/>
          </w:tcPr>
          <w:p>
            <w:pPr>
              <w:spacing w:after="0" w:line="252" w:lineRule="auto"/>
            </w:pPr>
            <w:r>
              <w:rPr>
                <w:rFonts w:ascii="Aptos" w:hAnsi="Aptos"/>
                <w:b w:val="0"/>
                <w:i w:val="0"/>
                <w:color w:val="17213A"/>
                <w:sz w:val="15"/>
              </w:rPr>
              <w:t>Assessment lacks validity</w:t>
            </w:r>
          </w:p>
        </w:tc>
        <w:tc>
          <w:tcPr>
            <w:tcW w:type="dxa" w:w="2850"/>
            <w:vAlign w:val="center"/>
          </w:tcPr>
          <w:p>
            <w:pPr>
              <w:spacing w:after="0" w:line="252" w:lineRule="auto"/>
            </w:pPr>
            <w:r>
              <w:rPr>
                <w:rFonts w:ascii="Aptos" w:hAnsi="Aptos"/>
                <w:b w:val="0"/>
                <w:i w:val="0"/>
                <w:color w:val="17213A"/>
                <w:sz w:val="15"/>
              </w:rPr>
              <w:t>Scores may not demonstrate meaningful learning.</w:t>
            </w:r>
          </w:p>
        </w:tc>
        <w:tc>
          <w:tcPr>
            <w:tcW w:type="dxa" w:w="4710"/>
            <w:vAlign w:val="center"/>
          </w:tcPr>
          <w:p>
            <w:pPr>
              <w:spacing w:after="0" w:line="252" w:lineRule="auto"/>
            </w:pPr>
            <w:r>
              <w:rPr>
                <w:rFonts w:ascii="Aptos" w:hAnsi="Aptos"/>
                <w:b w:val="0"/>
                <w:i w:val="0"/>
                <w:color w:val="17213A"/>
                <w:sz w:val="15"/>
              </w:rPr>
              <w:t>Learning outcomes first, item review, pilot analysis, rubrics and qualified assessment oversight.</w:t>
            </w:r>
          </w:p>
        </w:tc>
      </w:tr>
      <w:tr>
        <w:tc>
          <w:tcPr>
            <w:tcW w:type="dxa" w:w="1800"/>
            <w:vAlign w:val="center"/>
            <w:shd w:fill="F8F6F1"/>
          </w:tcPr>
          <w:p>
            <w:pPr>
              <w:spacing w:after="0" w:line="252" w:lineRule="auto"/>
            </w:pPr>
            <w:r>
              <w:rPr>
                <w:rFonts w:ascii="Aptos" w:hAnsi="Aptos"/>
                <w:b w:val="0"/>
                <w:i w:val="0"/>
                <w:color w:val="17213A"/>
                <w:sz w:val="15"/>
              </w:rPr>
              <w:t>Low-bandwidth learners are excluded</w:t>
            </w:r>
          </w:p>
        </w:tc>
        <w:tc>
          <w:tcPr>
            <w:tcW w:type="dxa" w:w="2850"/>
            <w:vAlign w:val="center"/>
            <w:shd w:fill="F8F6F1"/>
          </w:tcPr>
          <w:p>
            <w:pPr>
              <w:spacing w:after="0" w:line="252" w:lineRule="auto"/>
            </w:pPr>
            <w:r>
              <w:rPr>
                <w:rFonts w:ascii="Aptos" w:hAnsi="Aptos"/>
                <w:b w:val="0"/>
                <w:i w:val="0"/>
                <w:color w:val="17213A"/>
                <w:sz w:val="15"/>
              </w:rPr>
              <w:t>Video-first design can fail in intended markets.</w:t>
            </w:r>
          </w:p>
        </w:tc>
        <w:tc>
          <w:tcPr>
            <w:tcW w:type="dxa" w:w="4710"/>
            <w:vAlign w:val="center"/>
            <w:shd w:fill="F8F6F1"/>
          </w:tcPr>
          <w:p>
            <w:pPr>
              <w:spacing w:after="0" w:line="252" w:lineRule="auto"/>
            </w:pPr>
            <w:r>
              <w:rPr>
                <w:rFonts w:ascii="Aptos" w:hAnsi="Aptos"/>
                <w:b w:val="0"/>
                <w:i w:val="0"/>
                <w:color w:val="17213A"/>
                <w:sz w:val="15"/>
              </w:rPr>
              <w:t>Text/audio parity, adaptive streaming, offline packs, size disclosure and network testing.</w:t>
            </w:r>
          </w:p>
        </w:tc>
      </w:tr>
      <w:tr>
        <w:tc>
          <w:tcPr>
            <w:tcW w:type="dxa" w:w="1800"/>
            <w:vAlign w:val="center"/>
          </w:tcPr>
          <w:p>
            <w:pPr>
              <w:spacing w:after="0" w:line="252" w:lineRule="auto"/>
            </w:pPr>
            <w:r>
              <w:rPr>
                <w:rFonts w:ascii="Aptos" w:hAnsi="Aptos"/>
                <w:b w:val="0"/>
                <w:i w:val="0"/>
                <w:color w:val="17213A"/>
                <w:sz w:val="15"/>
              </w:rPr>
              <w:t>Analytics harms trust</w:t>
            </w:r>
          </w:p>
        </w:tc>
        <w:tc>
          <w:tcPr>
            <w:tcW w:type="dxa" w:w="2850"/>
            <w:vAlign w:val="center"/>
          </w:tcPr>
          <w:p>
            <w:pPr>
              <w:spacing w:after="0" w:line="252" w:lineRule="auto"/>
            </w:pPr>
            <w:r>
              <w:rPr>
                <w:rFonts w:ascii="Aptos" w:hAnsi="Aptos"/>
                <w:b w:val="0"/>
                <w:i w:val="0"/>
                <w:color w:val="17213A"/>
                <w:sz w:val="15"/>
              </w:rPr>
              <w:t>Sensitive notes or religious inferences create privacy risk.</w:t>
            </w:r>
          </w:p>
        </w:tc>
        <w:tc>
          <w:tcPr>
            <w:tcW w:type="dxa" w:w="4710"/>
            <w:vAlign w:val="center"/>
          </w:tcPr>
          <w:p>
            <w:pPr>
              <w:spacing w:after="0" w:line="252" w:lineRule="auto"/>
            </w:pPr>
            <w:r>
              <w:rPr>
                <w:rFonts w:ascii="Aptos" w:hAnsi="Aptos"/>
                <w:b w:val="0"/>
                <w:i w:val="0"/>
                <w:color w:val="17213A"/>
                <w:sz w:val="15"/>
              </w:rPr>
              <w:t>Purpose-bound event catalogue, exclude private reflections, aggregation and retention limits.</w:t>
            </w:r>
          </w:p>
        </w:tc>
      </w:tr>
      <w:tr>
        <w:tc>
          <w:tcPr>
            <w:tcW w:type="dxa" w:w="1800"/>
            <w:vAlign w:val="center"/>
            <w:shd w:fill="F8F6F1"/>
          </w:tcPr>
          <w:p>
            <w:pPr>
              <w:spacing w:after="0" w:line="252" w:lineRule="auto"/>
            </w:pPr>
            <w:r>
              <w:rPr>
                <w:rFonts w:ascii="Aptos" w:hAnsi="Aptos"/>
                <w:b w:val="0"/>
                <w:i w:val="0"/>
                <w:color w:val="17213A"/>
                <w:sz w:val="15"/>
              </w:rPr>
              <w:t>Vendor lock-in</w:t>
            </w:r>
          </w:p>
        </w:tc>
        <w:tc>
          <w:tcPr>
            <w:tcW w:type="dxa" w:w="2850"/>
            <w:vAlign w:val="center"/>
            <w:shd w:fill="F8F6F1"/>
          </w:tcPr>
          <w:p>
            <w:pPr>
              <w:spacing w:after="0" w:line="252" w:lineRule="auto"/>
            </w:pPr>
            <w:r>
              <w:rPr>
                <w:rFonts w:ascii="Aptos" w:hAnsi="Aptos"/>
                <w:b w:val="0"/>
                <w:i w:val="0"/>
                <w:color w:val="17213A"/>
                <w:sz w:val="15"/>
              </w:rPr>
              <w:t>Product and content become difficult to operate or migrate.</w:t>
            </w:r>
          </w:p>
        </w:tc>
        <w:tc>
          <w:tcPr>
            <w:tcW w:type="dxa" w:w="4710"/>
            <w:vAlign w:val="center"/>
            <w:shd w:fill="F8F6F1"/>
          </w:tcPr>
          <w:p>
            <w:pPr>
              <w:spacing w:after="0" w:line="252" w:lineRule="auto"/>
            </w:pPr>
            <w:r>
              <w:rPr>
                <w:rFonts w:ascii="Aptos" w:hAnsi="Aptos"/>
                <w:b w:val="0"/>
                <w:i w:val="0"/>
                <w:color w:val="17213A"/>
                <w:sz w:val="15"/>
              </w:rPr>
              <w:t>Living Bliss-owned repos/accounts, documented exports/APIs, infrastructure as code, knowledge transfer and exit clauses.</w:t>
            </w:r>
          </w:p>
        </w:tc>
      </w:tr>
    </w:tbl>
    <w:p>
      <w:pPr>
        <w:spacing w:after="20"/>
      </w:pPr>
    </w:p>
    <w:p>
      <w:pPr>
        <w:pStyle w:val="Heading2"/>
      </w:pPr>
      <w:r>
        <w:t>Immediate decisions for Living Bliss</w:t>
      </w:r>
    </w:p>
    <w:p>
      <w:pPr>
        <w:pStyle w:val="ListBullet"/>
      </w:pPr>
      <w:r>
        <w:rPr>
          <w:rFonts w:ascii="Aptos" w:hAnsi="Aptos"/>
          <w:b w:val="0"/>
          <w:i w:val="0"/>
          <w:color w:val="17213A"/>
          <w:sz w:val="20"/>
        </w:rPr>
        <w:t>Nominate accountable product owner, scholarly authority and programme budget owner.</w:t>
      </w:r>
    </w:p>
    <w:p>
      <w:pPr>
        <w:pStyle w:val="ListBullet"/>
      </w:pPr>
      <w:r>
        <w:rPr>
          <w:rFonts w:ascii="Aptos" w:hAnsi="Aptos"/>
          <w:b w:val="0"/>
          <w:i w:val="0"/>
          <w:color w:val="17213A"/>
          <w:sz w:val="20"/>
        </w:rPr>
        <w:t>Select the initial authorised translation/commentary and confirm rights for web, mobile, media, offline and global distribution.</w:t>
      </w:r>
    </w:p>
    <w:p>
      <w:pPr>
        <w:pStyle w:val="ListBullet"/>
      </w:pPr>
      <w:r>
        <w:rPr>
          <w:rFonts w:ascii="Aptos" w:hAnsi="Aptos"/>
          <w:b w:val="0"/>
          <w:i w:val="0"/>
          <w:color w:val="17213A"/>
          <w:sz w:val="20"/>
        </w:rPr>
        <w:t>Choose the first external design partner organisation and first school/pilot partner.</w:t>
      </w:r>
    </w:p>
    <w:p>
      <w:pPr>
        <w:pStyle w:val="ListBullet"/>
      </w:pPr>
      <w:r>
        <w:rPr>
          <w:rFonts w:ascii="Aptos" w:hAnsi="Aptos"/>
          <w:b w:val="0"/>
          <w:i w:val="0"/>
          <w:color w:val="17213A"/>
          <w:sz w:val="20"/>
        </w:rPr>
        <w:t>Approve whether the first mobile release is one multi-tenant app or a Living Bliss-branded app with future tenant skins.</w:t>
      </w:r>
    </w:p>
    <w:p>
      <w:pPr>
        <w:pStyle w:val="ListBullet"/>
      </w:pPr>
      <w:r>
        <w:rPr>
          <w:rFonts w:ascii="Aptos" w:hAnsi="Aptos"/>
          <w:b w:val="0"/>
          <w:i w:val="0"/>
          <w:color w:val="17213A"/>
          <w:sz w:val="20"/>
        </w:rPr>
        <w:t>Approve discovery procurement model and evaluation criteria before requesting fixed-price build estimates.</w:t>
      </w:r>
    </w:p>
    <w:tbl>
      <w:tblPr>
        <w:tblW w:type="dxa" w:w="9360"/>
        <w:jc w:val="left"/>
        <w:tblLayout w:type="fixed"/>
        <w:tblLook w:firstColumn="1" w:firstRow="1" w:lastColumn="0" w:lastRow="0" w:noHBand="0" w:noVBand="1" w:val="04A0"/>
        <w:tblInd w:w="120" w:type="dxa"/>
        <w:tblBorders>
          <w:top w:val="single" w:sz="10" w:space="0" w:color="34805B"/>
          <w:left w:val="single" w:sz="10" w:space="0" w:color="34805B"/>
          <w:bottom w:val="single" w:sz="10" w:space="0" w:color="34805B"/>
          <w:right w:val="single" w:sz="10" w:space="0" w:color="34805B"/>
          <w:insideH w:val="single" w:sz="10" w:space="0" w:color="34805B"/>
          <w:insideV w:val="single" w:sz="10" w:space="0" w:color="34805B"/>
        </w:tblBorders>
      </w:tblPr>
      <w:tblGrid>
        <w:gridCol w:w="9360"/>
      </w:tblGrid>
      <w:tr>
        <w:trPr>
          <w:tblHeader/>
        </w:trPr>
        <w:tc>
          <w:tcPr>
            <w:tcW w:type="dxa" w:w="9360"/>
            <w:tcMar>
              <w:top w:w="100" w:type="dxa"/>
              <w:start w:w="120" w:type="dxa"/>
              <w:bottom w:w="100" w:type="dxa"/>
              <w:end w:w="120" w:type="dxa"/>
            </w:tcMar>
            <w:shd w:fill="E3F1E8"/>
            <w:vAlign w:val="center"/>
          </w:tcPr>
          <w:p>
            <w:pPr>
              <w:spacing w:after="0" w:line="269" w:lineRule="auto"/>
            </w:pPr>
            <w:r>
              <w:rPr>
                <w:rFonts w:ascii="Aptos" w:hAnsi="Aptos"/>
                <w:b/>
                <w:i w:val="0"/>
                <w:color w:val="34805B"/>
                <w:sz w:val="18"/>
              </w:rPr>
              <w:t xml:space="preserve">RECOMMENDED NEXT ACTION: </w:t>
            </w:r>
            <w:r>
              <w:rPr>
                <w:rFonts w:ascii="Aptos" w:hAnsi="Aptos"/>
                <w:b w:val="0"/>
                <w:i w:val="0"/>
                <w:color w:val="17213A"/>
                <w:sz w:val="20"/>
              </w:rPr>
              <w:t>Issue a paid six-week discovery engagement against this blueprint. Require the selected organisation to return validated prototypes, a traceable PRD, content production plan, architecture, security/privacy plan, delivery roadmap and fixed assumptions for the build proposal.</w:t>
            </w:r>
          </w:p>
        </w:tc>
      </w:tr>
    </w:tbl>
    <w:p>
      <w:pPr>
        <w:spacing w:after="40"/>
      </w:pPr>
    </w:p>
    <w:p>
      <w:pPr>
        <w:sectPr>
          <w:pgSz w:w="12240" w:h="15840"/>
          <w:pgMar w:top="1440" w:right="1440" w:bottom="1440" w:left="1440" w:header="708" w:footer="708" w:gutter="0"/>
          <w:cols w:space="720"/>
          <w:docGrid w:linePitch="360"/>
        </w:sectPr>
      </w:pPr>
    </w:p>
    <w:p>
      <w:pPr>
        <w:pStyle w:val="Heading1"/>
      </w:pPr>
      <w:r>
        <w:t>Appendix A — Detailed screen inventory</w:t>
      </w:r>
    </w:p>
    <w:tbl>
      <w:tblPr>
        <w:tblW w:type="dxa" w:w="9360"/>
        <w:jc w:val="left"/>
        <w:tblLayout w:type="fixed"/>
        <w:tblLook w:firstColumn="1" w:firstRow="1" w:lastColumn="0" w:lastRow="0" w:noHBand="0" w:noVBand="1" w:val="04A0"/>
        <w:tblInd w:w="120" w:type="dxa"/>
        <w:tblBorders>
          <w:top w:val="single" w:sz="6" w:space="0" w:color="DDD3C1"/>
          <w:left w:val="single" w:sz="6" w:space="0" w:color="DDD3C1"/>
          <w:bottom w:val="single" w:sz="6" w:space="0" w:color="DDD3C1"/>
          <w:right w:val="single" w:sz="6" w:space="0" w:color="DDD3C1"/>
          <w:insideH w:val="single" w:sz="6" w:space="0" w:color="DDD3C1"/>
          <w:insideV w:val="single" w:sz="6" w:space="0" w:color="DDD3C1"/>
        </w:tblBorders>
      </w:tblPr>
      <w:tblGrid>
        <w:gridCol w:w="1700"/>
        <w:gridCol w:w="7660"/>
      </w:tblGrid>
      <w:tr>
        <w:trPr>
          <w:tblHeader w:val="true"/>
        </w:trPr>
        <w:tc>
          <w:tcPr>
            <w:tcW w:type="dxa" w:w="1700"/>
            <w:tcMar>
              <w:top w:w="100" w:type="dxa"/>
              <w:start w:w="120" w:type="dxa"/>
              <w:bottom w:w="100" w:type="dxa"/>
              <w:end w:w="120" w:type="dxa"/>
            </w:tcMar>
            <w:shd w:fill="18264F"/>
            <w:vAlign w:val="center"/>
          </w:tcPr>
          <w:p>
            <w:pPr>
              <w:spacing w:after="0"/>
            </w:pPr>
            <w:r>
              <w:rPr>
                <w:rFonts w:ascii="Aptos" w:hAnsi="Aptos"/>
                <w:b/>
                <w:i w:val="0"/>
                <w:color w:val="FFFFFF"/>
                <w:sz w:val="18"/>
              </w:rPr>
              <w:t>Workspace</w:t>
            </w:r>
          </w:p>
        </w:tc>
        <w:tc>
          <w:tcPr>
            <w:tcW w:type="dxa" w:w="7660"/>
            <w:tcMar>
              <w:top w:w="100" w:type="dxa"/>
              <w:start w:w="120" w:type="dxa"/>
              <w:bottom w:w="100" w:type="dxa"/>
              <w:end w:w="120" w:type="dxa"/>
            </w:tcMar>
            <w:shd w:fill="18264F"/>
            <w:vAlign w:val="center"/>
          </w:tcPr>
          <w:p>
            <w:pPr>
              <w:spacing w:after="0"/>
            </w:pPr>
            <w:r>
              <w:rPr>
                <w:rFonts w:ascii="Aptos" w:hAnsi="Aptos"/>
                <w:b/>
                <w:i w:val="0"/>
                <w:color w:val="FFFFFF"/>
                <w:sz w:val="18"/>
              </w:rPr>
              <w:t>Screens</w:t>
            </w:r>
          </w:p>
        </w:tc>
      </w:tr>
      <w:tr>
        <w:tc>
          <w:tcPr>
            <w:tcW w:type="dxa" w:w="1700"/>
            <w:vAlign w:val="center"/>
          </w:tcPr>
          <w:p>
            <w:pPr>
              <w:spacing w:after="0" w:line="252" w:lineRule="auto"/>
            </w:pPr>
            <w:r>
              <w:rPr>
                <w:rFonts w:ascii="Aptos" w:hAnsi="Aptos"/>
                <w:b w:val="0"/>
                <w:i w:val="0"/>
                <w:color w:val="17213A"/>
                <w:sz w:val="16"/>
              </w:rPr>
              <w:t>Public</w:t>
            </w:r>
          </w:p>
        </w:tc>
        <w:tc>
          <w:tcPr>
            <w:tcW w:type="dxa" w:w="7660"/>
            <w:vAlign w:val="center"/>
          </w:tcPr>
          <w:p>
            <w:pPr>
              <w:spacing w:after="0" w:line="252" w:lineRule="auto"/>
            </w:pPr>
            <w:r>
              <w:rPr>
                <w:rFonts w:ascii="Aptos" w:hAnsi="Aptos"/>
                <w:b w:val="0"/>
                <w:i w:val="0"/>
                <w:color w:val="17213A"/>
                <w:sz w:val="16"/>
              </w:rPr>
              <w:t>Tenant home, edition directory, course catalogue, scripture search, course detail, edition detail, help, policies.</w:t>
            </w:r>
          </w:p>
        </w:tc>
      </w:tr>
      <w:tr>
        <w:tc>
          <w:tcPr>
            <w:tcW w:type="dxa" w:w="1700"/>
            <w:vAlign w:val="center"/>
            <w:shd w:fill="F8F6F1"/>
          </w:tcPr>
          <w:p>
            <w:pPr>
              <w:spacing w:after="0" w:line="252" w:lineRule="auto"/>
            </w:pPr>
            <w:r>
              <w:rPr>
                <w:rFonts w:ascii="Aptos" w:hAnsi="Aptos"/>
                <w:b w:val="0"/>
                <w:i w:val="0"/>
                <w:color w:val="17213A"/>
                <w:sz w:val="16"/>
              </w:rPr>
              <w:t>Identity</w:t>
            </w:r>
          </w:p>
        </w:tc>
        <w:tc>
          <w:tcPr>
            <w:tcW w:type="dxa" w:w="7660"/>
            <w:vAlign w:val="center"/>
            <w:shd w:fill="F8F6F1"/>
          </w:tcPr>
          <w:p>
            <w:pPr>
              <w:spacing w:after="0" w:line="252" w:lineRule="auto"/>
            </w:pPr>
            <w:r>
              <w:rPr>
                <w:rFonts w:ascii="Aptos" w:hAnsi="Aptos"/>
                <w:b w:val="0"/>
                <w:i w:val="0"/>
                <w:color w:val="17213A"/>
                <w:sz w:val="16"/>
              </w:rPr>
              <w:t>Sign in/register, OTP, SSO/LTI launch, consent, guardian flow, onboarding, recovery, sessions.</w:t>
            </w:r>
          </w:p>
        </w:tc>
      </w:tr>
      <w:tr>
        <w:tc>
          <w:tcPr>
            <w:tcW w:type="dxa" w:w="1700"/>
            <w:vAlign w:val="center"/>
          </w:tcPr>
          <w:p>
            <w:pPr>
              <w:spacing w:after="0" w:line="252" w:lineRule="auto"/>
            </w:pPr>
            <w:r>
              <w:rPr>
                <w:rFonts w:ascii="Aptos" w:hAnsi="Aptos"/>
                <w:b w:val="0"/>
                <w:i w:val="0"/>
                <w:color w:val="17213A"/>
                <w:sz w:val="16"/>
              </w:rPr>
              <w:t>Learner</w:t>
            </w:r>
          </w:p>
        </w:tc>
        <w:tc>
          <w:tcPr>
            <w:tcW w:type="dxa" w:w="7660"/>
            <w:vAlign w:val="center"/>
          </w:tcPr>
          <w:p>
            <w:pPr>
              <w:spacing w:after="0" w:line="252" w:lineRule="auto"/>
            </w:pPr>
            <w:r>
              <w:rPr>
                <w:rFonts w:ascii="Aptos" w:hAnsi="Aptos"/>
                <w:b w:val="0"/>
                <w:i w:val="0"/>
                <w:color w:val="17213A"/>
                <w:sz w:val="16"/>
              </w:rPr>
              <w:t>Dashboard, pathway, course map, chapter overview, lesson player, verse reader, glossary, assessment, results, revision, certificate, bookmarks, notes, downloads, preferences.</w:t>
            </w:r>
          </w:p>
        </w:tc>
      </w:tr>
      <w:tr>
        <w:tc>
          <w:tcPr>
            <w:tcW w:type="dxa" w:w="1700"/>
            <w:vAlign w:val="center"/>
            <w:shd w:fill="F8F6F1"/>
          </w:tcPr>
          <w:p>
            <w:pPr>
              <w:spacing w:after="0" w:line="252" w:lineRule="auto"/>
            </w:pPr>
            <w:r>
              <w:rPr>
                <w:rFonts w:ascii="Aptos" w:hAnsi="Aptos"/>
                <w:b w:val="0"/>
                <w:i w:val="0"/>
                <w:color w:val="17213A"/>
                <w:sz w:val="16"/>
              </w:rPr>
              <w:t>Teacher</w:t>
            </w:r>
          </w:p>
        </w:tc>
        <w:tc>
          <w:tcPr>
            <w:tcW w:type="dxa" w:w="7660"/>
            <w:vAlign w:val="center"/>
            <w:shd w:fill="F8F6F1"/>
          </w:tcPr>
          <w:p>
            <w:pPr>
              <w:spacing w:after="0" w:line="252" w:lineRule="auto"/>
            </w:pPr>
            <w:r>
              <w:rPr>
                <w:rFonts w:ascii="Aptos" w:hAnsi="Aptos"/>
                <w:b w:val="0"/>
                <w:i w:val="0"/>
                <w:color w:val="17213A"/>
                <w:sz w:val="16"/>
              </w:rPr>
              <w:t>Home, cohorts, roster, schedule, assignments, learner detail, submissions, outcomes, reports, announcements, lesson presentation mode.</w:t>
            </w:r>
          </w:p>
        </w:tc>
      </w:tr>
      <w:tr>
        <w:tc>
          <w:tcPr>
            <w:tcW w:type="dxa" w:w="1700"/>
            <w:vAlign w:val="center"/>
          </w:tcPr>
          <w:p>
            <w:pPr>
              <w:spacing w:after="0" w:line="252" w:lineRule="auto"/>
            </w:pPr>
            <w:r>
              <w:rPr>
                <w:rFonts w:ascii="Aptos" w:hAnsi="Aptos"/>
                <w:b w:val="0"/>
                <w:i w:val="0"/>
                <w:color w:val="17213A"/>
                <w:sz w:val="16"/>
              </w:rPr>
              <w:t>Content</w:t>
            </w:r>
          </w:p>
        </w:tc>
        <w:tc>
          <w:tcPr>
            <w:tcW w:type="dxa" w:w="7660"/>
            <w:vAlign w:val="center"/>
          </w:tcPr>
          <w:p>
            <w:pPr>
              <w:spacing w:after="0" w:line="252" w:lineRule="auto"/>
            </w:pPr>
            <w:r>
              <w:rPr>
                <w:rFonts w:ascii="Aptos" w:hAnsi="Aptos"/>
                <w:b w:val="0"/>
                <w:i w:val="0"/>
                <w:color w:val="17213A"/>
                <w:sz w:val="16"/>
              </w:rPr>
              <w:t>Work queue, course/lesson editor, verse picker, media manager, assessment bank, glossary, translation view, preview, compare, review, release, rights ledger.</w:t>
            </w:r>
          </w:p>
        </w:tc>
      </w:tr>
      <w:tr>
        <w:tc>
          <w:tcPr>
            <w:tcW w:type="dxa" w:w="1700"/>
            <w:vAlign w:val="center"/>
            <w:shd w:fill="F8F6F1"/>
          </w:tcPr>
          <w:p>
            <w:pPr>
              <w:spacing w:after="0" w:line="252" w:lineRule="auto"/>
            </w:pPr>
            <w:r>
              <w:rPr>
                <w:rFonts w:ascii="Aptos" w:hAnsi="Aptos"/>
                <w:b w:val="0"/>
                <w:i w:val="0"/>
                <w:color w:val="17213A"/>
                <w:sz w:val="16"/>
              </w:rPr>
              <w:t>Tenant admin</w:t>
            </w:r>
          </w:p>
        </w:tc>
        <w:tc>
          <w:tcPr>
            <w:tcW w:type="dxa" w:w="7660"/>
            <w:vAlign w:val="center"/>
            <w:shd w:fill="F8F6F1"/>
          </w:tcPr>
          <w:p>
            <w:pPr>
              <w:spacing w:after="0" w:line="252" w:lineRule="auto"/>
            </w:pPr>
            <w:r>
              <w:rPr>
                <w:rFonts w:ascii="Aptos" w:hAnsi="Aptos"/>
                <w:b w:val="0"/>
                <w:i w:val="0"/>
                <w:color w:val="17213A"/>
                <w:sz w:val="16"/>
              </w:rPr>
              <w:t>Organisation, brand, domains, editions, programmes, users/roles, cohorts, SSO/LTI, policies, certificates, integrations, reports, audit, support.</w:t>
            </w:r>
          </w:p>
        </w:tc>
      </w:tr>
      <w:tr>
        <w:tc>
          <w:tcPr>
            <w:tcW w:type="dxa" w:w="1700"/>
            <w:vAlign w:val="center"/>
          </w:tcPr>
          <w:p>
            <w:pPr>
              <w:spacing w:after="0" w:line="252" w:lineRule="auto"/>
            </w:pPr>
            <w:r>
              <w:rPr>
                <w:rFonts w:ascii="Aptos" w:hAnsi="Aptos"/>
                <w:b w:val="0"/>
                <w:i w:val="0"/>
                <w:color w:val="17213A"/>
                <w:sz w:val="16"/>
              </w:rPr>
              <w:t>Platform ops</w:t>
            </w:r>
          </w:p>
        </w:tc>
        <w:tc>
          <w:tcPr>
            <w:tcW w:type="dxa" w:w="7660"/>
            <w:vAlign w:val="center"/>
          </w:tcPr>
          <w:p>
            <w:pPr>
              <w:spacing w:after="0" w:line="252" w:lineRule="auto"/>
            </w:pPr>
            <w:r>
              <w:rPr>
                <w:rFonts w:ascii="Aptos" w:hAnsi="Aptos"/>
                <w:b w:val="0"/>
                <w:i w:val="0"/>
                <w:color w:val="17213A"/>
                <w:sz w:val="16"/>
              </w:rPr>
              <w:t>Tenants, feature flags, content distribution, health, incidents, jobs, support elevation, security/audit and usage/cost.</w:t>
            </w:r>
          </w:p>
        </w:tc>
      </w:tr>
    </w:tbl>
    <w:p>
      <w:pPr>
        <w:spacing w:after="20"/>
      </w:pPr>
    </w:p>
    <w:p>
      <w:pPr>
        <w:pStyle w:val="Heading2"/>
      </w:pPr>
      <w:r>
        <w:t>Common screen states that must be designed</w:t>
      </w:r>
    </w:p>
    <w:p>
      <w:pPr>
        <w:pStyle w:val="ListBullet"/>
      </w:pPr>
      <w:r>
        <w:rPr>
          <w:rFonts w:ascii="Aptos" w:hAnsi="Aptos"/>
          <w:b w:val="0"/>
          <w:i w:val="0"/>
          <w:color w:val="17213A"/>
          <w:sz w:val="20"/>
        </w:rPr>
        <w:t>First use, returning, completed, empty, loading, slow network, offline, stale content, sync conflict, permission denied, expired entitlement, maintenance, partial integration failure and account/consent change.</w:t>
      </w:r>
    </w:p>
    <w:p>
      <w:pPr>
        <w:pStyle w:val="Heading2"/>
      </w:pPr>
      <w:r>
        <w:t>Critical responsive breakpoints</w:t>
      </w:r>
    </w:p>
    <w:p>
      <w:pPr>
        <w:pStyle w:val="ListBullet"/>
      </w:pPr>
      <w:r>
        <w:rPr>
          <w:rFonts w:ascii="Aptos" w:hAnsi="Aptos"/>
          <w:b w:val="0"/>
          <w:i w:val="0"/>
          <w:color w:val="17213A"/>
          <w:sz w:val="20"/>
        </w:rPr>
        <w:t>Compact phone, large phone, tablet portrait/landscape, small laptop and wide desktop; use content-driven CSS breakpoints and device tests rather than one pixel list.</w:t>
      </w:r>
    </w:p>
    <w:p>
      <w:pPr>
        <w:sectPr>
          <w:pgSz w:w="12240" w:h="15840"/>
          <w:pgMar w:top="1440" w:right="1440" w:bottom="1440" w:left="1440" w:header="708" w:footer="708" w:gutter="0"/>
          <w:cols w:space="720"/>
          <w:docGrid w:linePitch="360"/>
        </w:sectPr>
      </w:pPr>
    </w:p>
    <w:p>
      <w:pPr>
        <w:pStyle w:val="Heading1"/>
      </w:pPr>
      <w:r>
        <w:t>Appendix B — Core domain entities</w:t>
      </w:r>
    </w:p>
    <w:tbl>
      <w:tblPr>
        <w:tblW w:type="dxa" w:w="9360"/>
        <w:jc w:val="left"/>
        <w:tblLayout w:type="fixed"/>
        <w:tblLook w:firstColumn="1" w:firstRow="1" w:lastColumn="0" w:lastRow="0" w:noHBand="0" w:noVBand="1" w:val="04A0"/>
        <w:tblInd w:w="120" w:type="dxa"/>
        <w:tblBorders>
          <w:top w:val="single" w:sz="6" w:space="0" w:color="DDD3C1"/>
          <w:left w:val="single" w:sz="6" w:space="0" w:color="DDD3C1"/>
          <w:bottom w:val="single" w:sz="6" w:space="0" w:color="DDD3C1"/>
          <w:right w:val="single" w:sz="6" w:space="0" w:color="DDD3C1"/>
          <w:insideH w:val="single" w:sz="6" w:space="0" w:color="DDD3C1"/>
          <w:insideV w:val="single" w:sz="6" w:space="0" w:color="DDD3C1"/>
        </w:tblBorders>
      </w:tblPr>
      <w:tblGrid>
        <w:gridCol w:w="2500"/>
        <w:gridCol w:w="6860"/>
      </w:tblGrid>
      <w:tr>
        <w:trPr>
          <w:tblHeader w:val="true"/>
        </w:trPr>
        <w:tc>
          <w:tcPr>
            <w:tcW w:type="dxa" w:w="2500"/>
            <w:tcMar>
              <w:top w:w="100" w:type="dxa"/>
              <w:start w:w="120" w:type="dxa"/>
              <w:bottom w:w="100" w:type="dxa"/>
              <w:end w:w="120" w:type="dxa"/>
            </w:tcMar>
            <w:shd w:fill="18264F"/>
            <w:vAlign w:val="center"/>
          </w:tcPr>
          <w:p>
            <w:pPr>
              <w:spacing w:after="0"/>
            </w:pPr>
            <w:r>
              <w:rPr>
                <w:rFonts w:ascii="Aptos" w:hAnsi="Aptos"/>
                <w:b/>
                <w:i w:val="0"/>
                <w:color w:val="FFFFFF"/>
                <w:sz w:val="18"/>
              </w:rPr>
              <w:t>Entity</w:t>
            </w:r>
          </w:p>
        </w:tc>
        <w:tc>
          <w:tcPr>
            <w:tcW w:type="dxa" w:w="6860"/>
            <w:tcMar>
              <w:top w:w="100" w:type="dxa"/>
              <w:start w:w="120" w:type="dxa"/>
              <w:bottom w:w="100" w:type="dxa"/>
              <w:end w:w="120" w:type="dxa"/>
            </w:tcMar>
            <w:shd w:fill="18264F"/>
            <w:vAlign w:val="center"/>
          </w:tcPr>
          <w:p>
            <w:pPr>
              <w:spacing w:after="0"/>
            </w:pPr>
            <w:r>
              <w:rPr>
                <w:rFonts w:ascii="Aptos" w:hAnsi="Aptos"/>
                <w:b/>
                <w:i w:val="0"/>
                <w:color w:val="FFFFFF"/>
                <w:sz w:val="18"/>
              </w:rPr>
              <w:t>Purpose / key relationships</w:t>
            </w:r>
          </w:p>
        </w:tc>
      </w:tr>
      <w:tr>
        <w:tc>
          <w:tcPr>
            <w:tcW w:type="dxa" w:w="2500"/>
            <w:vAlign w:val="center"/>
          </w:tcPr>
          <w:p>
            <w:pPr>
              <w:spacing w:after="0" w:line="252" w:lineRule="auto"/>
            </w:pPr>
            <w:r>
              <w:rPr>
                <w:rFonts w:ascii="Aptos" w:hAnsi="Aptos"/>
                <w:b w:val="0"/>
                <w:i w:val="0"/>
                <w:color w:val="17213A"/>
                <w:sz w:val="16"/>
              </w:rPr>
              <w:t>Tenant</w:t>
            </w:r>
          </w:p>
        </w:tc>
        <w:tc>
          <w:tcPr>
            <w:tcW w:type="dxa" w:w="6860"/>
            <w:vAlign w:val="center"/>
          </w:tcPr>
          <w:p>
            <w:pPr>
              <w:spacing w:after="0" w:line="252" w:lineRule="auto"/>
            </w:pPr>
            <w:r>
              <w:rPr>
                <w:rFonts w:ascii="Aptos" w:hAnsi="Aptos"/>
                <w:b w:val="0"/>
                <w:i w:val="0"/>
                <w:color w:val="17213A"/>
                <w:sz w:val="16"/>
              </w:rPr>
              <w:t>Organisation boundary; owns configuration, policies, domains, users and integrations.</w:t>
            </w:r>
          </w:p>
        </w:tc>
      </w:tr>
      <w:tr>
        <w:tc>
          <w:tcPr>
            <w:tcW w:type="dxa" w:w="2500"/>
            <w:vAlign w:val="center"/>
            <w:shd w:fill="F8F6F1"/>
          </w:tcPr>
          <w:p>
            <w:pPr>
              <w:spacing w:after="0" w:line="252" w:lineRule="auto"/>
            </w:pPr>
            <w:r>
              <w:rPr>
                <w:rFonts w:ascii="Aptos" w:hAnsi="Aptos"/>
                <w:b w:val="0"/>
                <w:i w:val="0"/>
                <w:color w:val="17213A"/>
                <w:sz w:val="16"/>
              </w:rPr>
              <w:t>Edition</w:t>
            </w:r>
          </w:p>
        </w:tc>
        <w:tc>
          <w:tcPr>
            <w:tcW w:type="dxa" w:w="6860"/>
            <w:vAlign w:val="center"/>
            <w:shd w:fill="F8F6F1"/>
          </w:tcPr>
          <w:p>
            <w:pPr>
              <w:spacing w:after="0" w:line="252" w:lineRule="auto"/>
            </w:pPr>
            <w:r>
              <w:rPr>
                <w:rFonts w:ascii="Aptos" w:hAnsi="Aptos"/>
                <w:b w:val="0"/>
                <w:i w:val="0"/>
                <w:color w:val="17213A"/>
                <w:sz w:val="16"/>
              </w:rPr>
              <w:t>Named source/translation/commentary authority with rights and versions.</w:t>
            </w:r>
          </w:p>
        </w:tc>
      </w:tr>
      <w:tr>
        <w:tc>
          <w:tcPr>
            <w:tcW w:type="dxa" w:w="2500"/>
            <w:vAlign w:val="center"/>
          </w:tcPr>
          <w:p>
            <w:pPr>
              <w:spacing w:after="0" w:line="252" w:lineRule="auto"/>
            </w:pPr>
            <w:r>
              <w:rPr>
                <w:rFonts w:ascii="Aptos" w:hAnsi="Aptos"/>
                <w:b w:val="0"/>
                <w:i w:val="0"/>
                <w:color w:val="17213A"/>
                <w:sz w:val="16"/>
              </w:rPr>
              <w:t>Programme</w:t>
            </w:r>
          </w:p>
        </w:tc>
        <w:tc>
          <w:tcPr>
            <w:tcW w:type="dxa" w:w="6860"/>
            <w:vAlign w:val="center"/>
          </w:tcPr>
          <w:p>
            <w:pPr>
              <w:spacing w:after="0" w:line="252" w:lineRule="auto"/>
            </w:pPr>
            <w:r>
              <w:rPr>
                <w:rFonts w:ascii="Aptos" w:hAnsi="Aptos"/>
                <w:b w:val="0"/>
                <w:i w:val="0"/>
                <w:color w:val="17213A"/>
                <w:sz w:val="16"/>
              </w:rPr>
              <w:t>Tenant delivery of a course for audience, schedule, rules and certificate.</w:t>
            </w:r>
          </w:p>
        </w:tc>
      </w:tr>
      <w:tr>
        <w:tc>
          <w:tcPr>
            <w:tcW w:type="dxa" w:w="2500"/>
            <w:vAlign w:val="center"/>
            <w:shd w:fill="F8F6F1"/>
          </w:tcPr>
          <w:p>
            <w:pPr>
              <w:spacing w:after="0" w:line="252" w:lineRule="auto"/>
            </w:pPr>
            <w:r>
              <w:rPr>
                <w:rFonts w:ascii="Aptos" w:hAnsi="Aptos"/>
                <w:b w:val="0"/>
                <w:i w:val="0"/>
                <w:color w:val="17213A"/>
                <w:sz w:val="16"/>
              </w:rPr>
              <w:t>Course / module / lesson / activity</w:t>
            </w:r>
          </w:p>
        </w:tc>
        <w:tc>
          <w:tcPr>
            <w:tcW w:type="dxa" w:w="6860"/>
            <w:vAlign w:val="center"/>
            <w:shd w:fill="F8F6F1"/>
          </w:tcPr>
          <w:p>
            <w:pPr>
              <w:spacing w:after="0" w:line="252" w:lineRule="auto"/>
            </w:pPr>
            <w:r>
              <w:rPr>
                <w:rFonts w:ascii="Aptos" w:hAnsi="Aptos"/>
                <w:b w:val="0"/>
                <w:i w:val="0"/>
                <w:color w:val="17213A"/>
                <w:sz w:val="16"/>
              </w:rPr>
              <w:t>Curriculum hierarchy; activities reference versioned content and outcomes.</w:t>
            </w:r>
          </w:p>
        </w:tc>
      </w:tr>
      <w:tr>
        <w:tc>
          <w:tcPr>
            <w:tcW w:type="dxa" w:w="2500"/>
            <w:vAlign w:val="center"/>
          </w:tcPr>
          <w:p>
            <w:pPr>
              <w:spacing w:after="0" w:line="252" w:lineRule="auto"/>
            </w:pPr>
            <w:r>
              <w:rPr>
                <w:rFonts w:ascii="Aptos" w:hAnsi="Aptos"/>
                <w:b w:val="0"/>
                <w:i w:val="0"/>
                <w:color w:val="17213A"/>
                <w:sz w:val="16"/>
              </w:rPr>
              <w:t>Scripture work / chapter / verse</w:t>
            </w:r>
          </w:p>
        </w:tc>
        <w:tc>
          <w:tcPr>
            <w:tcW w:type="dxa" w:w="6860"/>
            <w:vAlign w:val="center"/>
          </w:tcPr>
          <w:p>
            <w:pPr>
              <w:spacing w:after="0" w:line="252" w:lineRule="auto"/>
            </w:pPr>
            <w:r>
              <w:rPr>
                <w:rFonts w:ascii="Aptos" w:hAnsi="Aptos"/>
                <w:b w:val="0"/>
                <w:i w:val="0"/>
                <w:color w:val="17213A"/>
                <w:sz w:val="16"/>
              </w:rPr>
              <w:t>Canonical reference structure independent of presentation edition.</w:t>
            </w:r>
          </w:p>
        </w:tc>
      </w:tr>
      <w:tr>
        <w:tc>
          <w:tcPr>
            <w:tcW w:type="dxa" w:w="2500"/>
            <w:vAlign w:val="center"/>
            <w:shd w:fill="F8F6F1"/>
          </w:tcPr>
          <w:p>
            <w:pPr>
              <w:spacing w:after="0" w:line="252" w:lineRule="auto"/>
            </w:pPr>
            <w:r>
              <w:rPr>
                <w:rFonts w:ascii="Aptos" w:hAnsi="Aptos"/>
                <w:b w:val="0"/>
                <w:i w:val="0"/>
                <w:color w:val="17213A"/>
                <w:sz w:val="16"/>
              </w:rPr>
              <w:t>Content layer/version</w:t>
            </w:r>
          </w:p>
        </w:tc>
        <w:tc>
          <w:tcPr>
            <w:tcW w:type="dxa" w:w="6860"/>
            <w:vAlign w:val="center"/>
            <w:shd w:fill="F8F6F1"/>
          </w:tcPr>
          <w:p>
            <w:pPr>
              <w:spacing w:after="0" w:line="252" w:lineRule="auto"/>
            </w:pPr>
            <w:r>
              <w:rPr>
                <w:rFonts w:ascii="Aptos" w:hAnsi="Aptos"/>
                <w:b w:val="0"/>
                <w:i w:val="0"/>
                <w:color w:val="17213A"/>
                <w:sz w:val="16"/>
              </w:rPr>
              <w:t>Source text, transliteration, translation, commentary, explanation or media with provenance.</w:t>
            </w:r>
          </w:p>
        </w:tc>
      </w:tr>
      <w:tr>
        <w:tc>
          <w:tcPr>
            <w:tcW w:type="dxa" w:w="2500"/>
            <w:vAlign w:val="center"/>
          </w:tcPr>
          <w:p>
            <w:pPr>
              <w:spacing w:after="0" w:line="252" w:lineRule="auto"/>
            </w:pPr>
            <w:r>
              <w:rPr>
                <w:rFonts w:ascii="Aptos" w:hAnsi="Aptos"/>
                <w:b w:val="0"/>
                <w:i w:val="0"/>
                <w:color w:val="17213A"/>
                <w:sz w:val="16"/>
              </w:rPr>
              <w:t>Learning outcome</w:t>
            </w:r>
          </w:p>
        </w:tc>
        <w:tc>
          <w:tcPr>
            <w:tcW w:type="dxa" w:w="6860"/>
            <w:vAlign w:val="center"/>
          </w:tcPr>
          <w:p>
            <w:pPr>
              <w:spacing w:after="0" w:line="252" w:lineRule="auto"/>
            </w:pPr>
            <w:r>
              <w:rPr>
                <w:rFonts w:ascii="Aptos" w:hAnsi="Aptos"/>
                <w:b w:val="0"/>
                <w:i w:val="0"/>
                <w:color w:val="17213A"/>
                <w:sz w:val="16"/>
              </w:rPr>
              <w:t>Statement of mastery; maps curriculum, content, assessment and reporting.</w:t>
            </w:r>
          </w:p>
        </w:tc>
      </w:tr>
      <w:tr>
        <w:tc>
          <w:tcPr>
            <w:tcW w:type="dxa" w:w="2500"/>
            <w:vAlign w:val="center"/>
            <w:shd w:fill="F8F6F1"/>
          </w:tcPr>
          <w:p>
            <w:pPr>
              <w:spacing w:after="0" w:line="252" w:lineRule="auto"/>
            </w:pPr>
            <w:r>
              <w:rPr>
                <w:rFonts w:ascii="Aptos" w:hAnsi="Aptos"/>
                <w:b w:val="0"/>
                <w:i w:val="0"/>
                <w:color w:val="17213A"/>
                <w:sz w:val="16"/>
              </w:rPr>
              <w:t>Assessment / item / attempt</w:t>
            </w:r>
          </w:p>
        </w:tc>
        <w:tc>
          <w:tcPr>
            <w:tcW w:type="dxa" w:w="6860"/>
            <w:vAlign w:val="center"/>
            <w:shd w:fill="F8F6F1"/>
          </w:tcPr>
          <w:p>
            <w:pPr>
              <w:spacing w:after="0" w:line="252" w:lineRule="auto"/>
            </w:pPr>
            <w:r>
              <w:rPr>
                <w:rFonts w:ascii="Aptos" w:hAnsi="Aptos"/>
                <w:b w:val="0"/>
                <w:i w:val="0"/>
                <w:color w:val="17213A"/>
                <w:sz w:val="16"/>
              </w:rPr>
              <w:t>Versioned evaluation, question bank and learner evidence.</w:t>
            </w:r>
          </w:p>
        </w:tc>
      </w:tr>
      <w:tr>
        <w:tc>
          <w:tcPr>
            <w:tcW w:type="dxa" w:w="2500"/>
            <w:vAlign w:val="center"/>
          </w:tcPr>
          <w:p>
            <w:pPr>
              <w:spacing w:after="0" w:line="252" w:lineRule="auto"/>
            </w:pPr>
            <w:r>
              <w:rPr>
                <w:rFonts w:ascii="Aptos" w:hAnsi="Aptos"/>
                <w:b w:val="0"/>
                <w:i w:val="0"/>
                <w:color w:val="17213A"/>
                <w:sz w:val="16"/>
              </w:rPr>
              <w:t>User / identity / membership / role</w:t>
            </w:r>
          </w:p>
        </w:tc>
        <w:tc>
          <w:tcPr>
            <w:tcW w:type="dxa" w:w="6860"/>
            <w:vAlign w:val="center"/>
          </w:tcPr>
          <w:p>
            <w:pPr>
              <w:spacing w:after="0" w:line="252" w:lineRule="auto"/>
            </w:pPr>
            <w:r>
              <w:rPr>
                <w:rFonts w:ascii="Aptos" w:hAnsi="Aptos"/>
                <w:b w:val="0"/>
                <w:i w:val="0"/>
                <w:color w:val="17213A"/>
                <w:sz w:val="16"/>
              </w:rPr>
              <w:t>Authentication and tenant/programme authority.</w:t>
            </w:r>
          </w:p>
        </w:tc>
      </w:tr>
      <w:tr>
        <w:tc>
          <w:tcPr>
            <w:tcW w:type="dxa" w:w="2500"/>
            <w:vAlign w:val="center"/>
            <w:shd w:fill="F8F6F1"/>
          </w:tcPr>
          <w:p>
            <w:pPr>
              <w:spacing w:after="0" w:line="252" w:lineRule="auto"/>
            </w:pPr>
            <w:r>
              <w:rPr>
                <w:rFonts w:ascii="Aptos" w:hAnsi="Aptos"/>
                <w:b w:val="0"/>
                <w:i w:val="0"/>
                <w:color w:val="17213A"/>
                <w:sz w:val="16"/>
              </w:rPr>
              <w:t>Cohort / assignment / submission</w:t>
            </w:r>
          </w:p>
        </w:tc>
        <w:tc>
          <w:tcPr>
            <w:tcW w:type="dxa" w:w="6860"/>
            <w:vAlign w:val="center"/>
            <w:shd w:fill="F8F6F1"/>
          </w:tcPr>
          <w:p>
            <w:pPr>
              <w:spacing w:after="0" w:line="252" w:lineRule="auto"/>
            </w:pPr>
            <w:r>
              <w:rPr>
                <w:rFonts w:ascii="Aptos" w:hAnsi="Aptos"/>
                <w:b w:val="0"/>
                <w:i w:val="0"/>
                <w:color w:val="17213A"/>
                <w:sz w:val="16"/>
              </w:rPr>
              <w:t>Teacher-led delivery and evidence.</w:t>
            </w:r>
          </w:p>
        </w:tc>
      </w:tr>
      <w:tr>
        <w:tc>
          <w:tcPr>
            <w:tcW w:type="dxa" w:w="2500"/>
            <w:vAlign w:val="center"/>
          </w:tcPr>
          <w:p>
            <w:pPr>
              <w:spacing w:after="0" w:line="252" w:lineRule="auto"/>
            </w:pPr>
            <w:r>
              <w:rPr>
                <w:rFonts w:ascii="Aptos" w:hAnsi="Aptos"/>
                <w:b w:val="0"/>
                <w:i w:val="0"/>
                <w:color w:val="17213A"/>
                <w:sz w:val="16"/>
              </w:rPr>
              <w:t>Progress / mastery / learning event</w:t>
            </w:r>
          </w:p>
        </w:tc>
        <w:tc>
          <w:tcPr>
            <w:tcW w:type="dxa" w:w="6860"/>
            <w:vAlign w:val="center"/>
          </w:tcPr>
          <w:p>
            <w:pPr>
              <w:spacing w:after="0" w:line="252" w:lineRule="auto"/>
            </w:pPr>
            <w:r>
              <w:rPr>
                <w:rFonts w:ascii="Aptos" w:hAnsi="Aptos"/>
                <w:b w:val="0"/>
                <w:i w:val="0"/>
                <w:color w:val="17213A"/>
                <w:sz w:val="16"/>
              </w:rPr>
              <w:t>Learner state and append-only evidence with privacy classification.</w:t>
            </w:r>
          </w:p>
        </w:tc>
      </w:tr>
      <w:tr>
        <w:tc>
          <w:tcPr>
            <w:tcW w:type="dxa" w:w="2500"/>
            <w:vAlign w:val="center"/>
            <w:shd w:fill="F8F6F1"/>
          </w:tcPr>
          <w:p>
            <w:pPr>
              <w:spacing w:after="0" w:line="252" w:lineRule="auto"/>
            </w:pPr>
            <w:r>
              <w:rPr>
                <w:rFonts w:ascii="Aptos" w:hAnsi="Aptos"/>
                <w:b w:val="0"/>
                <w:i w:val="0"/>
                <w:color w:val="17213A"/>
                <w:sz w:val="16"/>
              </w:rPr>
              <w:t>Consent / policy acceptance</w:t>
            </w:r>
          </w:p>
        </w:tc>
        <w:tc>
          <w:tcPr>
            <w:tcW w:type="dxa" w:w="6860"/>
            <w:vAlign w:val="center"/>
            <w:shd w:fill="F8F6F1"/>
          </w:tcPr>
          <w:p>
            <w:pPr>
              <w:spacing w:after="0" w:line="252" w:lineRule="auto"/>
            </w:pPr>
            <w:r>
              <w:rPr>
                <w:rFonts w:ascii="Aptos" w:hAnsi="Aptos"/>
                <w:b w:val="0"/>
                <w:i w:val="0"/>
                <w:color w:val="17213A"/>
                <w:sz w:val="16"/>
              </w:rPr>
              <w:t>Versioned evidence of guardian/learner choice and legal notice.</w:t>
            </w:r>
          </w:p>
        </w:tc>
      </w:tr>
      <w:tr>
        <w:tc>
          <w:tcPr>
            <w:tcW w:type="dxa" w:w="2500"/>
            <w:vAlign w:val="center"/>
          </w:tcPr>
          <w:p>
            <w:pPr>
              <w:spacing w:after="0" w:line="252" w:lineRule="auto"/>
            </w:pPr>
            <w:r>
              <w:rPr>
                <w:rFonts w:ascii="Aptos" w:hAnsi="Aptos"/>
                <w:b w:val="0"/>
                <w:i w:val="0"/>
                <w:color w:val="17213A"/>
                <w:sz w:val="16"/>
              </w:rPr>
              <w:t>Certificate</w:t>
            </w:r>
          </w:p>
        </w:tc>
        <w:tc>
          <w:tcPr>
            <w:tcW w:type="dxa" w:w="6860"/>
            <w:vAlign w:val="center"/>
          </w:tcPr>
          <w:p>
            <w:pPr>
              <w:spacing w:after="0" w:line="252" w:lineRule="auto"/>
            </w:pPr>
            <w:r>
              <w:rPr>
                <w:rFonts w:ascii="Aptos" w:hAnsi="Aptos"/>
                <w:b w:val="0"/>
                <w:i w:val="0"/>
                <w:color w:val="17213A"/>
                <w:sz w:val="16"/>
              </w:rPr>
              <w:t>Issuer, learner, course/edition version, evidence, status and verification.</w:t>
            </w:r>
          </w:p>
        </w:tc>
      </w:tr>
      <w:tr>
        <w:tc>
          <w:tcPr>
            <w:tcW w:type="dxa" w:w="2500"/>
            <w:vAlign w:val="center"/>
            <w:shd w:fill="F8F6F1"/>
          </w:tcPr>
          <w:p>
            <w:pPr>
              <w:spacing w:after="0" w:line="252" w:lineRule="auto"/>
            </w:pPr>
            <w:r>
              <w:rPr>
                <w:rFonts w:ascii="Aptos" w:hAnsi="Aptos"/>
                <w:b w:val="0"/>
                <w:i w:val="0"/>
                <w:color w:val="17213A"/>
                <w:sz w:val="16"/>
              </w:rPr>
              <w:t>Right / licence</w:t>
            </w:r>
          </w:p>
        </w:tc>
        <w:tc>
          <w:tcPr>
            <w:tcW w:type="dxa" w:w="6860"/>
            <w:vAlign w:val="center"/>
            <w:shd w:fill="F8F6F1"/>
          </w:tcPr>
          <w:p>
            <w:pPr>
              <w:spacing w:after="0" w:line="252" w:lineRule="auto"/>
            </w:pPr>
            <w:r>
              <w:rPr>
                <w:rFonts w:ascii="Aptos" w:hAnsi="Aptos"/>
                <w:b w:val="0"/>
                <w:i w:val="0"/>
                <w:color w:val="17213A"/>
                <w:sz w:val="16"/>
              </w:rPr>
              <w:t>Permitted use of content/media by language, territory, channel, audience and time.</w:t>
            </w:r>
          </w:p>
        </w:tc>
      </w:tr>
      <w:tr>
        <w:tc>
          <w:tcPr>
            <w:tcW w:type="dxa" w:w="2500"/>
            <w:vAlign w:val="center"/>
          </w:tcPr>
          <w:p>
            <w:pPr>
              <w:spacing w:after="0" w:line="252" w:lineRule="auto"/>
            </w:pPr>
            <w:r>
              <w:rPr>
                <w:rFonts w:ascii="Aptos" w:hAnsi="Aptos"/>
                <w:b w:val="0"/>
                <w:i w:val="0"/>
                <w:color w:val="17213A"/>
                <w:sz w:val="16"/>
              </w:rPr>
              <w:t>Audit event</w:t>
            </w:r>
          </w:p>
        </w:tc>
        <w:tc>
          <w:tcPr>
            <w:tcW w:type="dxa" w:w="6860"/>
            <w:vAlign w:val="center"/>
          </w:tcPr>
          <w:p>
            <w:pPr>
              <w:spacing w:after="0" w:line="252" w:lineRule="auto"/>
            </w:pPr>
            <w:r>
              <w:rPr>
                <w:rFonts w:ascii="Aptos" w:hAnsi="Aptos"/>
                <w:b w:val="0"/>
                <w:i w:val="0"/>
                <w:color w:val="17213A"/>
                <w:sz w:val="16"/>
              </w:rPr>
              <w:t>Privileged/security/content/rights/certificate action evidence.</w:t>
            </w:r>
          </w:p>
        </w:tc>
      </w:tr>
    </w:tbl>
    <w:p>
      <w:pPr>
        <w:spacing w:after="20"/>
      </w:pPr>
    </w:p>
    <w:p>
      <w:pPr>
        <w:pStyle w:val="Heading2"/>
      </w:pPr>
      <w:r>
        <w:t>Data-design rules</w:t>
      </w:r>
    </w:p>
    <w:p>
      <w:pPr>
        <w:pStyle w:val="ListBullet"/>
      </w:pPr>
      <w:r>
        <w:rPr>
          <w:rFonts w:ascii="Aptos" w:hAnsi="Aptos"/>
          <w:b w:val="0"/>
          <w:i w:val="0"/>
          <w:color w:val="17213A"/>
          <w:sz w:val="20"/>
        </w:rPr>
        <w:t>Use immutable identifiers and effective-dated versions for content, policy, rights, assessments and certificates.</w:t>
      </w:r>
    </w:p>
    <w:p>
      <w:pPr>
        <w:pStyle w:val="ListBullet"/>
      </w:pPr>
      <w:r>
        <w:rPr>
          <w:rFonts w:ascii="Aptos" w:hAnsi="Aptos"/>
          <w:b w:val="0"/>
          <w:i w:val="0"/>
          <w:color w:val="17213A"/>
          <w:sz w:val="20"/>
        </w:rPr>
        <w:t>Separate operational progress from analytics events and private learner content.</w:t>
      </w:r>
    </w:p>
    <w:p>
      <w:pPr>
        <w:pStyle w:val="ListBullet"/>
      </w:pPr>
      <w:r>
        <w:rPr>
          <w:rFonts w:ascii="Aptos" w:hAnsi="Aptos"/>
          <w:b w:val="0"/>
          <w:i w:val="0"/>
          <w:color w:val="17213A"/>
          <w:sz w:val="20"/>
        </w:rPr>
        <w:t>Tag personal data by sensitivity, purpose, retention and tenant/controller context.</w:t>
      </w:r>
    </w:p>
    <w:p>
      <w:pPr>
        <w:pStyle w:val="ListBullet"/>
      </w:pPr>
      <w:r>
        <w:rPr>
          <w:rFonts w:ascii="Aptos" w:hAnsi="Aptos"/>
          <w:b w:val="0"/>
          <w:i w:val="0"/>
          <w:color w:val="17213A"/>
          <w:sz w:val="20"/>
        </w:rPr>
        <w:t>Prefer append-only learning evidence plus derived current state for explainability and offline reconciliation.</w:t>
      </w:r>
    </w:p>
    <w:p>
      <w:pPr>
        <w:sectPr>
          <w:pgSz w:w="12240" w:h="15840"/>
          <w:pgMar w:top="1440" w:right="1440" w:bottom="1440" w:left="1440" w:header="708" w:footer="708" w:gutter="0"/>
          <w:cols w:space="720"/>
          <w:docGrid w:linePitch="360"/>
        </w:sectPr>
      </w:pPr>
    </w:p>
    <w:p>
      <w:pPr>
        <w:pStyle w:val="Heading1"/>
      </w:pPr>
      <w:r>
        <w:t>Appendix C — Vendor evaluation scorecard</w:t>
      </w:r>
    </w:p>
    <w:tbl>
      <w:tblPr>
        <w:tblW w:type="dxa" w:w="9360"/>
        <w:jc w:val="left"/>
        <w:tblLayout w:type="fixed"/>
        <w:tblLook w:firstColumn="1" w:firstRow="1" w:lastColumn="0" w:lastRow="0" w:noHBand="0" w:noVBand="1" w:val="04A0"/>
        <w:tblInd w:w="120" w:type="dxa"/>
        <w:tblBorders>
          <w:top w:val="single" w:sz="6" w:space="0" w:color="DDD3C1"/>
          <w:left w:val="single" w:sz="6" w:space="0" w:color="DDD3C1"/>
          <w:bottom w:val="single" w:sz="6" w:space="0" w:color="DDD3C1"/>
          <w:right w:val="single" w:sz="6" w:space="0" w:color="DDD3C1"/>
          <w:insideH w:val="single" w:sz="6" w:space="0" w:color="DDD3C1"/>
          <w:insideV w:val="single" w:sz="6" w:space="0" w:color="DDD3C1"/>
        </w:tblBorders>
      </w:tblPr>
      <w:tblGrid>
        <w:gridCol w:w="4200"/>
        <w:gridCol w:w="1000"/>
        <w:gridCol w:w="4160"/>
      </w:tblGrid>
      <w:tr>
        <w:trPr>
          <w:tblHeader w:val="true"/>
        </w:trPr>
        <w:tc>
          <w:tcPr>
            <w:tcW w:type="dxa" w:w="4200"/>
            <w:tcMar>
              <w:top w:w="100" w:type="dxa"/>
              <w:start w:w="120" w:type="dxa"/>
              <w:bottom w:w="100" w:type="dxa"/>
              <w:end w:w="120" w:type="dxa"/>
            </w:tcMar>
            <w:shd w:fill="18264F"/>
            <w:vAlign w:val="center"/>
          </w:tcPr>
          <w:p>
            <w:pPr>
              <w:spacing w:after="0"/>
            </w:pPr>
            <w:r>
              <w:rPr>
                <w:rFonts w:ascii="Aptos" w:hAnsi="Aptos"/>
                <w:b/>
                <w:i w:val="0"/>
                <w:color w:val="FFFFFF"/>
                <w:sz w:val="18"/>
              </w:rPr>
              <w:t>Criterion</w:t>
            </w:r>
          </w:p>
        </w:tc>
        <w:tc>
          <w:tcPr>
            <w:tcW w:type="dxa" w:w="1000"/>
            <w:tcMar>
              <w:top w:w="100" w:type="dxa"/>
              <w:start w:w="120" w:type="dxa"/>
              <w:bottom w:w="100" w:type="dxa"/>
              <w:end w:w="120" w:type="dxa"/>
            </w:tcMar>
            <w:shd w:fill="18264F"/>
            <w:vAlign w:val="center"/>
          </w:tcPr>
          <w:p>
            <w:pPr>
              <w:spacing w:after="0"/>
            </w:pPr>
            <w:r>
              <w:rPr>
                <w:rFonts w:ascii="Aptos" w:hAnsi="Aptos"/>
                <w:b/>
                <w:i w:val="0"/>
                <w:color w:val="FFFFFF"/>
                <w:sz w:val="18"/>
              </w:rPr>
              <w:t>Weight</w:t>
            </w:r>
          </w:p>
        </w:tc>
        <w:tc>
          <w:tcPr>
            <w:tcW w:type="dxa" w:w="4160"/>
            <w:tcMar>
              <w:top w:w="100" w:type="dxa"/>
              <w:start w:w="120" w:type="dxa"/>
              <w:bottom w:w="100" w:type="dxa"/>
              <w:end w:w="120" w:type="dxa"/>
            </w:tcMar>
            <w:shd w:fill="18264F"/>
            <w:vAlign w:val="center"/>
          </w:tcPr>
          <w:p>
            <w:pPr>
              <w:spacing w:after="0"/>
            </w:pPr>
            <w:r>
              <w:rPr>
                <w:rFonts w:ascii="Aptos" w:hAnsi="Aptos"/>
                <w:b/>
                <w:i w:val="0"/>
                <w:color w:val="FFFFFF"/>
                <w:sz w:val="18"/>
              </w:rPr>
              <w:t>Evidence expected</w:t>
            </w:r>
          </w:p>
        </w:tc>
      </w:tr>
      <w:tr>
        <w:tc>
          <w:tcPr>
            <w:tcW w:type="dxa" w:w="4200"/>
            <w:vAlign w:val="center"/>
          </w:tcPr>
          <w:p>
            <w:pPr>
              <w:spacing w:after="0" w:line="252" w:lineRule="auto"/>
            </w:pPr>
            <w:r>
              <w:rPr>
                <w:rFonts w:ascii="Aptos" w:hAnsi="Aptos"/>
                <w:b w:val="0"/>
                <w:i w:val="0"/>
                <w:color w:val="17213A"/>
                <w:sz w:val="16"/>
              </w:rPr>
              <w:t>Understanding and product strategy</w:t>
            </w:r>
          </w:p>
        </w:tc>
        <w:tc>
          <w:tcPr>
            <w:tcW w:type="dxa" w:w="1000"/>
            <w:vAlign w:val="center"/>
          </w:tcPr>
          <w:p>
            <w:pPr>
              <w:spacing w:after="0" w:line="252" w:lineRule="auto"/>
            </w:pPr>
            <w:r>
              <w:rPr>
                <w:rFonts w:ascii="Aptos" w:hAnsi="Aptos"/>
                <w:b w:val="0"/>
                <w:i w:val="0"/>
                <w:color w:val="17213A"/>
                <w:sz w:val="16"/>
              </w:rPr>
              <w:t>10%</w:t>
            </w:r>
          </w:p>
        </w:tc>
        <w:tc>
          <w:tcPr>
            <w:tcW w:type="dxa" w:w="4160"/>
            <w:vAlign w:val="center"/>
          </w:tcPr>
          <w:p>
            <w:pPr>
              <w:spacing w:after="0" w:line="252" w:lineRule="auto"/>
            </w:pPr>
            <w:r>
              <w:rPr>
                <w:rFonts w:ascii="Aptos" w:hAnsi="Aptos"/>
                <w:b w:val="0"/>
                <w:i w:val="0"/>
                <w:color w:val="17213A"/>
                <w:sz w:val="16"/>
              </w:rPr>
              <w:t>Insightful response to multi-edition, school and learner challenges.</w:t>
            </w:r>
          </w:p>
        </w:tc>
      </w:tr>
      <w:tr>
        <w:tc>
          <w:tcPr>
            <w:tcW w:type="dxa" w:w="4200"/>
            <w:vAlign w:val="center"/>
            <w:shd w:fill="F8F6F1"/>
          </w:tcPr>
          <w:p>
            <w:pPr>
              <w:spacing w:after="0" w:line="252" w:lineRule="auto"/>
            </w:pPr>
            <w:r>
              <w:rPr>
                <w:rFonts w:ascii="Aptos" w:hAnsi="Aptos"/>
                <w:b w:val="0"/>
                <w:i w:val="0"/>
                <w:color w:val="17213A"/>
                <w:sz w:val="16"/>
              </w:rPr>
              <w:t>Learning/CMS/content capability</w:t>
            </w:r>
          </w:p>
        </w:tc>
        <w:tc>
          <w:tcPr>
            <w:tcW w:type="dxa" w:w="1000"/>
            <w:vAlign w:val="center"/>
            <w:shd w:fill="F8F6F1"/>
          </w:tcPr>
          <w:p>
            <w:pPr>
              <w:spacing w:after="0" w:line="252" w:lineRule="auto"/>
            </w:pPr>
            <w:r>
              <w:rPr>
                <w:rFonts w:ascii="Aptos" w:hAnsi="Aptos"/>
                <w:b w:val="0"/>
                <w:i w:val="0"/>
                <w:color w:val="17213A"/>
                <w:sz w:val="16"/>
              </w:rPr>
              <w:t>15%</w:t>
            </w:r>
          </w:p>
        </w:tc>
        <w:tc>
          <w:tcPr>
            <w:tcW w:type="dxa" w:w="4160"/>
            <w:vAlign w:val="center"/>
            <w:shd w:fill="F8F6F1"/>
          </w:tcPr>
          <w:p>
            <w:pPr>
              <w:spacing w:after="0" w:line="252" w:lineRule="auto"/>
            </w:pPr>
            <w:r>
              <w:rPr>
                <w:rFonts w:ascii="Aptos" w:hAnsi="Aptos"/>
                <w:b w:val="0"/>
                <w:i w:val="0"/>
                <w:color w:val="17213A"/>
                <w:sz w:val="16"/>
              </w:rPr>
              <w:t>Structured authoring, workflow, provenance, assessment and content operations.</w:t>
            </w:r>
          </w:p>
        </w:tc>
      </w:tr>
      <w:tr>
        <w:tc>
          <w:tcPr>
            <w:tcW w:type="dxa" w:w="4200"/>
            <w:vAlign w:val="center"/>
          </w:tcPr>
          <w:p>
            <w:pPr>
              <w:spacing w:after="0" w:line="252" w:lineRule="auto"/>
            </w:pPr>
            <w:r>
              <w:rPr>
                <w:rFonts w:ascii="Aptos" w:hAnsi="Aptos"/>
                <w:b w:val="0"/>
                <w:i w:val="0"/>
                <w:color w:val="17213A"/>
                <w:sz w:val="16"/>
              </w:rPr>
              <w:t>UX, mobile and accessibility</w:t>
            </w:r>
          </w:p>
        </w:tc>
        <w:tc>
          <w:tcPr>
            <w:tcW w:type="dxa" w:w="1000"/>
            <w:vAlign w:val="center"/>
          </w:tcPr>
          <w:p>
            <w:pPr>
              <w:spacing w:after="0" w:line="252" w:lineRule="auto"/>
            </w:pPr>
            <w:r>
              <w:rPr>
                <w:rFonts w:ascii="Aptos" w:hAnsi="Aptos"/>
                <w:b w:val="0"/>
                <w:i w:val="0"/>
                <w:color w:val="17213A"/>
                <w:sz w:val="16"/>
              </w:rPr>
              <w:t>15%</w:t>
            </w:r>
          </w:p>
        </w:tc>
        <w:tc>
          <w:tcPr>
            <w:tcW w:type="dxa" w:w="4160"/>
            <w:vAlign w:val="center"/>
          </w:tcPr>
          <w:p>
            <w:pPr>
              <w:spacing w:after="0" w:line="252" w:lineRule="auto"/>
            </w:pPr>
            <w:r>
              <w:rPr>
                <w:rFonts w:ascii="Aptos" w:hAnsi="Aptos"/>
                <w:b w:val="0"/>
                <w:i w:val="0"/>
                <w:color w:val="17213A"/>
                <w:sz w:val="16"/>
              </w:rPr>
              <w:t>Research method, high-quality portfolio, native/offline capability and WCAG evidence.</w:t>
            </w:r>
          </w:p>
        </w:tc>
      </w:tr>
      <w:tr>
        <w:tc>
          <w:tcPr>
            <w:tcW w:type="dxa" w:w="4200"/>
            <w:vAlign w:val="center"/>
            <w:shd w:fill="F8F6F1"/>
          </w:tcPr>
          <w:p>
            <w:pPr>
              <w:spacing w:after="0" w:line="252" w:lineRule="auto"/>
            </w:pPr>
            <w:r>
              <w:rPr>
                <w:rFonts w:ascii="Aptos" w:hAnsi="Aptos"/>
                <w:b w:val="0"/>
                <w:i w:val="0"/>
                <w:color w:val="17213A"/>
                <w:sz w:val="16"/>
              </w:rPr>
              <w:t>Architecture and engineering</w:t>
            </w:r>
          </w:p>
        </w:tc>
        <w:tc>
          <w:tcPr>
            <w:tcW w:type="dxa" w:w="1000"/>
            <w:vAlign w:val="center"/>
            <w:shd w:fill="F8F6F1"/>
          </w:tcPr>
          <w:p>
            <w:pPr>
              <w:spacing w:after="0" w:line="252" w:lineRule="auto"/>
            </w:pPr>
            <w:r>
              <w:rPr>
                <w:rFonts w:ascii="Aptos" w:hAnsi="Aptos"/>
                <w:b w:val="0"/>
                <w:i w:val="0"/>
                <w:color w:val="17213A"/>
                <w:sz w:val="16"/>
              </w:rPr>
              <w:t>15%</w:t>
            </w:r>
          </w:p>
        </w:tc>
        <w:tc>
          <w:tcPr>
            <w:tcW w:type="dxa" w:w="4160"/>
            <w:vAlign w:val="center"/>
            <w:shd w:fill="F8F6F1"/>
          </w:tcPr>
          <w:p>
            <w:pPr>
              <w:spacing w:after="0" w:line="252" w:lineRule="auto"/>
            </w:pPr>
            <w:r>
              <w:rPr>
                <w:rFonts w:ascii="Aptos" w:hAnsi="Aptos"/>
                <w:b w:val="0"/>
                <w:i w:val="0"/>
                <w:color w:val="17213A"/>
                <w:sz w:val="16"/>
              </w:rPr>
              <w:t>Multi-tenancy, scalability, maintainability, integrations and pragmatic technology choices.</w:t>
            </w:r>
          </w:p>
        </w:tc>
      </w:tr>
      <w:tr>
        <w:tc>
          <w:tcPr>
            <w:tcW w:type="dxa" w:w="4200"/>
            <w:vAlign w:val="center"/>
          </w:tcPr>
          <w:p>
            <w:pPr>
              <w:spacing w:after="0" w:line="252" w:lineRule="auto"/>
            </w:pPr>
            <w:r>
              <w:rPr>
                <w:rFonts w:ascii="Aptos" w:hAnsi="Aptos"/>
                <w:b w:val="0"/>
                <w:i w:val="0"/>
                <w:color w:val="17213A"/>
                <w:sz w:val="16"/>
              </w:rPr>
              <w:t>Security, privacy and safeguarding</w:t>
            </w:r>
          </w:p>
        </w:tc>
        <w:tc>
          <w:tcPr>
            <w:tcW w:type="dxa" w:w="1000"/>
            <w:vAlign w:val="center"/>
          </w:tcPr>
          <w:p>
            <w:pPr>
              <w:spacing w:after="0" w:line="252" w:lineRule="auto"/>
            </w:pPr>
            <w:r>
              <w:rPr>
                <w:rFonts w:ascii="Aptos" w:hAnsi="Aptos"/>
                <w:b w:val="0"/>
                <w:i w:val="0"/>
                <w:color w:val="17213A"/>
                <w:sz w:val="16"/>
              </w:rPr>
              <w:t>15%</w:t>
            </w:r>
          </w:p>
        </w:tc>
        <w:tc>
          <w:tcPr>
            <w:tcW w:type="dxa" w:w="4160"/>
            <w:vAlign w:val="center"/>
          </w:tcPr>
          <w:p>
            <w:pPr>
              <w:spacing w:after="0" w:line="252" w:lineRule="auto"/>
            </w:pPr>
            <w:r>
              <w:rPr>
                <w:rFonts w:ascii="Aptos" w:hAnsi="Aptos"/>
                <w:b w:val="0"/>
                <w:i w:val="0"/>
                <w:color w:val="17213A"/>
                <w:sz w:val="16"/>
              </w:rPr>
              <w:t>Comparable controls, certifications/evidence, child-safety approach and secure SDLC.</w:t>
            </w:r>
          </w:p>
        </w:tc>
      </w:tr>
      <w:tr>
        <w:tc>
          <w:tcPr>
            <w:tcW w:type="dxa" w:w="4200"/>
            <w:vAlign w:val="center"/>
            <w:shd w:fill="F8F6F1"/>
          </w:tcPr>
          <w:p>
            <w:pPr>
              <w:spacing w:after="0" w:line="252" w:lineRule="auto"/>
            </w:pPr>
            <w:r>
              <w:rPr>
                <w:rFonts w:ascii="Aptos" w:hAnsi="Aptos"/>
                <w:b w:val="0"/>
                <w:i w:val="0"/>
                <w:color w:val="17213A"/>
                <w:sz w:val="16"/>
              </w:rPr>
              <w:t>Delivery team and plan</w:t>
            </w:r>
          </w:p>
        </w:tc>
        <w:tc>
          <w:tcPr>
            <w:tcW w:type="dxa" w:w="1000"/>
            <w:vAlign w:val="center"/>
            <w:shd w:fill="F8F6F1"/>
          </w:tcPr>
          <w:p>
            <w:pPr>
              <w:spacing w:after="0" w:line="252" w:lineRule="auto"/>
            </w:pPr>
            <w:r>
              <w:rPr>
                <w:rFonts w:ascii="Aptos" w:hAnsi="Aptos"/>
                <w:b w:val="0"/>
                <w:i w:val="0"/>
                <w:color w:val="17213A"/>
                <w:sz w:val="16"/>
              </w:rPr>
              <w:t>15%</w:t>
            </w:r>
          </w:p>
        </w:tc>
        <w:tc>
          <w:tcPr>
            <w:tcW w:type="dxa" w:w="4160"/>
            <w:vAlign w:val="center"/>
            <w:shd w:fill="F8F6F1"/>
          </w:tcPr>
          <w:p>
            <w:pPr>
              <w:spacing w:after="0" w:line="252" w:lineRule="auto"/>
            </w:pPr>
            <w:r>
              <w:rPr>
                <w:rFonts w:ascii="Aptos" w:hAnsi="Aptos"/>
                <w:b w:val="0"/>
                <w:i w:val="0"/>
                <w:color w:val="17213A"/>
                <w:sz w:val="16"/>
              </w:rPr>
              <w:t>Named team, realistic dependencies, content parallelisation and governance.</w:t>
            </w:r>
          </w:p>
        </w:tc>
      </w:tr>
      <w:tr>
        <w:tc>
          <w:tcPr>
            <w:tcW w:type="dxa" w:w="4200"/>
            <w:vAlign w:val="center"/>
          </w:tcPr>
          <w:p>
            <w:pPr>
              <w:spacing w:after="0" w:line="252" w:lineRule="auto"/>
            </w:pPr>
            <w:r>
              <w:rPr>
                <w:rFonts w:ascii="Aptos" w:hAnsi="Aptos"/>
                <w:b w:val="0"/>
                <w:i w:val="0"/>
                <w:color w:val="17213A"/>
                <w:sz w:val="16"/>
              </w:rPr>
              <w:t>Commercial value and transparency</w:t>
            </w:r>
          </w:p>
        </w:tc>
        <w:tc>
          <w:tcPr>
            <w:tcW w:type="dxa" w:w="1000"/>
            <w:vAlign w:val="center"/>
          </w:tcPr>
          <w:p>
            <w:pPr>
              <w:spacing w:after="0" w:line="252" w:lineRule="auto"/>
            </w:pPr>
            <w:r>
              <w:rPr>
                <w:rFonts w:ascii="Aptos" w:hAnsi="Aptos"/>
                <w:b w:val="0"/>
                <w:i w:val="0"/>
                <w:color w:val="17213A"/>
                <w:sz w:val="16"/>
              </w:rPr>
              <w:t>10%</w:t>
            </w:r>
          </w:p>
        </w:tc>
        <w:tc>
          <w:tcPr>
            <w:tcW w:type="dxa" w:w="4160"/>
            <w:vAlign w:val="center"/>
          </w:tcPr>
          <w:p>
            <w:pPr>
              <w:spacing w:after="0" w:line="252" w:lineRule="auto"/>
            </w:pPr>
            <w:r>
              <w:rPr>
                <w:rFonts w:ascii="Aptos" w:hAnsi="Aptos"/>
                <w:b w:val="0"/>
                <w:i w:val="0"/>
                <w:color w:val="17213A"/>
                <w:sz w:val="16"/>
              </w:rPr>
              <w:t>Clear assumptions, TCO, licence/hosting/support costs and change model.</w:t>
            </w:r>
          </w:p>
        </w:tc>
      </w:tr>
      <w:tr>
        <w:tc>
          <w:tcPr>
            <w:tcW w:type="dxa" w:w="4200"/>
            <w:vAlign w:val="center"/>
            <w:shd w:fill="F8F6F1"/>
          </w:tcPr>
          <w:p>
            <w:pPr>
              <w:spacing w:after="0" w:line="252" w:lineRule="auto"/>
            </w:pPr>
            <w:r>
              <w:rPr>
                <w:rFonts w:ascii="Aptos" w:hAnsi="Aptos"/>
                <w:b w:val="0"/>
                <w:i w:val="0"/>
                <w:color w:val="17213A"/>
                <w:sz w:val="16"/>
              </w:rPr>
              <w:t>Portability and partnership</w:t>
            </w:r>
          </w:p>
        </w:tc>
        <w:tc>
          <w:tcPr>
            <w:tcW w:type="dxa" w:w="1000"/>
            <w:vAlign w:val="center"/>
            <w:shd w:fill="F8F6F1"/>
          </w:tcPr>
          <w:p>
            <w:pPr>
              <w:spacing w:after="0" w:line="252" w:lineRule="auto"/>
            </w:pPr>
            <w:r>
              <w:rPr>
                <w:rFonts w:ascii="Aptos" w:hAnsi="Aptos"/>
                <w:b w:val="0"/>
                <w:i w:val="0"/>
                <w:color w:val="17213A"/>
                <w:sz w:val="16"/>
              </w:rPr>
              <w:t>5%</w:t>
            </w:r>
          </w:p>
        </w:tc>
        <w:tc>
          <w:tcPr>
            <w:tcW w:type="dxa" w:w="4160"/>
            <w:vAlign w:val="center"/>
            <w:shd w:fill="F8F6F1"/>
          </w:tcPr>
          <w:p>
            <w:pPr>
              <w:spacing w:after="0" w:line="252" w:lineRule="auto"/>
            </w:pPr>
            <w:r>
              <w:rPr>
                <w:rFonts w:ascii="Aptos" w:hAnsi="Aptos"/>
                <w:b w:val="0"/>
                <w:i w:val="0"/>
                <w:color w:val="17213A"/>
                <w:sz w:val="16"/>
              </w:rPr>
              <w:t>IP/source ownership, documentation, knowledge transfer and exit support.</w:t>
            </w:r>
          </w:p>
        </w:tc>
      </w:tr>
    </w:tbl>
    <w:p>
      <w:pPr>
        <w:spacing w:after="20"/>
      </w:pPr>
    </w:p>
    <w:p>
      <w:pPr>
        <w:pStyle w:val="Heading2"/>
      </w:pPr>
      <w:r>
        <w:t>Demonstrations to request</w:t>
      </w:r>
    </w:p>
    <w:p>
      <w:pPr>
        <w:pStyle w:val="ListBullet"/>
      </w:pPr>
      <w:r>
        <w:rPr>
          <w:rFonts w:ascii="Aptos" w:hAnsi="Aptos"/>
          <w:b w:val="0"/>
          <w:i w:val="0"/>
          <w:color w:val="17213A"/>
          <w:sz w:val="20"/>
        </w:rPr>
        <w:t>Configure two visually distinct tenants without deploying separate code.</w:t>
      </w:r>
    </w:p>
    <w:p>
      <w:pPr>
        <w:pStyle w:val="ListBullet"/>
      </w:pPr>
      <w:r>
        <w:rPr>
          <w:rFonts w:ascii="Aptos" w:hAnsi="Aptos"/>
          <w:b w:val="0"/>
          <w:i w:val="0"/>
          <w:color w:val="17213A"/>
          <w:sz w:val="20"/>
        </w:rPr>
        <w:t>Author one verse with source, two authorised translations and commentary, then route it through review and release.</w:t>
      </w:r>
    </w:p>
    <w:p>
      <w:pPr>
        <w:pStyle w:val="ListBullet"/>
      </w:pPr>
      <w:r>
        <w:rPr>
          <w:rFonts w:ascii="Aptos" w:hAnsi="Aptos"/>
          <w:b w:val="0"/>
          <w:i w:val="0"/>
          <w:color w:val="17213A"/>
          <w:sz w:val="20"/>
        </w:rPr>
        <w:t>Take a lesson offline on mobile, complete it and reconcile progress after conflicting server changes.</w:t>
      </w:r>
    </w:p>
    <w:p>
      <w:pPr>
        <w:pStyle w:val="ListBullet"/>
      </w:pPr>
      <w:r>
        <w:rPr>
          <w:rFonts w:ascii="Aptos" w:hAnsi="Aptos"/>
          <w:b w:val="0"/>
          <w:i w:val="0"/>
          <w:color w:val="17213A"/>
          <w:sz w:val="20"/>
        </w:rPr>
        <w:t>Launch from an LMS, return a grade and show the consent/data flow.</w:t>
      </w:r>
    </w:p>
    <w:p>
      <w:pPr>
        <w:pStyle w:val="ListBullet"/>
      </w:pPr>
      <w:r>
        <w:rPr>
          <w:rFonts w:ascii="Aptos" w:hAnsi="Aptos"/>
          <w:b w:val="0"/>
          <w:i w:val="0"/>
          <w:color w:val="17213A"/>
          <w:sz w:val="20"/>
        </w:rPr>
        <w:t>Demonstrate keyboard/screen-reader completion of a lesson and assessment.</w:t>
      </w:r>
    </w:p>
    <w:p>
      <w:pPr>
        <w:pStyle w:val="ListBullet"/>
      </w:pPr>
      <w:r>
        <w:rPr>
          <w:rFonts w:ascii="Aptos" w:hAnsi="Aptos"/>
          <w:b w:val="0"/>
          <w:i w:val="0"/>
          <w:color w:val="17213A"/>
          <w:sz w:val="20"/>
        </w:rPr>
        <w:t>Show tenant-isolation tests, audit trail, certificate verification and content rollback.</w:t>
      </w:r>
    </w:p>
    <w:p>
      <w:pPr>
        <w:sectPr>
          <w:pgSz w:w="12240" w:h="15840"/>
          <w:pgMar w:top="1440" w:right="1440" w:bottom="1440" w:left="1440" w:header="708" w:footer="708" w:gutter="0"/>
          <w:cols w:space="720"/>
          <w:docGrid w:linePitch="360"/>
        </w:sectPr>
      </w:pPr>
    </w:p>
    <w:p>
      <w:pPr>
        <w:pStyle w:val="Heading1"/>
      </w:pPr>
      <w:r>
        <w:t>Appendix D — Standards and reference basis</w:t>
      </w:r>
    </w:p>
    <w:p>
      <w:pPr>
        <w:spacing w:before="0"/>
      </w:pPr>
      <w:r>
        <w:rPr>
          <w:rFonts w:ascii="Aptos" w:hAnsi="Aptos"/>
          <w:b w:val="0"/>
          <w:i w:val="0"/>
          <w:color w:val="17213A"/>
          <w:sz w:val="21"/>
        </w:rPr>
        <w:t>The following official sources inform the recommended technical and policy direction. They should be revalidated during discovery and before procurement or launch because standards and law evolve.</w:t>
      </w:r>
    </w:p>
    <w:tbl>
      <w:tblPr>
        <w:tblW w:type="dxa" w:w="9360"/>
        <w:jc w:val="left"/>
        <w:tblLayout w:type="fixed"/>
        <w:tblLook w:firstColumn="1" w:firstRow="1" w:lastColumn="0" w:lastRow="0" w:noHBand="0" w:noVBand="1" w:val="04A0"/>
        <w:tblInd w:w="120" w:type="dxa"/>
        <w:tblBorders>
          <w:top w:val="single" w:sz="6" w:space="0" w:color="DDD3C1"/>
          <w:left w:val="single" w:sz="6" w:space="0" w:color="DDD3C1"/>
          <w:bottom w:val="single" w:sz="6" w:space="0" w:color="DDD3C1"/>
          <w:right w:val="single" w:sz="6" w:space="0" w:color="DDD3C1"/>
          <w:insideH w:val="single" w:sz="6" w:space="0" w:color="DDD3C1"/>
          <w:insideV w:val="single" w:sz="6" w:space="0" w:color="DDD3C1"/>
        </w:tblBorders>
      </w:tblPr>
      <w:tblGrid>
        <w:gridCol w:w="3200"/>
        <w:gridCol w:w="3300"/>
        <w:gridCol w:w="2860"/>
      </w:tblGrid>
      <w:tr>
        <w:trPr>
          <w:tblHeader w:val="true"/>
        </w:trPr>
        <w:tc>
          <w:tcPr>
            <w:tcW w:type="dxa" w:w="3200"/>
            <w:tcMar>
              <w:top w:w="100" w:type="dxa"/>
              <w:start w:w="120" w:type="dxa"/>
              <w:bottom w:w="100" w:type="dxa"/>
              <w:end w:w="120" w:type="dxa"/>
            </w:tcMar>
            <w:shd w:fill="18264F"/>
            <w:vAlign w:val="center"/>
          </w:tcPr>
          <w:p>
            <w:pPr>
              <w:spacing w:after="0"/>
            </w:pPr>
            <w:r>
              <w:rPr>
                <w:rFonts w:ascii="Aptos" w:hAnsi="Aptos"/>
                <w:b/>
                <w:i w:val="0"/>
                <w:color w:val="FFFFFF"/>
                <w:sz w:val="18"/>
              </w:rPr>
              <w:t>Source</w:t>
            </w:r>
          </w:p>
        </w:tc>
        <w:tc>
          <w:tcPr>
            <w:tcW w:type="dxa" w:w="3300"/>
            <w:tcMar>
              <w:top w:w="100" w:type="dxa"/>
              <w:start w:w="120" w:type="dxa"/>
              <w:bottom w:w="100" w:type="dxa"/>
              <w:end w:w="120" w:type="dxa"/>
            </w:tcMar>
            <w:shd w:fill="18264F"/>
            <w:vAlign w:val="center"/>
          </w:tcPr>
          <w:p>
            <w:pPr>
              <w:spacing w:after="0"/>
            </w:pPr>
            <w:r>
              <w:rPr>
                <w:rFonts w:ascii="Aptos" w:hAnsi="Aptos"/>
                <w:b/>
                <w:i w:val="0"/>
                <w:color w:val="FFFFFF"/>
                <w:sz w:val="18"/>
              </w:rPr>
              <w:t>URL</w:t>
            </w:r>
          </w:p>
        </w:tc>
        <w:tc>
          <w:tcPr>
            <w:tcW w:type="dxa" w:w="2860"/>
            <w:tcMar>
              <w:top w:w="100" w:type="dxa"/>
              <w:start w:w="120" w:type="dxa"/>
              <w:bottom w:w="100" w:type="dxa"/>
              <w:end w:w="120" w:type="dxa"/>
            </w:tcMar>
            <w:shd w:fill="18264F"/>
            <w:vAlign w:val="center"/>
          </w:tcPr>
          <w:p>
            <w:pPr>
              <w:spacing w:after="0"/>
            </w:pPr>
            <w:r>
              <w:rPr>
                <w:rFonts w:ascii="Aptos" w:hAnsi="Aptos"/>
                <w:b/>
                <w:i w:val="0"/>
                <w:color w:val="FFFFFF"/>
                <w:sz w:val="18"/>
              </w:rPr>
              <w:t>Use</w:t>
            </w:r>
          </w:p>
        </w:tc>
      </w:tr>
      <w:tr>
        <w:tc>
          <w:tcPr>
            <w:tcW w:type="dxa" w:w="3200"/>
            <w:vAlign w:val="center"/>
          </w:tcPr>
          <w:p>
            <w:pPr>
              <w:spacing w:after="0" w:line="252" w:lineRule="auto"/>
            </w:pPr>
            <w:r>
              <w:rPr>
                <w:rFonts w:ascii="Aptos" w:hAnsi="Aptos"/>
                <w:b w:val="0"/>
                <w:i w:val="0"/>
                <w:color w:val="17213A"/>
                <w:sz w:val="14"/>
              </w:rPr>
              <w:t>Living Bliss Digital Library prototype</w:t>
            </w:r>
          </w:p>
        </w:tc>
        <w:tc>
          <w:tcPr>
            <w:tcW w:type="dxa" w:w="3300"/>
            <w:vAlign w:val="center"/>
          </w:tcPr>
          <w:p>
            <w:pPr>
              <w:spacing w:after="0" w:line="252" w:lineRule="auto"/>
            </w:pPr>
            <w:r>
              <w:rPr>
                <w:rFonts w:ascii="Aptos" w:hAnsi="Aptos"/>
                <w:b w:val="0"/>
                <w:i w:val="0"/>
                <w:color w:val="17213A"/>
                <w:sz w:val="14"/>
              </w:rPr>
              <w:t>https://library.livingbliss.org/</w:t>
            </w:r>
          </w:p>
        </w:tc>
        <w:tc>
          <w:tcPr>
            <w:tcW w:type="dxa" w:w="2860"/>
            <w:vAlign w:val="center"/>
          </w:tcPr>
          <w:p>
            <w:pPr>
              <w:spacing w:after="0" w:line="252" w:lineRule="auto"/>
            </w:pPr>
            <w:r>
              <w:rPr>
                <w:rFonts w:ascii="Aptos" w:hAnsi="Aptos"/>
                <w:b w:val="0"/>
                <w:i w:val="0"/>
                <w:color w:val="17213A"/>
                <w:sz w:val="14"/>
              </w:rPr>
              <w:t>Current experience baseline reviewed 31 August 2026.</w:t>
            </w:r>
          </w:p>
        </w:tc>
      </w:tr>
      <w:tr>
        <w:tc>
          <w:tcPr>
            <w:tcW w:type="dxa" w:w="3200"/>
            <w:vAlign w:val="center"/>
            <w:shd w:fill="F8F6F1"/>
          </w:tcPr>
          <w:p>
            <w:pPr>
              <w:spacing w:after="0" w:line="252" w:lineRule="auto"/>
            </w:pPr>
            <w:r>
              <w:rPr>
                <w:rFonts w:ascii="Aptos" w:hAnsi="Aptos"/>
                <w:b w:val="0"/>
                <w:i w:val="0"/>
                <w:color w:val="17213A"/>
                <w:sz w:val="14"/>
              </w:rPr>
              <w:t>W3C Web Content Accessibility Guidelines (WCAG) 2.2</w:t>
            </w:r>
          </w:p>
        </w:tc>
        <w:tc>
          <w:tcPr>
            <w:tcW w:type="dxa" w:w="3300"/>
            <w:vAlign w:val="center"/>
            <w:shd w:fill="F8F6F1"/>
          </w:tcPr>
          <w:p>
            <w:pPr>
              <w:spacing w:after="0" w:line="252" w:lineRule="auto"/>
            </w:pPr>
            <w:r>
              <w:rPr>
                <w:rFonts w:ascii="Aptos" w:hAnsi="Aptos"/>
                <w:b w:val="0"/>
                <w:i w:val="0"/>
                <w:color w:val="17213A"/>
                <w:sz w:val="14"/>
              </w:rPr>
              <w:t>https://www.w3.org/TR/WCAG22/</w:t>
            </w:r>
          </w:p>
        </w:tc>
        <w:tc>
          <w:tcPr>
            <w:tcW w:type="dxa" w:w="2860"/>
            <w:vAlign w:val="center"/>
            <w:shd w:fill="F8F6F1"/>
          </w:tcPr>
          <w:p>
            <w:pPr>
              <w:spacing w:after="0" w:line="252" w:lineRule="auto"/>
            </w:pPr>
            <w:r>
              <w:rPr>
                <w:rFonts w:ascii="Aptos" w:hAnsi="Aptos"/>
                <w:b w:val="0"/>
                <w:i w:val="0"/>
                <w:color w:val="17213A"/>
                <w:sz w:val="14"/>
              </w:rPr>
              <w:t>Accessibility target and testable success criteria.</w:t>
            </w:r>
          </w:p>
        </w:tc>
      </w:tr>
      <w:tr>
        <w:tc>
          <w:tcPr>
            <w:tcW w:type="dxa" w:w="3200"/>
            <w:vAlign w:val="center"/>
          </w:tcPr>
          <w:p>
            <w:pPr>
              <w:spacing w:after="0" w:line="252" w:lineRule="auto"/>
            </w:pPr>
            <w:r>
              <w:rPr>
                <w:rFonts w:ascii="Aptos" w:hAnsi="Aptos"/>
                <w:b w:val="0"/>
                <w:i w:val="0"/>
                <w:color w:val="17213A"/>
                <w:sz w:val="14"/>
              </w:rPr>
              <w:t>1EdTech Learning Tools Interoperability (LTI)</w:t>
            </w:r>
          </w:p>
        </w:tc>
        <w:tc>
          <w:tcPr>
            <w:tcW w:type="dxa" w:w="3300"/>
            <w:vAlign w:val="center"/>
          </w:tcPr>
          <w:p>
            <w:pPr>
              <w:spacing w:after="0" w:line="252" w:lineRule="auto"/>
            </w:pPr>
            <w:r>
              <w:rPr>
                <w:rFonts w:ascii="Aptos" w:hAnsi="Aptos"/>
                <w:b w:val="0"/>
                <w:i w:val="0"/>
                <w:color w:val="17213A"/>
                <w:sz w:val="14"/>
              </w:rPr>
              <w:t>https://www.1edtech.org/standards/lti</w:t>
            </w:r>
          </w:p>
        </w:tc>
        <w:tc>
          <w:tcPr>
            <w:tcW w:type="dxa" w:w="2860"/>
            <w:vAlign w:val="center"/>
          </w:tcPr>
          <w:p>
            <w:pPr>
              <w:spacing w:after="0" w:line="252" w:lineRule="auto"/>
            </w:pPr>
            <w:r>
              <w:rPr>
                <w:rFonts w:ascii="Aptos" w:hAnsi="Aptos"/>
                <w:b w:val="0"/>
                <w:i w:val="0"/>
                <w:color w:val="17213A"/>
                <w:sz w:val="14"/>
              </w:rPr>
              <w:t>LMS launch, deep linking, roster/roles and grade services direction.</w:t>
            </w:r>
          </w:p>
        </w:tc>
      </w:tr>
      <w:tr>
        <w:tc>
          <w:tcPr>
            <w:tcW w:type="dxa" w:w="3200"/>
            <w:vAlign w:val="center"/>
            <w:shd w:fill="F8F6F1"/>
          </w:tcPr>
          <w:p>
            <w:pPr>
              <w:spacing w:after="0" w:line="252" w:lineRule="auto"/>
            </w:pPr>
            <w:r>
              <w:rPr>
                <w:rFonts w:ascii="Aptos" w:hAnsi="Aptos"/>
                <w:b w:val="0"/>
                <w:i w:val="0"/>
                <w:color w:val="17213A"/>
                <w:sz w:val="14"/>
              </w:rPr>
              <w:t>1EdTech Common Cartridge</w:t>
            </w:r>
          </w:p>
        </w:tc>
        <w:tc>
          <w:tcPr>
            <w:tcW w:type="dxa" w:w="3300"/>
            <w:vAlign w:val="center"/>
            <w:shd w:fill="F8F6F1"/>
          </w:tcPr>
          <w:p>
            <w:pPr>
              <w:spacing w:after="0" w:line="252" w:lineRule="auto"/>
            </w:pPr>
            <w:r>
              <w:rPr>
                <w:rFonts w:ascii="Aptos" w:hAnsi="Aptos"/>
                <w:b w:val="0"/>
                <w:i w:val="0"/>
                <w:color w:val="17213A"/>
                <w:sz w:val="14"/>
              </w:rPr>
              <w:t>https://www.1edtech.org/standards/cc</w:t>
            </w:r>
          </w:p>
        </w:tc>
        <w:tc>
          <w:tcPr>
            <w:tcW w:type="dxa" w:w="2860"/>
            <w:vAlign w:val="center"/>
            <w:shd w:fill="F8F6F1"/>
          </w:tcPr>
          <w:p>
            <w:pPr>
              <w:spacing w:after="0" w:line="252" w:lineRule="auto"/>
            </w:pPr>
            <w:r>
              <w:rPr>
                <w:rFonts w:ascii="Aptos" w:hAnsi="Aptos"/>
                <w:b w:val="0"/>
                <w:i w:val="0"/>
                <w:color w:val="17213A"/>
                <w:sz w:val="14"/>
              </w:rPr>
              <w:t>Future content-package interoperability reference.</w:t>
            </w:r>
          </w:p>
        </w:tc>
      </w:tr>
      <w:tr>
        <w:tc>
          <w:tcPr>
            <w:tcW w:type="dxa" w:w="3200"/>
            <w:vAlign w:val="center"/>
          </w:tcPr>
          <w:p>
            <w:pPr>
              <w:spacing w:after="0" w:line="252" w:lineRule="auto"/>
            </w:pPr>
            <w:r>
              <w:rPr>
                <w:rFonts w:ascii="Aptos" w:hAnsi="Aptos"/>
                <w:b w:val="0"/>
                <w:i w:val="0"/>
                <w:color w:val="17213A"/>
                <w:sz w:val="14"/>
              </w:rPr>
              <w:t>ADL Experience API specification</w:t>
            </w:r>
          </w:p>
        </w:tc>
        <w:tc>
          <w:tcPr>
            <w:tcW w:type="dxa" w:w="3300"/>
            <w:vAlign w:val="center"/>
          </w:tcPr>
          <w:p>
            <w:pPr>
              <w:spacing w:after="0" w:line="252" w:lineRule="auto"/>
            </w:pPr>
            <w:r>
              <w:rPr>
                <w:rFonts w:ascii="Aptos" w:hAnsi="Aptos"/>
                <w:b w:val="0"/>
                <w:i w:val="0"/>
                <w:color w:val="17213A"/>
                <w:sz w:val="14"/>
              </w:rPr>
              <w:t>https://github.com/adlnet/xAPI-Spec</w:t>
            </w:r>
          </w:p>
        </w:tc>
        <w:tc>
          <w:tcPr>
            <w:tcW w:type="dxa" w:w="2860"/>
            <w:vAlign w:val="center"/>
          </w:tcPr>
          <w:p>
            <w:pPr>
              <w:spacing w:after="0" w:line="252" w:lineRule="auto"/>
            </w:pPr>
            <w:r>
              <w:rPr>
                <w:rFonts w:ascii="Aptos" w:hAnsi="Aptos"/>
                <w:b w:val="0"/>
                <w:i w:val="0"/>
                <w:color w:val="17213A"/>
                <w:sz w:val="14"/>
              </w:rPr>
              <w:t>Learning-event interoperability reference.</w:t>
            </w:r>
          </w:p>
        </w:tc>
      </w:tr>
      <w:tr>
        <w:tc>
          <w:tcPr>
            <w:tcW w:type="dxa" w:w="3200"/>
            <w:vAlign w:val="center"/>
            <w:shd w:fill="F8F6F1"/>
          </w:tcPr>
          <w:p>
            <w:pPr>
              <w:spacing w:after="0" w:line="252" w:lineRule="auto"/>
            </w:pPr>
            <w:r>
              <w:rPr>
                <w:rFonts w:ascii="Aptos" w:hAnsi="Aptos"/>
                <w:b w:val="0"/>
                <w:i w:val="0"/>
                <w:color w:val="17213A"/>
                <w:sz w:val="14"/>
              </w:rPr>
              <w:t>Digital Personal Data Protection Act, 2023</w:t>
            </w:r>
          </w:p>
        </w:tc>
        <w:tc>
          <w:tcPr>
            <w:tcW w:type="dxa" w:w="3300"/>
            <w:vAlign w:val="center"/>
            <w:shd w:fill="F8F6F1"/>
          </w:tcPr>
          <w:p>
            <w:pPr>
              <w:spacing w:after="0" w:line="252" w:lineRule="auto"/>
            </w:pPr>
            <w:r>
              <w:rPr>
                <w:rFonts w:ascii="Aptos" w:hAnsi="Aptos"/>
                <w:b w:val="0"/>
                <w:i w:val="0"/>
                <w:color w:val="17213A"/>
                <w:sz w:val="14"/>
              </w:rPr>
              <w:t>https://www.meity.gov.in/writereaddata/files/Digital%20Personal%20Data%20Protection%20Act%202023.pdf</w:t>
            </w:r>
          </w:p>
        </w:tc>
        <w:tc>
          <w:tcPr>
            <w:tcW w:type="dxa" w:w="2860"/>
            <w:vAlign w:val="center"/>
            <w:shd w:fill="F8F6F1"/>
          </w:tcPr>
          <w:p>
            <w:pPr>
              <w:spacing w:after="0" w:line="252" w:lineRule="auto"/>
            </w:pPr>
            <w:r>
              <w:rPr>
                <w:rFonts w:ascii="Aptos" w:hAnsi="Aptos"/>
                <w:b w:val="0"/>
                <w:i w:val="0"/>
                <w:color w:val="17213A"/>
                <w:sz w:val="14"/>
              </w:rPr>
              <w:t>India privacy-law reference requiring legal implementation advice.</w:t>
            </w:r>
          </w:p>
        </w:tc>
      </w:tr>
      <w:tr>
        <w:tc>
          <w:tcPr>
            <w:tcW w:type="dxa" w:w="3200"/>
            <w:vAlign w:val="center"/>
          </w:tcPr>
          <w:p>
            <w:pPr>
              <w:spacing w:after="0" w:line="252" w:lineRule="auto"/>
            </w:pPr>
            <w:r>
              <w:rPr>
                <w:rFonts w:ascii="Aptos" w:hAnsi="Aptos"/>
                <w:b w:val="0"/>
                <w:i w:val="0"/>
                <w:color w:val="17213A"/>
                <w:sz w:val="14"/>
              </w:rPr>
              <w:t>Digital Personal Data Protection Rules, 2025</w:t>
            </w:r>
          </w:p>
        </w:tc>
        <w:tc>
          <w:tcPr>
            <w:tcW w:type="dxa" w:w="3300"/>
            <w:vAlign w:val="center"/>
          </w:tcPr>
          <w:p>
            <w:pPr>
              <w:spacing w:after="0" w:line="252" w:lineRule="auto"/>
            </w:pPr>
            <w:r>
              <w:rPr>
                <w:rFonts w:ascii="Aptos" w:hAnsi="Aptos"/>
                <w:b w:val="0"/>
                <w:i w:val="0"/>
                <w:color w:val="17213A"/>
                <w:sz w:val="14"/>
              </w:rPr>
              <w:t>https://www.meity.gov.in/documents/act-and-policies/digital-personal-data-protection-rules-2025-gDOxUjMtQWa</w:t>
            </w:r>
          </w:p>
        </w:tc>
        <w:tc>
          <w:tcPr>
            <w:tcW w:type="dxa" w:w="2860"/>
            <w:vAlign w:val="center"/>
          </w:tcPr>
          <w:p>
            <w:pPr>
              <w:spacing w:after="0" w:line="252" w:lineRule="auto"/>
            </w:pPr>
            <w:r>
              <w:rPr>
                <w:rFonts w:ascii="Aptos" w:hAnsi="Aptos"/>
                <w:b w:val="0"/>
                <w:i w:val="0"/>
                <w:color w:val="17213A"/>
                <w:sz w:val="14"/>
              </w:rPr>
              <w:t>Current official rules page and enforcement materials.</w:t>
            </w:r>
          </w:p>
        </w:tc>
      </w:tr>
      <w:tr>
        <w:tc>
          <w:tcPr>
            <w:tcW w:type="dxa" w:w="3200"/>
            <w:vAlign w:val="center"/>
            <w:shd w:fill="F8F6F1"/>
          </w:tcPr>
          <w:p>
            <w:pPr>
              <w:spacing w:after="0" w:line="252" w:lineRule="auto"/>
            </w:pPr>
            <w:r>
              <w:rPr>
                <w:rFonts w:ascii="Aptos" w:hAnsi="Aptos"/>
                <w:b w:val="0"/>
                <w:i w:val="0"/>
                <w:color w:val="17213A"/>
                <w:sz w:val="14"/>
              </w:rPr>
              <w:t>National Education Policy 2020</w:t>
            </w:r>
          </w:p>
        </w:tc>
        <w:tc>
          <w:tcPr>
            <w:tcW w:type="dxa" w:w="3300"/>
            <w:vAlign w:val="center"/>
            <w:shd w:fill="F8F6F1"/>
          </w:tcPr>
          <w:p>
            <w:pPr>
              <w:spacing w:after="0" w:line="252" w:lineRule="auto"/>
            </w:pPr>
            <w:r>
              <w:rPr>
                <w:rFonts w:ascii="Aptos" w:hAnsi="Aptos"/>
                <w:b w:val="0"/>
                <w:i w:val="0"/>
                <w:color w:val="17213A"/>
                <w:sz w:val="14"/>
              </w:rPr>
              <w:t>https://www.education.gov.in/sites/upload_files/mhrd/files/NEP_Final_English_0.pdf</w:t>
            </w:r>
          </w:p>
        </w:tc>
        <w:tc>
          <w:tcPr>
            <w:tcW w:type="dxa" w:w="2860"/>
            <w:vAlign w:val="center"/>
            <w:shd w:fill="F8F6F1"/>
          </w:tcPr>
          <w:p>
            <w:pPr>
              <w:spacing w:after="0" w:line="252" w:lineRule="auto"/>
            </w:pPr>
            <w:r>
              <w:rPr>
                <w:rFonts w:ascii="Aptos" w:hAnsi="Aptos"/>
                <w:b w:val="0"/>
                <w:i w:val="0"/>
                <w:color w:val="17213A"/>
                <w:sz w:val="14"/>
              </w:rPr>
              <w:t>Education-policy context: Indian knowledge systems, multilingualism and age-stage structure.</w:t>
            </w:r>
          </w:p>
        </w:tc>
      </w:tr>
    </w:tbl>
    <w:p>
      <w:pPr>
        <w:spacing w:after="20"/>
      </w:pPr>
    </w:p>
    <w:p>
      <w:pPr>
        <w:pStyle w:val="Heading2"/>
      </w:pPr>
      <w:r>
        <w:t>Terminology</w:t>
      </w:r>
    </w:p>
    <w:tbl>
      <w:tblPr>
        <w:tblW w:type="dxa" w:w="9360"/>
        <w:jc w:val="left"/>
        <w:tblLayout w:type="fixed"/>
        <w:tblLook w:firstColumn="1" w:firstRow="1" w:lastColumn="0" w:lastRow="0" w:noHBand="0" w:noVBand="1" w:val="04A0"/>
        <w:tblInd w:w="120" w:type="dxa"/>
        <w:tblBorders>
          <w:top w:val="single" w:sz="6" w:space="0" w:color="DDD3C1"/>
          <w:left w:val="single" w:sz="6" w:space="0" w:color="DDD3C1"/>
          <w:bottom w:val="single" w:sz="6" w:space="0" w:color="DDD3C1"/>
          <w:right w:val="single" w:sz="6" w:space="0" w:color="DDD3C1"/>
          <w:insideH w:val="single" w:sz="6" w:space="0" w:color="DDD3C1"/>
          <w:insideV w:val="single" w:sz="6" w:space="0" w:color="DDD3C1"/>
        </w:tblBorders>
      </w:tblPr>
      <w:tblGrid>
        <w:gridCol w:w="1900"/>
        <w:gridCol w:w="7460"/>
      </w:tblGrid>
      <w:tr>
        <w:trPr>
          <w:tblHeader w:val="true"/>
        </w:trPr>
        <w:tc>
          <w:tcPr>
            <w:tcW w:type="dxa" w:w="1900"/>
            <w:tcMar>
              <w:top w:w="100" w:type="dxa"/>
              <w:start w:w="120" w:type="dxa"/>
              <w:bottom w:w="100" w:type="dxa"/>
              <w:end w:w="120" w:type="dxa"/>
            </w:tcMar>
            <w:shd w:fill="18264F"/>
            <w:vAlign w:val="center"/>
          </w:tcPr>
          <w:p>
            <w:pPr>
              <w:spacing w:after="0"/>
            </w:pPr>
            <w:r>
              <w:rPr>
                <w:rFonts w:ascii="Aptos" w:hAnsi="Aptos"/>
                <w:b/>
                <w:i w:val="0"/>
                <w:color w:val="FFFFFF"/>
                <w:sz w:val="18"/>
              </w:rPr>
              <w:t>Term</w:t>
            </w:r>
          </w:p>
        </w:tc>
        <w:tc>
          <w:tcPr>
            <w:tcW w:type="dxa" w:w="7460"/>
            <w:tcMar>
              <w:top w:w="100" w:type="dxa"/>
              <w:start w:w="120" w:type="dxa"/>
              <w:bottom w:w="100" w:type="dxa"/>
              <w:end w:w="120" w:type="dxa"/>
            </w:tcMar>
            <w:shd w:fill="18264F"/>
            <w:vAlign w:val="center"/>
          </w:tcPr>
          <w:p>
            <w:pPr>
              <w:spacing w:after="0"/>
            </w:pPr>
            <w:r>
              <w:rPr>
                <w:rFonts w:ascii="Aptos" w:hAnsi="Aptos"/>
                <w:b/>
                <w:i w:val="0"/>
                <w:color w:val="FFFFFF"/>
                <w:sz w:val="18"/>
              </w:rPr>
              <w:t>Meaning in this document</w:t>
            </w:r>
          </w:p>
        </w:tc>
      </w:tr>
      <w:tr>
        <w:tc>
          <w:tcPr>
            <w:tcW w:type="dxa" w:w="1900"/>
            <w:vAlign w:val="center"/>
          </w:tcPr>
          <w:p>
            <w:pPr>
              <w:spacing w:after="0" w:line="252" w:lineRule="auto"/>
            </w:pPr>
            <w:r>
              <w:rPr>
                <w:rFonts w:ascii="Aptos" w:hAnsi="Aptos"/>
                <w:b w:val="0"/>
                <w:i w:val="0"/>
                <w:color w:val="17213A"/>
                <w:sz w:val="17"/>
              </w:rPr>
              <w:t>Tenant</w:t>
            </w:r>
          </w:p>
        </w:tc>
        <w:tc>
          <w:tcPr>
            <w:tcW w:type="dxa" w:w="7460"/>
            <w:vAlign w:val="center"/>
          </w:tcPr>
          <w:p>
            <w:pPr>
              <w:spacing w:after="0" w:line="252" w:lineRule="auto"/>
            </w:pPr>
            <w:r>
              <w:rPr>
                <w:rFonts w:ascii="Aptos" w:hAnsi="Aptos"/>
                <w:b w:val="0"/>
                <w:i w:val="0"/>
                <w:color w:val="17213A"/>
                <w:sz w:val="17"/>
              </w:rPr>
              <w:t>An organisation-level configuration and data boundary on the shared platform.</w:t>
            </w:r>
          </w:p>
        </w:tc>
      </w:tr>
      <w:tr>
        <w:tc>
          <w:tcPr>
            <w:tcW w:type="dxa" w:w="1900"/>
            <w:vAlign w:val="center"/>
            <w:shd w:fill="F8F6F1"/>
          </w:tcPr>
          <w:p>
            <w:pPr>
              <w:spacing w:after="0" w:line="252" w:lineRule="auto"/>
            </w:pPr>
            <w:r>
              <w:rPr>
                <w:rFonts w:ascii="Aptos" w:hAnsi="Aptos"/>
                <w:b w:val="0"/>
                <w:i w:val="0"/>
                <w:color w:val="17213A"/>
                <w:sz w:val="17"/>
              </w:rPr>
              <w:t>Edition</w:t>
            </w:r>
          </w:p>
        </w:tc>
        <w:tc>
          <w:tcPr>
            <w:tcW w:type="dxa" w:w="7460"/>
            <w:vAlign w:val="center"/>
            <w:shd w:fill="F8F6F1"/>
          </w:tcPr>
          <w:p>
            <w:pPr>
              <w:spacing w:after="0" w:line="252" w:lineRule="auto"/>
            </w:pPr>
            <w:r>
              <w:rPr>
                <w:rFonts w:ascii="Aptos" w:hAnsi="Aptos"/>
                <w:b w:val="0"/>
                <w:i w:val="0"/>
                <w:color w:val="17213A"/>
                <w:sz w:val="17"/>
              </w:rPr>
              <w:t>A named, approved presentation of scripture layers associated with an organisation, translator, guru or scholarly authority.</w:t>
            </w:r>
          </w:p>
        </w:tc>
      </w:tr>
      <w:tr>
        <w:tc>
          <w:tcPr>
            <w:tcW w:type="dxa" w:w="1900"/>
            <w:vAlign w:val="center"/>
          </w:tcPr>
          <w:p>
            <w:pPr>
              <w:spacing w:after="0" w:line="252" w:lineRule="auto"/>
            </w:pPr>
            <w:r>
              <w:rPr>
                <w:rFonts w:ascii="Aptos" w:hAnsi="Aptos"/>
                <w:b w:val="0"/>
                <w:i w:val="0"/>
                <w:color w:val="17213A"/>
                <w:sz w:val="17"/>
              </w:rPr>
              <w:t>Programme</w:t>
            </w:r>
          </w:p>
        </w:tc>
        <w:tc>
          <w:tcPr>
            <w:tcW w:type="dxa" w:w="7460"/>
            <w:vAlign w:val="center"/>
          </w:tcPr>
          <w:p>
            <w:pPr>
              <w:spacing w:after="0" w:line="252" w:lineRule="auto"/>
            </w:pPr>
            <w:r>
              <w:rPr>
                <w:rFonts w:ascii="Aptos" w:hAnsi="Aptos"/>
                <w:b w:val="0"/>
                <w:i w:val="0"/>
                <w:color w:val="17213A"/>
                <w:sz w:val="17"/>
              </w:rPr>
              <w:t>A delivery configuration of a course for a particular audience/cohort.</w:t>
            </w:r>
          </w:p>
        </w:tc>
      </w:tr>
      <w:tr>
        <w:tc>
          <w:tcPr>
            <w:tcW w:type="dxa" w:w="1900"/>
            <w:vAlign w:val="center"/>
            <w:shd w:fill="F8F6F1"/>
          </w:tcPr>
          <w:p>
            <w:pPr>
              <w:spacing w:after="0" w:line="252" w:lineRule="auto"/>
            </w:pPr>
            <w:r>
              <w:rPr>
                <w:rFonts w:ascii="Aptos" w:hAnsi="Aptos"/>
                <w:b w:val="0"/>
                <w:i w:val="0"/>
                <w:color w:val="17213A"/>
                <w:sz w:val="17"/>
              </w:rPr>
              <w:t>White-label</w:t>
            </w:r>
          </w:p>
        </w:tc>
        <w:tc>
          <w:tcPr>
            <w:tcW w:type="dxa" w:w="7460"/>
            <w:vAlign w:val="center"/>
            <w:shd w:fill="F8F6F1"/>
          </w:tcPr>
          <w:p>
            <w:pPr>
              <w:spacing w:after="0" w:line="252" w:lineRule="auto"/>
            </w:pPr>
            <w:r>
              <w:rPr>
                <w:rFonts w:ascii="Aptos" w:hAnsi="Aptos"/>
                <w:b w:val="0"/>
                <w:i w:val="0"/>
                <w:color w:val="17213A"/>
                <w:sz w:val="17"/>
              </w:rPr>
              <w:t>Tenant-specific brand and operational configuration on the common platform; not an uncontrolled software fork.</w:t>
            </w:r>
          </w:p>
        </w:tc>
      </w:tr>
      <w:tr>
        <w:tc>
          <w:tcPr>
            <w:tcW w:type="dxa" w:w="1900"/>
            <w:vAlign w:val="center"/>
          </w:tcPr>
          <w:p>
            <w:pPr>
              <w:spacing w:after="0" w:line="252" w:lineRule="auto"/>
            </w:pPr>
            <w:r>
              <w:rPr>
                <w:rFonts w:ascii="Aptos" w:hAnsi="Aptos"/>
                <w:b w:val="0"/>
                <w:i w:val="0"/>
                <w:color w:val="17213A"/>
                <w:sz w:val="17"/>
              </w:rPr>
              <w:t>Source-aware</w:t>
            </w:r>
          </w:p>
        </w:tc>
        <w:tc>
          <w:tcPr>
            <w:tcW w:type="dxa" w:w="7460"/>
            <w:vAlign w:val="center"/>
          </w:tcPr>
          <w:p>
            <w:pPr>
              <w:spacing w:after="0" w:line="252" w:lineRule="auto"/>
            </w:pPr>
            <w:r>
              <w:rPr>
                <w:rFonts w:ascii="Aptos" w:hAnsi="Aptos"/>
                <w:b w:val="0"/>
                <w:i w:val="0"/>
                <w:color w:val="17213A"/>
                <w:sz w:val="17"/>
              </w:rPr>
              <w:t>The interface and data model distinguish original text, translation, commentary and learning explanation.</w:t>
            </w:r>
          </w:p>
        </w:tc>
      </w:tr>
      <w:tr>
        <w:tc>
          <w:tcPr>
            <w:tcW w:type="dxa" w:w="1900"/>
            <w:vAlign w:val="center"/>
            <w:shd w:fill="F8F6F1"/>
          </w:tcPr>
          <w:p>
            <w:pPr>
              <w:spacing w:after="0" w:line="252" w:lineRule="auto"/>
            </w:pPr>
            <w:r>
              <w:rPr>
                <w:rFonts w:ascii="Aptos" w:hAnsi="Aptos"/>
                <w:b w:val="0"/>
                <w:i w:val="0"/>
                <w:color w:val="17213A"/>
                <w:sz w:val="17"/>
              </w:rPr>
              <w:t>Mastery</w:t>
            </w:r>
          </w:p>
        </w:tc>
        <w:tc>
          <w:tcPr>
            <w:tcW w:type="dxa" w:w="7460"/>
            <w:vAlign w:val="center"/>
            <w:shd w:fill="F8F6F1"/>
          </w:tcPr>
          <w:p>
            <w:pPr>
              <w:spacing w:after="0" w:line="252" w:lineRule="auto"/>
            </w:pPr>
            <w:r>
              <w:rPr>
                <w:rFonts w:ascii="Aptos" w:hAnsi="Aptos"/>
                <w:b w:val="0"/>
                <w:i w:val="0"/>
                <w:color w:val="17213A"/>
                <w:sz w:val="17"/>
              </w:rPr>
              <w:t>Evidence that a learner meets an approved learning outcome; not merely content consumption.</w:t>
            </w:r>
          </w:p>
        </w:tc>
      </w:tr>
    </w:tbl>
    <w:p>
      <w:pPr>
        <w:spacing w:after="20"/>
      </w:pPr>
    </w:p>
    <w:p>
      <w:pPr>
        <w:sectPr>
          <w:pgSz w:w="12240" w:h="15840"/>
          <w:pgMar w:top="1440" w:right="1440" w:bottom="1440" w:left="1440" w:header="708" w:footer="708" w:gutter="0"/>
          <w:cols w:space="720"/>
          <w:docGrid w:linePitch="360"/>
        </w:sectPr>
      </w:pPr>
    </w:p>
    <w:p>
      <w:pPr>
        <w:spacing w:after="100"/>
      </w:pPr>
      <w:r>
        <w:rPr>
          <w:rFonts w:ascii="Aptos" w:hAnsi="Aptos"/>
          <w:b/>
          <w:i w:val="0"/>
          <w:caps/>
          <w:color w:val="D9832E"/>
          <w:sz w:val="16"/>
        </w:rPr>
        <w:t>CLOSING STATEMENT</w:t>
      </w:r>
    </w:p>
    <w:p>
      <w:pPr>
        <w:pStyle w:val="Heading1"/>
      </w:pPr>
      <w:r>
        <w:t>A platform worthy of the text and the learner</w:t>
      </w:r>
    </w:p>
    <w:p>
      <w:pPr>
        <w:spacing w:before="0"/>
      </w:pPr>
      <w:r>
        <w:rPr>
          <w:rFonts w:ascii="Aptos" w:hAnsi="Aptos"/>
          <w:b w:val="0"/>
          <w:i w:val="0"/>
          <w:color w:val="17213A"/>
          <w:sz w:val="21"/>
        </w:rPr>
        <w:t>The prototype already demonstrates a compelling design sensibility: respectful, calm, accessible and focused on learning. The full product should preserve that character while adding the less visible foundations that earn institutional trust—scholarly governance, rights management, tenant isolation, child safety, accessibility, reliable mobile/offline learning, meaningful assessment and operational excellence.</w:t>
      </w:r>
    </w:p>
    <w:p>
      <w:pPr>
        <w:spacing w:before="0"/>
      </w:pPr>
      <w:r>
        <w:rPr>
          <w:rFonts w:ascii="Aptos" w:hAnsi="Aptos"/>
          <w:b w:val="0"/>
          <w:i w:val="0"/>
          <w:color w:val="17213A"/>
          <w:sz w:val="21"/>
        </w:rPr>
        <w:t>The strongest long-term strategy is not to choose one translation for everyone. It is to create a trustworthy framework in which each approved organisation can present its own edition clearly, while every learner benefits from the same disciplined learning experience and technical quality.</w:t>
      </w:r>
    </w:p>
    <w:tbl>
      <w:tblPr>
        <w:tblW w:type="dxa" w:w="9360"/>
        <w:jc w:val="left"/>
        <w:tblLayout w:type="fixed"/>
        <w:tblLook w:firstColumn="1" w:firstRow="1" w:lastColumn="0" w:lastRow="0" w:noHBand="0" w:noVBand="1" w:val="04A0"/>
        <w:tblInd w:w="120" w:type="dxa"/>
        <w:tblBorders>
          <w:top w:val="single" w:sz="10" w:space="0" w:color="34805B"/>
          <w:left w:val="single" w:sz="10" w:space="0" w:color="34805B"/>
          <w:bottom w:val="single" w:sz="10" w:space="0" w:color="34805B"/>
          <w:right w:val="single" w:sz="10" w:space="0" w:color="34805B"/>
          <w:insideH w:val="single" w:sz="10" w:space="0" w:color="34805B"/>
          <w:insideV w:val="single" w:sz="10" w:space="0" w:color="34805B"/>
        </w:tblBorders>
      </w:tblPr>
      <w:tblGrid>
        <w:gridCol w:w="9360"/>
      </w:tblGrid>
      <w:tr>
        <w:trPr>
          <w:tblHeader/>
        </w:trPr>
        <w:tc>
          <w:tcPr>
            <w:tcW w:type="dxa" w:w="9360"/>
            <w:tcMar>
              <w:top w:w="100" w:type="dxa"/>
              <w:start w:w="120" w:type="dxa"/>
              <w:bottom w:w="100" w:type="dxa"/>
              <w:end w:w="120" w:type="dxa"/>
            </w:tcMar>
            <w:shd w:fill="E3F1E8"/>
            <w:vAlign w:val="center"/>
          </w:tcPr>
          <w:p>
            <w:pPr>
              <w:spacing w:after="0" w:line="269" w:lineRule="auto"/>
            </w:pPr>
            <w:r>
              <w:rPr>
                <w:rFonts w:ascii="Aptos" w:hAnsi="Aptos"/>
                <w:b/>
                <w:i w:val="0"/>
                <w:color w:val="34805B"/>
                <w:sz w:val="18"/>
              </w:rPr>
              <w:t xml:space="preserve">COMMISSIONING BRIEF: </w:t>
            </w:r>
            <w:r>
              <w:rPr>
                <w:rFonts w:ascii="Aptos" w:hAnsi="Aptos"/>
                <w:b w:val="0"/>
                <w:i w:val="0"/>
                <w:color w:val="17213A"/>
                <w:sz w:val="20"/>
              </w:rPr>
              <w:t>Select a development organisation that can operate as a product, learning, content and technology partner—not only a website agency. Begin with paid discovery, require evidence, and preserve Living Bliss ownership and portability from day one.</w:t>
            </w:r>
          </w:p>
        </w:tc>
      </w:tr>
    </w:tbl>
    <w:p>
      <w:pPr>
        <w:spacing w:after="40"/>
      </w:pPr>
    </w:p>
    <w:p>
      <w:pPr>
        <w:spacing w:before="600" w:after="0"/>
        <w:jc w:val="center"/>
      </w:pPr>
      <w:r>
        <w:rPr>
          <w:rFonts w:ascii="Aptos" w:hAnsi="Aptos"/>
          <w:b w:val="0"/>
          <w:i w:val="0"/>
          <w:color w:val="17213A"/>
          <w:sz w:val="21"/>
        </w:rPr>
        <w:t>END OF DOCUMENT</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6D7282"/>
        <w:sz w:val="17"/>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8" w:color="DDD3C1"/>
      </w:pBdr>
    </w:pPr>
    <w:r>
      <w:rPr>
        <w:rFonts w:ascii="Aptos" w:hAnsi="Aptos"/>
        <w:b/>
        <w:i w:val="0"/>
        <w:color w:val="18264F"/>
        <w:sz w:val="16"/>
      </w:rPr>
      <w:t>LIVING BLISS  |  BHAGAVAD GITA LEARNING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720"/>
        </w:tabs>
        <w:ind w:left="720" w:hanging="360"/>
      </w:pPr>
    </w:lvl>
  </w:abstractNum>
  <w:num w:numId="10">
    <w:abstractNumId w:val="9"/>
  </w:num>
  <w:abstractNum w:abstractNumId="10">
    <w:multiLevelType w:val="singleLevel"/>
    <w:lvl w:ilvl="0">
      <w:start w:val="1"/>
      <w:numFmt w:val="decimal"/>
      <w:lvlText w:val="%1."/>
      <w:lvlJc w:val="left"/>
      <w:pPr>
        <w:tabs>
          <w:tab w:val="num" w:pos="720"/>
        </w:tabs>
        <w:ind w:left="720" w:hanging="360"/>
      </w:pPr>
    </w:lvl>
  </w:abstractNum>
  <w:num w:numId="11">
    <w:abstractNumId w:val="10"/>
  </w:num>
  <w:abstractNum w:abstractNumId="11">
    <w:multiLevelType w:val="singleLevel"/>
    <w:lvl w:ilvl="0">
      <w:start w:val="1"/>
      <w:numFmt w:val="decimal"/>
      <w:lvlText w:val="%1."/>
      <w:lvlJc w:val="left"/>
      <w:pPr>
        <w:tabs>
          <w:tab w:val="num" w:pos="720"/>
        </w:tabs>
        <w:ind w:left="720" w:hanging="360"/>
      </w:pPr>
    </w:lvl>
  </w:abstractNum>
  <w:num w:numId="12">
    <w:abstractNumId w:val="11"/>
  </w:num>
  <w:abstractNum w:abstractNumId="12">
    <w:multiLevelType w:val="singleLevel"/>
    <w:lvl w:ilvl="0">
      <w:start w:val="1"/>
      <w:numFmt w:val="decimal"/>
      <w:lvlText w:val="%1."/>
      <w:lvlJc w:val="left"/>
      <w:pPr>
        <w:tabs>
          <w:tab w:val="num" w:pos="720"/>
        </w:tabs>
        <w:ind w:left="720" w:hanging="360"/>
      </w:pPr>
    </w:lvl>
  </w:abstractNum>
  <w:num w:numId="13">
    <w:abstractNumId w:val="12"/>
  </w:num>
  <w:abstractNum w:abstractNumId="13">
    <w:multiLevelType w:val="singleLevel"/>
    <w:lvl w:ilvl="0">
      <w:start w:val="1"/>
      <w:numFmt w:val="decimal"/>
      <w:lvlText w:val="%1."/>
      <w:lvlJc w:val="left"/>
      <w:pPr>
        <w:tabs>
          <w:tab w:val="num" w:pos="720"/>
        </w:tabs>
        <w:ind w:left="720" w:hanging="360"/>
      </w:pPr>
    </w:lvl>
  </w:abstractNum>
  <w:num w:numId="14">
    <w:abstractNumId w:val="13"/>
  </w:num>
  <w:abstractNum w:abstractNumId="14">
    <w:multiLevelType w:val="singleLevel"/>
    <w:lvl w:ilvl="0">
      <w:start w:val="1"/>
      <w:numFmt w:val="decimal"/>
      <w:lvlText w:val="%1."/>
      <w:lvlJc w:val="left"/>
      <w:pPr>
        <w:tabs>
          <w:tab w:val="num" w:pos="720"/>
        </w:tabs>
        <w:ind w:left="720" w:hanging="360"/>
      </w:pPr>
    </w:lvl>
  </w:abstract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color w:val="1721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18264F"/>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243B78"/>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2E746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8264F"/>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6D7282"/>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ind w:left="720" w:hanging="360"/>
      <w:contextualSpacing/>
    </w:pPr>
    <w:rPr>
      <w:rFonts w:ascii="Aptos" w:hAnsi="Aptos"/>
      <w:color w:val="17213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ind w:left="720" w:hanging="360"/>
      <w:contextualSpacing/>
    </w:pPr>
    <w:rPr>
      <w:rFonts w:ascii="Aptos" w:hAnsi="Aptos"/>
      <w:color w:val="17213A"/>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Bhagavad Gita Learning Platform — Product Design &amp; Delivery Blueprint</dc:title>
  <dc:subject>Vendor-ready product design specification for a multi-tenant web and mobile Bhagavad Gita learning platform</dc:subject>
  <dc:creator>Living Bliss</dc:creator>
  <cp:keywords>Bhagavad Gita, product design, learning platform, multi-tenant, web, mobile, schools</cp:keywords>
  <dc:description>Prepared from the Living Bliss Digital Library prototype and strategic requirements.</dc:description>
  <cp:lastModifiedBy/>
  <cp:revision>1</cp:revision>
  <dcterms:created xsi:type="dcterms:W3CDTF">2013-12-23T23:15:00Z</dcterms:created>
  <dcterms:modified xsi:type="dcterms:W3CDTF">2013-12-23T23:15:00Z</dcterms:modified>
  <cp:category/>
</cp:coreProperties>
</file>