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drawing>
          <wp:inline xmlns:a="http://schemas.openxmlformats.org/drawingml/2006/main" xmlns:pic="http://schemas.openxmlformats.org/drawingml/2006/picture">
            <wp:extent cx="960120" cy="426720"/>
            <wp:docPr id="1" name="Picture 1" title="Living Bliss logo" descr="Living Bliss organisation logo."/>
            <wp:cNvGraphicFramePr>
              <a:graphicFrameLocks noChangeAspect="1"/>
            </wp:cNvGraphicFramePr>
            <a:graphic>
              <a:graphicData uri="http://schemas.openxmlformats.org/drawingml/2006/picture">
                <pic:pic>
                  <pic:nvPicPr>
                    <pic:cNvPr id="0" name="living-bliss-logo-2026.png"/>
                    <pic:cNvPicPr/>
                  </pic:nvPicPr>
                  <pic:blipFill>
                    <a:blip r:embed="rId11"/>
                    <a:stretch>
                      <a:fillRect/>
                    </a:stretch>
                  </pic:blipFill>
                  <pic:spPr>
                    <a:xfrm>
                      <a:off x="0" y="0"/>
                      <a:ext cx="960120" cy="426720"/>
                    </a:xfrm>
                    <a:prstGeom prst="rect"/>
                  </pic:spPr>
                </pic:pic>
              </a:graphicData>
            </a:graphic>
          </wp:inline>
        </w:drawing>
      </w:r>
    </w:p>
    <w:p>
      <w:pPr>
        <w:pStyle w:val="LBKicker"/>
      </w:pPr>
      <w:r>
        <w:t>TECHNICAL DESIGN  •  FUTURE-STATE PLATFORM</w:t>
      </w:r>
    </w:p>
    <w:p>
      <w:pPr>
        <w:spacing w:before="0" w:after="140" w:line="240" w:lineRule="auto"/>
      </w:pPr>
      <w:r>
        <w:rPr>
          <w:rFonts w:ascii="Calibri" w:hAnsi="Calibri" w:eastAsia="Calibri"/>
          <w:b/>
          <w:color w:val="17264D"/>
          <w:sz w:val="54"/>
        </w:rPr>
        <w:t>Complete Database Architecture</w:t>
        <w:br/>
        <w:t>and Data Design</w:t>
      </w:r>
    </w:p>
    <w:p>
      <w:pPr>
        <w:spacing w:after="360"/>
      </w:pPr>
      <w:r>
        <w:rPr>
          <w:rFonts w:ascii="Calibri" w:hAnsi="Calibri" w:eastAsia="Calibri"/>
          <w:b/>
          <w:color w:val="2F6C67"/>
          <w:sz w:val="27"/>
        </w:rPr>
        <w:t>Living Bliss Digital Library and Bhagavad Gita Learning Platform</w:t>
      </w:r>
    </w:p>
    <w:p>
      <w:pPr>
        <w:pStyle w:val="LBMetadata"/>
      </w:pPr>
      <w:r>
        <w:rPr>
          <w:rFonts w:ascii="Calibri" w:hAnsi="Calibri" w:eastAsia="Calibri"/>
          <w:b/>
          <w:color w:val="17264D"/>
          <w:sz w:val="19"/>
        </w:rPr>
        <w:t xml:space="preserve">Prepared for:  </w:t>
      </w:r>
      <w:r>
        <w:rPr>
          <w:rFonts w:ascii="Calibri" w:hAnsi="Calibri" w:eastAsia="Calibri"/>
          <w:color w:val="5D6675"/>
          <w:sz w:val="19"/>
        </w:rPr>
        <w:t>Living Bliss and the appointed development organisation</w:t>
      </w:r>
    </w:p>
    <w:p>
      <w:pPr>
        <w:pStyle w:val="LBMetadata"/>
      </w:pPr>
      <w:r>
        <w:rPr>
          <w:rFonts w:ascii="Calibri" w:hAnsi="Calibri" w:eastAsia="Calibri"/>
          <w:b/>
          <w:color w:val="17264D"/>
          <w:sz w:val="19"/>
        </w:rPr>
        <w:t xml:space="preserve">Status:  </w:t>
      </w:r>
      <w:r>
        <w:rPr>
          <w:rFonts w:ascii="Calibri" w:hAnsi="Calibri" w:eastAsia="Calibri"/>
          <w:color w:val="5D6675"/>
          <w:sz w:val="19"/>
        </w:rPr>
        <w:t>Implementation-ready future-state design</w:t>
      </w:r>
    </w:p>
    <w:p>
      <w:pPr>
        <w:pStyle w:val="LBMetadata"/>
      </w:pPr>
      <w:r>
        <w:rPr>
          <w:rFonts w:ascii="Calibri" w:hAnsi="Calibri" w:eastAsia="Calibri"/>
          <w:b/>
          <w:color w:val="17264D"/>
          <w:sz w:val="19"/>
        </w:rPr>
        <w:t xml:space="preserve">Version:  </w:t>
      </w:r>
      <w:r>
        <w:rPr>
          <w:rFonts w:ascii="Calibri" w:hAnsi="Calibri" w:eastAsia="Calibri"/>
          <w:color w:val="5D6675"/>
          <w:sz w:val="19"/>
        </w:rPr>
        <w:t>1.0</w:t>
      </w:r>
    </w:p>
    <w:p>
      <w:pPr>
        <w:pStyle w:val="LBMetadata"/>
      </w:pPr>
      <w:r>
        <w:rPr>
          <w:rFonts w:ascii="Calibri" w:hAnsi="Calibri" w:eastAsia="Calibri"/>
          <w:b/>
          <w:color w:val="17264D"/>
          <w:sz w:val="19"/>
        </w:rPr>
        <w:t xml:space="preserve">Technology:  </w:t>
      </w:r>
      <w:r>
        <w:rPr>
          <w:rFonts w:ascii="Calibri" w:hAnsi="Calibri" w:eastAsia="Calibri"/>
          <w:color w:val="5D6675"/>
          <w:sz w:val="19"/>
        </w:rPr>
        <w:t>MySQL 8+ · utf8mb4 · Drizzle ORM</w:t>
      </w:r>
    </w:p>
    <w:p>
      <w:pPr>
        <w:pStyle w:val="LBMetadata"/>
      </w:pPr>
      <w:r>
        <w:rPr>
          <w:rFonts w:ascii="Calibri" w:hAnsi="Calibri" w:eastAsia="Calibri"/>
          <w:b/>
          <w:color w:val="17264D"/>
          <w:sz w:val="19"/>
        </w:rPr>
        <w:t xml:space="preserve">Date:  </w:t>
      </w:r>
      <w:r>
        <w:rPr>
          <w:rFonts w:ascii="Calibri" w:hAnsi="Calibri" w:eastAsia="Calibri"/>
          <w:color w:val="5D6675"/>
          <w:sz w:val="19"/>
        </w:rPr>
        <w:t>3 September 2026</w:t>
      </w:r>
    </w:p>
    <w:p>
      <w:pPr>
        <w:spacing w:before="200" w:after="320"/>
        <w:pBdr>
          <w:bottom w:val="single" w:sz="18" w:space="8" w:color="B66A26"/>
        </w:pBdr>
      </w:pPr>
    </w:p>
    <w:p>
      <w:pPr>
        <w:pStyle w:val="LBCallout"/>
        <w:shd w:fill="FBF0E2"/>
        <w:pBdr>
          <w:left w:val="single" w:sz="28" w:space="8" w:color="B66A26"/>
        </w:pBdr>
      </w:pPr>
      <w:r>
        <w:rPr>
          <w:rFonts w:ascii="Calibri" w:hAnsi="Calibri" w:eastAsia="Calibri"/>
          <w:b/>
          <w:color w:val="17264D"/>
          <w:sz w:val="20"/>
        </w:rPr>
        <w:t xml:space="preserve">Core architectural decision  </w:t>
      </w:r>
      <w:r>
        <w:rPr>
          <w:rFonts w:ascii="Calibri" w:hAnsi="Calibri" w:eastAsia="Calibri"/>
          <w:color w:val="273248"/>
          <w:sz w:val="20"/>
        </w:rPr>
        <w:t>Keep the canonical scripture, each organisation’s approved publication, the reusable curriculum and each learner’s private record separate. This enables Living Bliss, ISKCON, Chinmaya Mission, BAPS, schools and government programmes to use the same platform without overwriting one another’s texts, commentaries or policies.</w:t>
      </w:r>
    </w:p>
    <w:p>
      <w:r>
        <w:br w:type="page"/>
      </w:r>
    </w:p>
    <w:p>
      <w:pPr>
        <w:pStyle w:val="Heading1"/>
      </w:pPr>
      <w:r>
        <w:t>Document guide</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200"/>
        <w:gridCol w:w="7160"/>
      </w:tblGrid>
      <w:tr>
        <w:trPr>
          <w:tblHeader w:val="true"/>
        </w:trPr>
        <w:tc>
          <w:tcPr>
            <w:tcW w:type="dxa" w:w="2200"/>
            <w:tcMar>
              <w:top w:w="80" w:type="dxa"/>
              <w:start w:w="120" w:type="dxa"/>
              <w:bottom w:w="80" w:type="dxa"/>
              <w:end w:w="120" w:type="dxa"/>
            </w:tcMar>
            <w:vAlign w:val="center"/>
            <w:shd w:fill="17264D"/>
          </w:tcPr>
          <w:p>
            <w:pPr>
              <w:pStyle w:val="LBTable"/>
            </w:pPr>
            <w:r>
              <w:rPr>
                <w:rFonts w:ascii="Calibri" w:hAnsi="Calibri" w:eastAsia="Calibri"/>
                <w:b/>
                <w:color w:val="FFFFFF"/>
                <w:sz w:val="18"/>
              </w:rPr>
              <w:t>Section</w:t>
            </w:r>
          </w:p>
        </w:tc>
        <w:tc>
          <w:tcPr>
            <w:tcW w:type="dxa" w:w="7160"/>
            <w:tcMar>
              <w:top w:w="80" w:type="dxa"/>
              <w:start w:w="120" w:type="dxa"/>
              <w:bottom w:w="80" w:type="dxa"/>
              <w:end w:w="120" w:type="dxa"/>
            </w:tcMar>
            <w:vAlign w:val="center"/>
            <w:shd w:fill="17264D"/>
          </w:tcPr>
          <w:p>
            <w:pPr>
              <w:pStyle w:val="LBTable"/>
            </w:pPr>
            <w:r>
              <w:rPr>
                <w:rFonts w:ascii="Calibri" w:hAnsi="Calibri" w:eastAsia="Calibri"/>
                <w:b/>
                <w:color w:val="FFFFFF"/>
                <w:sz w:val="18"/>
              </w:rPr>
              <w:t>What it answers</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1–3</w:t>
            </w:r>
          </w:p>
        </w:tc>
        <w:tc>
          <w:tcPr>
            <w:tcW w:type="dxa" w:w="7160"/>
            <w:tcMar>
              <w:top w:w="80" w:type="dxa"/>
              <w:start w:w="120" w:type="dxa"/>
              <w:bottom w:w="80" w:type="dxa"/>
              <w:end w:w="120" w:type="dxa"/>
            </w:tcMar>
            <w:vAlign w:val="center"/>
          </w:tcPr>
          <w:p>
            <w:pPr>
              <w:pStyle w:val="LBTable"/>
            </w:pPr>
            <w:r>
              <w:rPr>
                <w:rFonts w:ascii="Calibri" w:hAnsi="Calibri" w:eastAsia="Calibri"/>
                <w:color w:val="273248"/>
                <w:sz w:val="18"/>
              </w:rPr>
              <w:t>Purpose, platform topology and design principles</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4–6</w:t>
            </w:r>
          </w:p>
        </w:tc>
        <w:tc>
          <w:tcPr>
            <w:tcW w:type="dxa" w:w="7160"/>
            <w:shd w:fill="F7F9FC"/>
            <w:tcMar>
              <w:top w:w="80" w:type="dxa"/>
              <w:start w:w="120" w:type="dxa"/>
              <w:bottom w:w="80" w:type="dxa"/>
              <w:end w:w="120" w:type="dxa"/>
            </w:tcMar>
            <w:vAlign w:val="center"/>
          </w:tcPr>
          <w:p>
            <w:pPr>
              <w:pStyle w:val="LBTable"/>
            </w:pPr>
            <w:r>
              <w:rPr>
                <w:rFonts w:ascii="Calibri" w:hAnsi="Calibri" w:eastAsia="Calibri"/>
                <w:color w:val="273248"/>
                <w:sz w:val="18"/>
              </w:rPr>
              <w:t>Organisation editions, scripture layers and bhāṣya</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7–9</w:t>
            </w:r>
          </w:p>
        </w:tc>
        <w:tc>
          <w:tcPr>
            <w:tcW w:type="dxa" w:w="7160"/>
            <w:tcMar>
              <w:top w:w="80" w:type="dxa"/>
              <w:start w:w="120" w:type="dxa"/>
              <w:bottom w:w="80" w:type="dxa"/>
              <w:end w:w="120" w:type="dxa"/>
            </w:tcMar>
            <w:vAlign w:val="center"/>
          </w:tcPr>
          <w:p>
            <w:pPr>
              <w:pStyle w:val="LBTable"/>
            </w:pPr>
            <w:r>
              <w:rPr>
                <w:rFonts w:ascii="Calibri" w:hAnsi="Calibri" w:eastAsia="Calibri"/>
                <w:color w:val="273248"/>
                <w:sz w:val="18"/>
              </w:rPr>
              <w:t>Curriculum, schools, assessment and future AI</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10–12</w:t>
            </w:r>
          </w:p>
        </w:tc>
        <w:tc>
          <w:tcPr>
            <w:tcW w:type="dxa" w:w="7160"/>
            <w:shd w:fill="F7F9FC"/>
            <w:tcMar>
              <w:top w:w="80" w:type="dxa"/>
              <w:start w:w="120" w:type="dxa"/>
              <w:bottom w:w="80" w:type="dxa"/>
              <w:end w:w="120" w:type="dxa"/>
            </w:tcMar>
            <w:vAlign w:val="center"/>
          </w:tcPr>
          <w:p>
            <w:pPr>
              <w:pStyle w:val="LBTable"/>
            </w:pPr>
            <w:r>
              <w:rPr>
                <w:rFonts w:ascii="Calibri" w:hAnsi="Calibri" w:eastAsia="Calibri"/>
                <w:color w:val="273248"/>
                <w:sz w:val="18"/>
              </w:rPr>
              <w:t>Complete table catalogue, indexes, security and privacy</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13–16</w:t>
            </w:r>
          </w:p>
        </w:tc>
        <w:tc>
          <w:tcPr>
            <w:tcW w:type="dxa" w:w="7160"/>
            <w:tcMar>
              <w:top w:w="80" w:type="dxa"/>
              <w:start w:w="120" w:type="dxa"/>
              <w:bottom w:w="80" w:type="dxa"/>
              <w:end w:w="120" w:type="dxa"/>
            </w:tcMar>
            <w:vAlign w:val="center"/>
          </w:tcPr>
          <w:p>
            <w:pPr>
              <w:pStyle w:val="LBTable"/>
            </w:pPr>
            <w:r>
              <w:rPr>
                <w:rFonts w:ascii="Calibri" w:hAnsi="Calibri" w:eastAsia="Calibri"/>
                <w:color w:val="273248"/>
                <w:sz w:val="18"/>
              </w:rPr>
              <w:t>Recovery, rollout, delivery artefacts and decisions</w:t>
            </w:r>
          </w:p>
        </w:tc>
      </w:tr>
    </w:tbl>
    <w:p>
      <w:pPr>
        <w:spacing w:after="40"/>
      </w:pPr>
    </w:p>
    <w:p>
      <w:pPr>
        <w:pStyle w:val="LBCallout"/>
        <w:shd w:fill="E8EEF5"/>
        <w:pBdr>
          <w:left w:val="single" w:sz="28" w:space="8" w:color="2E5B9A"/>
        </w:pBdr>
      </w:pPr>
      <w:r>
        <w:rPr>
          <w:rFonts w:ascii="Calibri" w:hAnsi="Calibri" w:eastAsia="Calibri"/>
          <w:b/>
          <w:color w:val="17264D"/>
          <w:sz w:val="20"/>
        </w:rPr>
        <w:t xml:space="preserve">Reading note  </w:t>
      </w:r>
      <w:r>
        <w:rPr>
          <w:rFonts w:ascii="Calibri" w:hAnsi="Calibri" w:eastAsia="Calibri"/>
          <w:color w:val="273248"/>
          <w:sz w:val="20"/>
        </w:rPr>
        <w:t>The main body explains the operational model. The table catalogue is a lookup section; the generated migration and Drizzle schema remain the column-level source of truth.</w:t>
      </w:r>
    </w:p>
    <w:p>
      <w:pPr>
        <w:pStyle w:val="Heading1"/>
      </w:pPr>
      <w:r>
        <w:t>1. Executive summary</w:t>
      </w:r>
    </w:p>
    <w:p>
      <w:r>
        <w:t>This design provides the complete relational foundation for the Living Bliss Digital Library and Bhagavad Gita learning platform. It supports the canonical scripture, multilingual script renderings, Sandhi-vicheda, word meanings, translations, scene/context notes, selectable guru commentary, reusable curricula, schools and cohorts, learner progress, assessments, media, content rights and future citation-first AI tools.</w:t>
      </w:r>
    </w:p>
    <w:p>
      <w:r>
        <w:t>The design is additive. It preserves the current authentication model and working prototype. The existing learner_states record remains temporarily as a compatibility projection while the application migrates to normalized enrolment, lesson progress, verse progress and assessment records.</w:t>
      </w:r>
    </w:p>
    <w:p>
      <w:pPr>
        <w:numPr>
          <w:ilvl w:val="0"/>
          <w:numId w:val="50"/>
        </w:numPr>
        <w:spacing w:after="80" w:line="300" w:lineRule="auto"/>
      </w:pPr>
      <w:r>
        <w:t>One stable identity for each canonical verse, independent of translation or organisation.</w:t>
      </w:r>
    </w:p>
    <w:p>
      <w:pPr>
        <w:numPr>
          <w:ilvl w:val="0"/>
          <w:numId w:val="50"/>
        </w:numPr>
        <w:spacing w:after="80" w:line="300" w:lineRule="auto"/>
      </w:pPr>
      <w:r>
        <w:t>Explicit organisation-owned editions and immutable publication releases.</w:t>
      </w:r>
    </w:p>
    <w:p>
      <w:pPr>
        <w:numPr>
          <w:ilvl w:val="0"/>
          <w:numId w:val="50"/>
        </w:numPr>
        <w:spacing w:after="80" w:line="300" w:lineRule="auto"/>
      </w:pPr>
      <w:r>
        <w:t>Independent language and script selection, including Sanskrit rendered in Devanagari, Odia or Latin.</w:t>
      </w:r>
    </w:p>
    <w:p>
      <w:pPr>
        <w:numPr>
          <w:ilvl w:val="0"/>
          <w:numId w:val="50"/>
        </w:numPr>
        <w:spacing w:after="80" w:line="300" w:lineRule="auto"/>
      </w:pPr>
      <w:r>
        <w:t>A profile-based mechanism for Living Bliss, ISKCON, Chinmaya Mission, BAPS, schools or government programmes to select approved content.</w:t>
      </w:r>
    </w:p>
    <w:p>
      <w:pPr>
        <w:numPr>
          <w:ilvl w:val="0"/>
          <w:numId w:val="50"/>
        </w:numPr>
        <w:spacing w:after="80" w:line="300" w:lineRule="auto"/>
      </w:pPr>
      <w:r>
        <w:t>Rights, source, version, review and retraction state retained with every production content layer.</w:t>
      </w:r>
    </w:p>
    <w:p>
      <w:pPr>
        <w:numPr>
          <w:ilvl w:val="0"/>
          <w:numId w:val="50"/>
        </w:numPr>
        <w:spacing w:after="80" w:line="300" w:lineRule="auto"/>
      </w:pPr>
      <w:r>
        <w:t>Tenant-scoped AI retrieval that can cite approved sources but cannot author canonical scripture.</w:t>
      </w:r>
    </w:p>
    <w:p>
      <w:pPr>
        <w:pStyle w:val="Heading1"/>
      </w:pPr>
      <w:r>
        <w:t>2. Data-platform topology</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450"/>
        <w:gridCol w:w="2250"/>
        <w:gridCol w:w="4660"/>
      </w:tblGrid>
      <w:tr>
        <w:trPr>
          <w:tblHeader w:val="true"/>
        </w:trPr>
        <w:tc>
          <w:tcPr>
            <w:tcW w:type="dxa" w:w="2450"/>
            <w:tcMar>
              <w:top w:w="80" w:type="dxa"/>
              <w:start w:w="120" w:type="dxa"/>
              <w:bottom w:w="80" w:type="dxa"/>
              <w:end w:w="120" w:type="dxa"/>
            </w:tcMar>
            <w:vAlign w:val="center"/>
            <w:shd w:fill="17264D"/>
          </w:tcPr>
          <w:p>
            <w:pPr>
              <w:pStyle w:val="LBTable"/>
            </w:pPr>
            <w:r>
              <w:rPr>
                <w:rFonts w:ascii="Calibri" w:hAnsi="Calibri" w:eastAsia="Calibri"/>
                <w:b/>
                <w:color w:val="FFFFFF"/>
                <w:sz w:val="18"/>
              </w:rPr>
              <w:t>Data class</w:t>
            </w:r>
          </w:p>
        </w:tc>
        <w:tc>
          <w:tcPr>
            <w:tcW w:type="dxa" w:w="2250"/>
            <w:tcMar>
              <w:top w:w="80" w:type="dxa"/>
              <w:start w:w="120" w:type="dxa"/>
              <w:bottom w:w="80" w:type="dxa"/>
              <w:end w:w="120" w:type="dxa"/>
            </w:tcMar>
            <w:vAlign w:val="center"/>
            <w:shd w:fill="17264D"/>
          </w:tcPr>
          <w:p>
            <w:pPr>
              <w:pStyle w:val="LBTable"/>
            </w:pPr>
            <w:r>
              <w:rPr>
                <w:rFonts w:ascii="Calibri" w:hAnsi="Calibri" w:eastAsia="Calibri"/>
                <w:b/>
                <w:color w:val="FFFFFF"/>
                <w:sz w:val="18"/>
              </w:rPr>
              <w:t>System of record</w:t>
            </w:r>
          </w:p>
        </w:tc>
        <w:tc>
          <w:tcPr>
            <w:tcW w:type="dxa" w:w="4660"/>
            <w:tcMar>
              <w:top w:w="80" w:type="dxa"/>
              <w:start w:w="120" w:type="dxa"/>
              <w:bottom w:w="80" w:type="dxa"/>
              <w:end w:w="120" w:type="dxa"/>
            </w:tcMar>
            <w:vAlign w:val="center"/>
            <w:shd w:fill="17264D"/>
          </w:tcPr>
          <w:p>
            <w:pPr>
              <w:pStyle w:val="LBTable"/>
            </w:pPr>
            <w:r>
              <w:rPr>
                <w:rFonts w:ascii="Calibri" w:hAnsi="Calibri" w:eastAsia="Calibri"/>
                <w:b/>
                <w:color w:val="FFFFFF"/>
                <w:sz w:val="18"/>
              </w:rPr>
              <w:t>Reason</w:t>
            </w:r>
          </w:p>
        </w:tc>
      </w:tr>
      <w:tr>
        <w:trPr>
          <w:cantSplit/>
        </w:trPr>
        <w:tc>
          <w:tcPr>
            <w:tcW w:type="dxa" w:w="2450"/>
            <w:tcMar>
              <w:top w:w="80" w:type="dxa"/>
              <w:start w:w="120" w:type="dxa"/>
              <w:bottom w:w="80" w:type="dxa"/>
              <w:end w:w="120" w:type="dxa"/>
            </w:tcMar>
            <w:vAlign w:val="center"/>
          </w:tcPr>
          <w:p>
            <w:pPr>
              <w:pStyle w:val="LBTable"/>
            </w:pPr>
            <w:r>
              <w:rPr>
                <w:rFonts w:ascii="Calibri" w:hAnsi="Calibri" w:eastAsia="Calibri"/>
                <w:b/>
                <w:color w:val="17264D"/>
                <w:sz w:val="18"/>
              </w:rPr>
              <w:t>Structured platform data</w:t>
            </w:r>
          </w:p>
        </w:tc>
        <w:tc>
          <w:tcPr>
            <w:tcW w:type="dxa" w:w="2250"/>
            <w:tcMar>
              <w:top w:w="80" w:type="dxa"/>
              <w:start w:w="120" w:type="dxa"/>
              <w:bottom w:w="80" w:type="dxa"/>
              <w:end w:w="120" w:type="dxa"/>
            </w:tcMar>
            <w:vAlign w:val="center"/>
          </w:tcPr>
          <w:p>
            <w:pPr>
              <w:pStyle w:val="LBTable"/>
            </w:pPr>
            <w:r>
              <w:rPr>
                <w:rFonts w:ascii="Calibri" w:hAnsi="Calibri" w:eastAsia="Calibri"/>
                <w:color w:val="273248"/>
                <w:sz w:val="18"/>
              </w:rPr>
              <w:t>MySQL 8+</w:t>
            </w:r>
          </w:p>
        </w:tc>
        <w:tc>
          <w:tcPr>
            <w:tcW w:type="dxa" w:w="4660"/>
            <w:tcMar>
              <w:top w:w="80" w:type="dxa"/>
              <w:start w:w="120" w:type="dxa"/>
              <w:bottom w:w="80" w:type="dxa"/>
              <w:end w:w="120" w:type="dxa"/>
            </w:tcMar>
            <w:vAlign w:val="center"/>
          </w:tcPr>
          <w:p>
            <w:pPr>
              <w:pStyle w:val="LBTable"/>
            </w:pPr>
            <w:r>
              <w:rPr>
                <w:rFonts w:ascii="Calibri" w:hAnsi="Calibri" w:eastAsia="Calibri"/>
                <w:color w:val="273248"/>
                <w:sz w:val="18"/>
              </w:rPr>
              <w:t>Transactions, joins, foreign keys and reporting.</w:t>
            </w:r>
          </w:p>
        </w:tc>
      </w:tr>
      <w:tr>
        <w:trPr>
          <w:cantSplit/>
        </w:trPr>
        <w:tc>
          <w:tcPr>
            <w:tcW w:type="dxa" w:w="2450"/>
            <w:shd w:fill="F7F9FC"/>
            <w:tcMar>
              <w:top w:w="80" w:type="dxa"/>
              <w:start w:w="120" w:type="dxa"/>
              <w:bottom w:w="80" w:type="dxa"/>
              <w:end w:w="120" w:type="dxa"/>
            </w:tcMar>
            <w:vAlign w:val="center"/>
          </w:tcPr>
          <w:p>
            <w:pPr>
              <w:pStyle w:val="LBTable"/>
            </w:pPr>
            <w:r>
              <w:rPr>
                <w:rFonts w:ascii="Calibri" w:hAnsi="Calibri" w:eastAsia="Calibri"/>
                <w:b/>
                <w:color w:val="17264D"/>
                <w:sz w:val="18"/>
              </w:rPr>
              <w:t>Scripture and learning text</w:t>
            </w:r>
          </w:p>
        </w:tc>
        <w:tc>
          <w:tcPr>
            <w:tcW w:type="dxa" w:w="2250"/>
            <w:shd w:fill="F7F9FC"/>
            <w:tcMar>
              <w:top w:w="80" w:type="dxa"/>
              <w:start w:w="120" w:type="dxa"/>
              <w:bottom w:w="80" w:type="dxa"/>
              <w:end w:w="120" w:type="dxa"/>
            </w:tcMar>
            <w:vAlign w:val="center"/>
          </w:tcPr>
          <w:p>
            <w:pPr>
              <w:pStyle w:val="LBTable"/>
            </w:pPr>
            <w:r>
              <w:rPr>
                <w:rFonts w:ascii="Calibri" w:hAnsi="Calibri" w:eastAsia="Calibri"/>
                <w:color w:val="273248"/>
                <w:sz w:val="18"/>
              </w:rPr>
              <w:t>MySQL 8+</w:t>
            </w:r>
          </w:p>
        </w:tc>
        <w:tc>
          <w:tcPr>
            <w:tcW w:type="dxa" w:w="4660"/>
            <w:shd w:fill="F7F9FC"/>
            <w:tcMar>
              <w:top w:w="80" w:type="dxa"/>
              <w:start w:w="120" w:type="dxa"/>
              <w:bottom w:w="80" w:type="dxa"/>
              <w:end w:w="120" w:type="dxa"/>
            </w:tcMar>
            <w:vAlign w:val="center"/>
          </w:tcPr>
          <w:p>
            <w:pPr>
              <w:pStyle w:val="LBTable"/>
            </w:pPr>
            <w:r>
              <w:rPr>
                <w:rFonts w:ascii="Calibri" w:hAnsi="Calibri" w:eastAsia="Calibri"/>
                <w:color w:val="273248"/>
                <w:sz w:val="18"/>
              </w:rPr>
              <w:t>Multilingual retrieval, edition control and provenance.</w:t>
            </w:r>
          </w:p>
        </w:tc>
      </w:tr>
      <w:tr>
        <w:trPr>
          <w:cantSplit/>
        </w:trPr>
        <w:tc>
          <w:tcPr>
            <w:tcW w:type="dxa" w:w="2450"/>
            <w:tcMar>
              <w:top w:w="80" w:type="dxa"/>
              <w:start w:w="120" w:type="dxa"/>
              <w:bottom w:w="80" w:type="dxa"/>
              <w:end w:w="120" w:type="dxa"/>
            </w:tcMar>
            <w:vAlign w:val="center"/>
          </w:tcPr>
          <w:p>
            <w:pPr>
              <w:pStyle w:val="LBTable"/>
            </w:pPr>
            <w:r>
              <w:rPr>
                <w:rFonts w:ascii="Calibri" w:hAnsi="Calibri" w:eastAsia="Calibri"/>
                <w:b/>
                <w:color w:val="17264D"/>
                <w:sz w:val="18"/>
              </w:rPr>
              <w:t>Audio, video, images and PDFs</w:t>
            </w:r>
          </w:p>
        </w:tc>
        <w:tc>
          <w:tcPr>
            <w:tcW w:type="dxa" w:w="2250"/>
            <w:tcMar>
              <w:top w:w="80" w:type="dxa"/>
              <w:start w:w="120" w:type="dxa"/>
              <w:bottom w:w="80" w:type="dxa"/>
              <w:end w:w="120" w:type="dxa"/>
            </w:tcMar>
            <w:vAlign w:val="center"/>
          </w:tcPr>
          <w:p>
            <w:pPr>
              <w:pStyle w:val="LBTable"/>
            </w:pPr>
            <w:r>
              <w:rPr>
                <w:rFonts w:ascii="Calibri" w:hAnsi="Calibri" w:eastAsia="Calibri"/>
                <w:color w:val="273248"/>
                <w:sz w:val="18"/>
              </w:rPr>
              <w:t>Object storage</w:t>
            </w:r>
          </w:p>
        </w:tc>
        <w:tc>
          <w:tcPr>
            <w:tcW w:type="dxa" w:w="4660"/>
            <w:tcMar>
              <w:top w:w="80" w:type="dxa"/>
              <w:start w:w="120" w:type="dxa"/>
              <w:bottom w:w="80" w:type="dxa"/>
              <w:end w:w="120" w:type="dxa"/>
            </w:tcMar>
            <w:vAlign w:val="center"/>
          </w:tcPr>
          <w:p>
            <w:pPr>
              <w:pStyle w:val="LBTable"/>
            </w:pPr>
            <w:r>
              <w:rPr>
                <w:rFonts w:ascii="Calibri" w:hAnsi="Calibri" w:eastAsia="Calibri"/>
                <w:color w:val="273248"/>
                <w:sz w:val="18"/>
              </w:rPr>
              <w:t>Large binary objects remain outside the relational database.</w:t>
            </w:r>
          </w:p>
        </w:tc>
      </w:tr>
      <w:tr>
        <w:trPr>
          <w:cantSplit/>
        </w:trPr>
        <w:tc>
          <w:tcPr>
            <w:tcW w:type="dxa" w:w="2450"/>
            <w:shd w:fill="F7F9FC"/>
            <w:tcMar>
              <w:top w:w="80" w:type="dxa"/>
              <w:start w:w="120" w:type="dxa"/>
              <w:bottom w:w="80" w:type="dxa"/>
              <w:end w:w="120" w:type="dxa"/>
            </w:tcMar>
            <w:vAlign w:val="center"/>
          </w:tcPr>
          <w:p>
            <w:pPr>
              <w:pStyle w:val="LBTable"/>
            </w:pPr>
            <w:r>
              <w:rPr>
                <w:rFonts w:ascii="Calibri" w:hAnsi="Calibri" w:eastAsia="Calibri"/>
                <w:b/>
                <w:color w:val="17264D"/>
                <w:sz w:val="18"/>
              </w:rPr>
              <w:t>AI passage metadata</w:t>
            </w:r>
          </w:p>
        </w:tc>
        <w:tc>
          <w:tcPr>
            <w:tcW w:type="dxa" w:w="2250"/>
            <w:shd w:fill="F7F9FC"/>
            <w:tcMar>
              <w:top w:w="80" w:type="dxa"/>
              <w:start w:w="120" w:type="dxa"/>
              <w:bottom w:w="80" w:type="dxa"/>
              <w:end w:w="120" w:type="dxa"/>
            </w:tcMar>
            <w:vAlign w:val="center"/>
          </w:tcPr>
          <w:p>
            <w:pPr>
              <w:pStyle w:val="LBTable"/>
            </w:pPr>
            <w:r>
              <w:rPr>
                <w:rFonts w:ascii="Calibri" w:hAnsi="Calibri" w:eastAsia="Calibri"/>
                <w:color w:val="273248"/>
                <w:sz w:val="18"/>
              </w:rPr>
              <w:t>MySQL 8+</w:t>
            </w:r>
          </w:p>
        </w:tc>
        <w:tc>
          <w:tcPr>
            <w:tcW w:type="dxa" w:w="4660"/>
            <w:shd w:fill="F7F9FC"/>
            <w:tcMar>
              <w:top w:w="80" w:type="dxa"/>
              <w:start w:w="120" w:type="dxa"/>
              <w:bottom w:w="80" w:type="dxa"/>
              <w:end w:w="120" w:type="dxa"/>
            </w:tcMar>
            <w:vAlign w:val="center"/>
          </w:tcPr>
          <w:p>
            <w:pPr>
              <w:pStyle w:val="LBTable"/>
            </w:pPr>
            <w:r>
              <w:rPr>
                <w:rFonts w:ascii="Calibri" w:hAnsi="Calibri" w:eastAsia="Calibri"/>
                <w:color w:val="273248"/>
                <w:sz w:val="18"/>
              </w:rPr>
              <w:t>Rights, language, edition, checksum and retraction remain authoritative.</w:t>
            </w:r>
          </w:p>
        </w:tc>
      </w:tr>
      <w:tr>
        <w:trPr>
          <w:cantSplit/>
        </w:trPr>
        <w:tc>
          <w:tcPr>
            <w:tcW w:type="dxa" w:w="2450"/>
            <w:tcMar>
              <w:top w:w="80" w:type="dxa"/>
              <w:start w:w="120" w:type="dxa"/>
              <w:bottom w:w="80" w:type="dxa"/>
              <w:end w:w="120" w:type="dxa"/>
            </w:tcMar>
            <w:vAlign w:val="center"/>
          </w:tcPr>
          <w:p>
            <w:pPr>
              <w:pStyle w:val="LBTable"/>
            </w:pPr>
            <w:r>
              <w:rPr>
                <w:rFonts w:ascii="Calibri" w:hAnsi="Calibri" w:eastAsia="Calibri"/>
                <w:b/>
                <w:color w:val="17264D"/>
                <w:sz w:val="18"/>
              </w:rPr>
              <w:t>Semantic embeddings</w:t>
            </w:r>
          </w:p>
        </w:tc>
        <w:tc>
          <w:tcPr>
            <w:tcW w:type="dxa" w:w="2250"/>
            <w:tcMar>
              <w:top w:w="80" w:type="dxa"/>
              <w:start w:w="120" w:type="dxa"/>
              <w:bottom w:w="80" w:type="dxa"/>
              <w:end w:w="120" w:type="dxa"/>
            </w:tcMar>
            <w:vAlign w:val="center"/>
          </w:tcPr>
          <w:p>
            <w:pPr>
              <w:pStyle w:val="LBTable"/>
            </w:pPr>
            <w:r>
              <w:rPr>
                <w:rFonts w:ascii="Calibri" w:hAnsi="Calibri" w:eastAsia="Calibri"/>
                <w:color w:val="273248"/>
                <w:sz w:val="18"/>
              </w:rPr>
              <w:t>Tenant-partitioned vector index</w:t>
            </w:r>
          </w:p>
        </w:tc>
        <w:tc>
          <w:tcPr>
            <w:tcW w:type="dxa" w:w="4660"/>
            <w:tcMar>
              <w:top w:w="80" w:type="dxa"/>
              <w:start w:w="120" w:type="dxa"/>
              <w:bottom w:w="80" w:type="dxa"/>
              <w:end w:w="120" w:type="dxa"/>
            </w:tcMar>
            <w:vAlign w:val="center"/>
          </w:tcPr>
          <w:p>
            <w:pPr>
              <w:pStyle w:val="LBTable"/>
            </w:pPr>
            <w:r>
              <w:rPr>
                <w:rFonts w:ascii="Calibri" w:hAnsi="Calibri" w:eastAsia="Calibri"/>
                <w:color w:val="273248"/>
                <w:sz w:val="18"/>
              </w:rPr>
              <w:t>Similarity search; MySQL stores the external reference.</w:t>
            </w:r>
          </w:p>
        </w:tc>
      </w:tr>
      <w:tr>
        <w:trPr>
          <w:cantSplit/>
        </w:trPr>
        <w:tc>
          <w:tcPr>
            <w:tcW w:type="dxa" w:w="2450"/>
            <w:shd w:fill="F7F9FC"/>
            <w:tcMar>
              <w:top w:w="80" w:type="dxa"/>
              <w:start w:w="120" w:type="dxa"/>
              <w:bottom w:w="80" w:type="dxa"/>
              <w:end w:w="120" w:type="dxa"/>
            </w:tcMar>
            <w:vAlign w:val="center"/>
          </w:tcPr>
          <w:p>
            <w:pPr>
              <w:pStyle w:val="LBTable"/>
            </w:pPr>
            <w:r>
              <w:rPr>
                <w:rFonts w:ascii="Calibri" w:hAnsi="Calibri" w:eastAsia="Calibri"/>
                <w:b/>
                <w:color w:val="17264D"/>
                <w:sz w:val="18"/>
              </w:rPr>
              <w:t>Credentials and encryption keys</w:t>
            </w:r>
          </w:p>
        </w:tc>
        <w:tc>
          <w:tcPr>
            <w:tcW w:type="dxa" w:w="2250"/>
            <w:shd w:fill="F7F9FC"/>
            <w:tcMar>
              <w:top w:w="80" w:type="dxa"/>
              <w:start w:w="120" w:type="dxa"/>
              <w:bottom w:w="80" w:type="dxa"/>
              <w:end w:w="120" w:type="dxa"/>
            </w:tcMar>
            <w:vAlign w:val="center"/>
          </w:tcPr>
          <w:p>
            <w:pPr>
              <w:pStyle w:val="LBTable"/>
            </w:pPr>
            <w:r>
              <w:rPr>
                <w:rFonts w:ascii="Calibri" w:hAnsi="Calibri" w:eastAsia="Calibri"/>
                <w:color w:val="273248"/>
                <w:sz w:val="18"/>
              </w:rPr>
              <w:t>Secret manager</w:t>
            </w:r>
          </w:p>
        </w:tc>
        <w:tc>
          <w:tcPr>
            <w:tcW w:type="dxa" w:w="4660"/>
            <w:shd w:fill="F7F9FC"/>
            <w:tcMar>
              <w:top w:w="80" w:type="dxa"/>
              <w:start w:w="120" w:type="dxa"/>
              <w:bottom w:w="80" w:type="dxa"/>
              <w:end w:w="120" w:type="dxa"/>
            </w:tcMar>
            <w:vAlign w:val="center"/>
          </w:tcPr>
          <w:p>
            <w:pPr>
              <w:pStyle w:val="LBTable"/>
            </w:pPr>
            <w:r>
              <w:rPr>
                <w:rFonts w:ascii="Calibri" w:hAnsi="Calibri" w:eastAsia="Calibri"/>
                <w:color w:val="273248"/>
                <w:sz w:val="18"/>
              </w:rPr>
              <w:t>Secrets never belong in application content tables.</w:t>
            </w:r>
          </w:p>
        </w:tc>
      </w:tr>
    </w:tbl>
    <w:p>
      <w:pPr>
        <w:spacing w:after="40"/>
      </w:pPr>
    </w:p>
    <w:p>
      <w:pPr>
        <w:spacing w:after="60"/>
        <w:jc w:val="center"/>
      </w:pPr>
      <w:r>
        <w:drawing>
          <wp:inline xmlns:a="http://schemas.openxmlformats.org/drawingml/2006/main" xmlns:pic="http://schemas.openxmlformats.org/drawingml/2006/picture">
            <wp:extent cx="5943600" cy="3434080"/>
            <wp:docPr id="2" name="Picture 2" title="Living Bliss data-domain map" descr="Five connected domains: tenant and profile, scripture and editions, course and school, learner records, and AI and governance."/>
            <wp:cNvGraphicFramePr>
              <a:graphicFrameLocks noChangeAspect="1"/>
            </wp:cNvGraphicFramePr>
            <a:graphic>
              <a:graphicData uri="http://schemas.openxmlformats.org/drawingml/2006/picture">
                <pic:pic>
                  <pic:nvPicPr>
                    <pic:cNvPr id="0" name="data-domain-map.png"/>
                    <pic:cNvPicPr/>
                  </pic:nvPicPr>
                  <pic:blipFill>
                    <a:blip r:embed="rId12"/>
                    <a:stretch>
                      <a:fillRect/>
                    </a:stretch>
                  </pic:blipFill>
                  <pic:spPr>
                    <a:xfrm>
                      <a:off x="0" y="0"/>
                      <a:ext cx="5943600" cy="3434080"/>
                    </a:xfrm>
                    <a:prstGeom prst="rect"/>
                  </pic:spPr>
                </pic:pic>
              </a:graphicData>
            </a:graphic>
          </wp:inline>
        </w:drawing>
      </w:r>
    </w:p>
    <w:p>
      <w:pPr>
        <w:pStyle w:val="LBCaption"/>
        <w:jc w:val="center"/>
      </w:pPr>
      <w:r>
        <w:t>Figure 1. The organisation publication profile is the control point for content, curriculum and policy.</w:t>
      </w:r>
    </w:p>
    <w:p>
      <w:pPr>
        <w:pStyle w:val="Heading1"/>
      </w:pPr>
      <w:r>
        <w:t>3. Design principles</w:t>
      </w:r>
    </w:p>
    <w:p>
      <w:pPr>
        <w:numPr>
          <w:ilvl w:val="0"/>
          <w:numId w:val="51"/>
        </w:numPr>
        <w:spacing w:after="80" w:line="300" w:lineRule="auto"/>
      </w:pPr>
      <w:r>
        <w:t>Canonical identity is global; interpretation is versioned.</w:t>
      </w:r>
    </w:p>
    <w:p>
      <w:pPr>
        <w:numPr>
          <w:ilvl w:val="0"/>
          <w:numId w:val="51"/>
        </w:numPr>
        <w:spacing w:after="80" w:line="300" w:lineRule="auto"/>
      </w:pPr>
      <w:r>
        <w:t>Every organisation is isolated by server-resolved tenant context.</w:t>
      </w:r>
    </w:p>
    <w:p>
      <w:pPr>
        <w:numPr>
          <w:ilvl w:val="0"/>
          <w:numId w:val="51"/>
        </w:numPr>
        <w:spacing w:after="80" w:line="300" w:lineRule="auto"/>
      </w:pPr>
      <w:r>
        <w:t>Language and writing script are modeled as different dimensions.</w:t>
      </w:r>
    </w:p>
    <w:p>
      <w:pPr>
        <w:numPr>
          <w:ilvl w:val="0"/>
          <w:numId w:val="51"/>
        </w:numPr>
        <w:spacing w:after="80" w:line="300" w:lineRule="auto"/>
      </w:pPr>
      <w:r>
        <w:t>Published scripture, commentary and curriculum releases are immutable.</w:t>
      </w:r>
    </w:p>
    <w:p>
      <w:pPr>
        <w:numPr>
          <w:ilvl w:val="0"/>
          <w:numId w:val="51"/>
        </w:numPr>
        <w:spacing w:after="80" w:line="300" w:lineRule="auto"/>
      </w:pPr>
      <w:r>
        <w:t>Rights, source and editorial approval travel with content.</w:t>
      </w:r>
    </w:p>
    <w:p>
      <w:pPr>
        <w:numPr>
          <w:ilvl w:val="0"/>
          <w:numId w:val="51"/>
        </w:numPr>
        <w:spacing w:after="80" w:line="300" w:lineRule="auto"/>
      </w:pPr>
      <w:r>
        <w:t>Lessons compose governed content instead of copying it into page blobs.</w:t>
      </w:r>
    </w:p>
    <w:p>
      <w:pPr>
        <w:numPr>
          <w:ilvl w:val="0"/>
          <w:numId w:val="51"/>
        </w:numPr>
        <w:spacing w:after="80" w:line="300" w:lineRule="auto"/>
      </w:pPr>
      <w:r>
        <w:t>Progress and assessment are normalized and auditable.</w:t>
      </w:r>
    </w:p>
    <w:p>
      <w:pPr>
        <w:numPr>
          <w:ilvl w:val="0"/>
          <w:numId w:val="51"/>
        </w:numPr>
        <w:spacing w:after="80" w:line="300" w:lineRule="auto"/>
      </w:pPr>
      <w:r>
        <w:t>Private learner text is encrypted at the application boundary.</w:t>
      </w:r>
    </w:p>
    <w:p>
      <w:pPr>
        <w:numPr>
          <w:ilvl w:val="0"/>
          <w:numId w:val="51"/>
        </w:numPr>
        <w:spacing w:after="80" w:line="300" w:lineRule="auto"/>
      </w:pPr>
      <w:r>
        <w:t>AI retrieves approved sources and is never authoritative for scripture.</w:t>
      </w:r>
    </w:p>
    <w:p>
      <w:pPr>
        <w:numPr>
          <w:ilvl w:val="0"/>
          <w:numId w:val="51"/>
        </w:numPr>
        <w:spacing w:after="80" w:line="300" w:lineRule="auto"/>
      </w:pPr>
      <w:r>
        <w:t>Prototype content cannot silently appear as an approved publication.</w:t>
      </w:r>
    </w:p>
    <w:p>
      <w:pPr>
        <w:pStyle w:val="Heading1"/>
      </w:pPr>
      <w:r>
        <w:t>4. Organisation and publication model</w:t>
      </w:r>
    </w:p>
    <w:p>
      <w:r>
        <w:t>An organisation receives a tenant record, verified domains, brand configuration, memberships and one or more publication profiles. A publication profile selects the scripture release and commentary editions visible to its audience. This avoids copying the entire database for every partner while preserving strict content boundaries.</w:t>
      </w:r>
    </w:p>
    <w:p>
      <w:pPr>
        <w:pStyle w:val="Heading2"/>
      </w:pPr>
      <w:r>
        <w:t>4.1 Runtime resolution</w:t>
      </w:r>
    </w:p>
    <w:p>
      <w:pPr>
        <w:numPr>
          <w:ilvl w:val="0"/>
          <w:numId w:val="51"/>
        </w:numPr>
        <w:spacing w:after="80" w:line="300" w:lineRule="auto"/>
      </w:pPr>
      <w:r>
        <w:t>Resolve the organisation from a verified hostname, invitation or authenticated membership.</w:t>
      </w:r>
    </w:p>
    <w:p>
      <w:pPr>
        <w:numPr>
          <w:ilvl w:val="0"/>
          <w:numId w:val="51"/>
        </w:numPr>
        <w:spacing w:after="80" w:line="300" w:lineRule="auto"/>
      </w:pPr>
      <w:r>
        <w:t>Resolve the active publication profile for the course, audience and jurisdiction.</w:t>
      </w:r>
    </w:p>
    <w:p>
      <w:pPr>
        <w:numPr>
          <w:ilvl w:val="0"/>
          <w:numId w:val="51"/>
        </w:numPr>
        <w:spacing w:after="80" w:line="300" w:lineRule="auto"/>
      </w:pPr>
      <w:r>
        <w:t>Resolve the profile’s approved Bhagavad Gita scripture release.</w:t>
      </w:r>
    </w:p>
    <w:p>
      <w:pPr>
        <w:numPr>
          <w:ilvl w:val="0"/>
          <w:numId w:val="51"/>
        </w:numPr>
        <w:spacing w:after="80" w:line="300" w:lineRule="auto"/>
      </w:pPr>
      <w:r>
        <w:t>Apply the learner’s selected interface language and Sanskrit script.</w:t>
      </w:r>
    </w:p>
    <w:p>
      <w:pPr>
        <w:numPr>
          <w:ilvl w:val="0"/>
          <w:numId w:val="51"/>
        </w:numPr>
        <w:spacing w:after="80" w:line="300" w:lineRule="auto"/>
      </w:pPr>
      <w:r>
        <w:t>Load the verse, script renderings, Sandhi analysis, words, meanings, translation and scene note from that release.</w:t>
      </w:r>
    </w:p>
    <w:p>
      <w:pPr>
        <w:numPr>
          <w:ilvl w:val="0"/>
          <w:numId w:val="51"/>
        </w:numPr>
        <w:spacing w:after="80" w:line="300" w:lineRule="auto"/>
      </w:pPr>
      <w:r>
        <w:t>Load only commentary editions enabled by the profile and matching the selected language.</w:t>
      </w:r>
    </w:p>
    <w:p>
      <w:pPr>
        <w:numPr>
          <w:ilvl w:val="0"/>
          <w:numId w:val="51"/>
        </w:numPr>
        <w:spacing w:after="80" w:line="300" w:lineRule="auto"/>
      </w:pPr>
      <w:r>
        <w:t>Enforce publication status, rights, entitlement and age policy before returning data.</w:t>
      </w:r>
    </w:p>
    <w:p>
      <w:pPr>
        <w:pStyle w:val="LBCallout"/>
        <w:shd w:fill="FBF0E2"/>
        <w:pBdr>
          <w:left w:val="single" w:sz="28" w:space="8" w:color="B66A26"/>
        </w:pBdr>
      </w:pPr>
      <w:r>
        <w:rPr>
          <w:rFonts w:ascii="Calibri" w:hAnsi="Calibri" w:eastAsia="Calibri"/>
          <w:b/>
          <w:color w:val="17264D"/>
          <w:sz w:val="20"/>
        </w:rPr>
        <w:t xml:space="preserve">Why this matters  </w:t>
      </w:r>
      <w:r>
        <w:rPr>
          <w:rFonts w:ascii="Calibri" w:hAnsi="Calibri" w:eastAsia="Calibri"/>
          <w:color w:val="273248"/>
          <w:sz w:val="20"/>
        </w:rPr>
        <w:t>A Chinmaya Mission profile can select its approved Gita translation and commentary while a school profile selects a government-approved edition. Both use the same learning engine and canonical verse references.</w:t>
      </w:r>
    </w:p>
    <w:p>
      <w:pPr>
        <w:pStyle w:val="Heading1"/>
      </w:pPr>
      <w:r>
        <w:t>5. Scripture and lesson-content model</w:t>
      </w:r>
    </w:p>
    <w:p>
      <w:r>
        <w:t>The canonical hierarchy is work → chapter → verse. Organisation-controlled edition releases add script renderings, translations, linguistic analysis and learning notes without changing that hierarchy. A verse such as Bhagavad Gita 2.47 therefore remains stable even when the selected organisation, language, script or guru changes.</w:t>
      </w:r>
    </w:p>
    <w:p>
      <w:pPr>
        <w:pStyle w:val="Heading2"/>
      </w:pPr>
      <w:r>
        <w:t>5.1 Bhagavad Gita 2.47 record composition</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200"/>
        <w:gridCol w:w="2700"/>
        <w:gridCol w:w="4460"/>
      </w:tblGrid>
      <w:tr>
        <w:trPr>
          <w:tblHeader w:val="true"/>
        </w:trPr>
        <w:tc>
          <w:tcPr>
            <w:tcW w:type="dxa" w:w="2200"/>
            <w:tcMar>
              <w:top w:w="80" w:type="dxa"/>
              <w:start w:w="120" w:type="dxa"/>
              <w:bottom w:w="80" w:type="dxa"/>
              <w:end w:w="120" w:type="dxa"/>
            </w:tcMar>
            <w:vAlign w:val="center"/>
            <w:shd w:fill="17264D"/>
          </w:tcPr>
          <w:p>
            <w:pPr>
              <w:pStyle w:val="LBTable"/>
            </w:pPr>
            <w:r>
              <w:rPr>
                <w:rFonts w:ascii="Calibri" w:hAnsi="Calibri" w:eastAsia="Calibri"/>
                <w:b/>
                <w:color w:val="FFFFFF"/>
                <w:sz w:val="18"/>
              </w:rPr>
              <w:t>Requirement</w:t>
            </w:r>
          </w:p>
        </w:tc>
        <w:tc>
          <w:tcPr>
            <w:tcW w:type="dxa" w:w="2700"/>
            <w:tcMar>
              <w:top w:w="80" w:type="dxa"/>
              <w:start w:w="120" w:type="dxa"/>
              <w:bottom w:w="80" w:type="dxa"/>
              <w:end w:w="120" w:type="dxa"/>
            </w:tcMar>
            <w:vAlign w:val="center"/>
            <w:shd w:fill="17264D"/>
          </w:tcPr>
          <w:p>
            <w:pPr>
              <w:pStyle w:val="LBTable"/>
            </w:pPr>
            <w:r>
              <w:rPr>
                <w:rFonts w:ascii="Calibri" w:hAnsi="Calibri" w:eastAsia="Calibri"/>
                <w:b/>
                <w:color w:val="FFFFFF"/>
                <w:sz w:val="18"/>
              </w:rPr>
              <w:t>Stored in</w:t>
            </w:r>
          </w:p>
        </w:tc>
        <w:tc>
          <w:tcPr>
            <w:tcW w:type="dxa" w:w="4460"/>
            <w:tcMar>
              <w:top w:w="80" w:type="dxa"/>
              <w:start w:w="120" w:type="dxa"/>
              <w:bottom w:w="80" w:type="dxa"/>
              <w:end w:w="120" w:type="dxa"/>
            </w:tcMar>
            <w:vAlign w:val="center"/>
            <w:shd w:fill="17264D"/>
          </w:tcPr>
          <w:p>
            <w:pPr>
              <w:pStyle w:val="LBTable"/>
            </w:pPr>
            <w:r>
              <w:rPr>
                <w:rFonts w:ascii="Calibri" w:hAnsi="Calibri" w:eastAsia="Calibri"/>
                <w:b/>
                <w:color w:val="FFFFFF"/>
                <w:sz w:val="18"/>
              </w:rPr>
              <w:t>Key design</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Stable reference</w:t>
            </w:r>
          </w:p>
        </w:tc>
        <w:tc>
          <w:tcPr>
            <w:tcW w:type="dxa" w:w="2700"/>
            <w:tcMar>
              <w:top w:w="80" w:type="dxa"/>
              <w:start w:w="120" w:type="dxa"/>
              <w:bottom w:w="80" w:type="dxa"/>
              <w:end w:w="120" w:type="dxa"/>
            </w:tcMar>
            <w:vAlign w:val="center"/>
          </w:tcPr>
          <w:p>
            <w:pPr>
              <w:pStyle w:val="LBTable"/>
            </w:pPr>
            <w:r>
              <w:rPr>
                <w:rFonts w:ascii="Calibri" w:hAnsi="Calibri" w:eastAsia="Calibri"/>
                <w:color w:val="273248"/>
                <w:sz w:val="18"/>
              </w:rPr>
              <w:t>scripture_verses</w:t>
            </w:r>
          </w:p>
        </w:tc>
        <w:tc>
          <w:tcPr>
            <w:tcW w:type="dxa" w:w="4460"/>
            <w:tcMar>
              <w:top w:w="80" w:type="dxa"/>
              <w:start w:w="120" w:type="dxa"/>
              <w:bottom w:w="80" w:type="dxa"/>
              <w:end w:w="120" w:type="dxa"/>
            </w:tcMar>
            <w:vAlign w:val="center"/>
          </w:tcPr>
          <w:p>
            <w:pPr>
              <w:pStyle w:val="LBTable"/>
            </w:pPr>
            <w:r>
              <w:rPr>
                <w:rFonts w:ascii="Calibri" w:hAnsi="Calibri" w:eastAsia="Calibri"/>
                <w:color w:val="273248"/>
                <w:sz w:val="18"/>
              </w:rPr>
              <w:t>Canonical reference 2.47 is independent of edition.</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Devanagari and Odia</w:t>
            </w:r>
          </w:p>
        </w:tc>
        <w:tc>
          <w:tcPr>
            <w:tcW w:type="dxa" w:w="2700"/>
            <w:shd w:fill="F7F9FC"/>
            <w:tcMar>
              <w:top w:w="80" w:type="dxa"/>
              <w:start w:w="120" w:type="dxa"/>
              <w:bottom w:w="80" w:type="dxa"/>
              <w:end w:w="120" w:type="dxa"/>
            </w:tcMar>
            <w:vAlign w:val="center"/>
          </w:tcPr>
          <w:p>
            <w:pPr>
              <w:pStyle w:val="LBTable"/>
            </w:pPr>
            <w:r>
              <w:rPr>
                <w:rFonts w:ascii="Calibri" w:hAnsi="Calibri" w:eastAsia="Calibri"/>
                <w:color w:val="273248"/>
                <w:sz w:val="18"/>
              </w:rPr>
              <w:t>verse_texts</w:t>
            </w:r>
          </w:p>
        </w:tc>
        <w:tc>
          <w:tcPr>
            <w:tcW w:type="dxa" w:w="4460"/>
            <w:shd w:fill="F7F9FC"/>
            <w:tcMar>
              <w:top w:w="80" w:type="dxa"/>
              <w:start w:w="120" w:type="dxa"/>
              <w:bottom w:w="80" w:type="dxa"/>
              <w:end w:w="120" w:type="dxa"/>
            </w:tcMar>
            <w:vAlign w:val="center"/>
          </w:tcPr>
          <w:p>
            <w:pPr>
              <w:pStyle w:val="LBTable"/>
            </w:pPr>
            <w:r>
              <w:rPr>
                <w:rFonts w:ascii="Calibri" w:hAnsi="Calibri" w:eastAsia="Calibri"/>
                <w:color w:val="273248"/>
                <w:sz w:val="18"/>
              </w:rPr>
              <w:t>One row per release, verse, language, script and representation.</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Roman transliteration</w:t>
            </w:r>
          </w:p>
        </w:tc>
        <w:tc>
          <w:tcPr>
            <w:tcW w:type="dxa" w:w="2700"/>
            <w:tcMar>
              <w:top w:w="80" w:type="dxa"/>
              <w:start w:w="120" w:type="dxa"/>
              <w:bottom w:w="80" w:type="dxa"/>
              <w:end w:w="120" w:type="dxa"/>
            </w:tcMar>
            <w:vAlign w:val="center"/>
          </w:tcPr>
          <w:p>
            <w:pPr>
              <w:pStyle w:val="LBTable"/>
            </w:pPr>
            <w:r>
              <w:rPr>
                <w:rFonts w:ascii="Calibri" w:hAnsi="Calibri" w:eastAsia="Calibri"/>
                <w:color w:val="273248"/>
                <w:sz w:val="18"/>
              </w:rPr>
              <w:t>verse_texts</w:t>
            </w:r>
          </w:p>
        </w:tc>
        <w:tc>
          <w:tcPr>
            <w:tcW w:type="dxa" w:w="4460"/>
            <w:tcMar>
              <w:top w:w="80" w:type="dxa"/>
              <w:start w:w="120" w:type="dxa"/>
              <w:bottom w:w="80" w:type="dxa"/>
              <w:end w:w="120" w:type="dxa"/>
            </w:tcMar>
            <w:vAlign w:val="center"/>
          </w:tcPr>
          <w:p>
            <w:pPr>
              <w:pStyle w:val="LBTable"/>
            </w:pPr>
            <w:r>
              <w:rPr>
                <w:rFonts w:ascii="Calibri" w:hAnsi="Calibri" w:eastAsia="Calibri"/>
                <w:color w:val="273248"/>
                <w:sz w:val="18"/>
              </w:rPr>
              <w:t>Sanskrit language with Latin script and transliteration role.</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Sandhi-vicheda</w:t>
            </w:r>
          </w:p>
        </w:tc>
        <w:tc>
          <w:tcPr>
            <w:tcW w:type="dxa" w:w="2700"/>
            <w:shd w:fill="F7F9FC"/>
            <w:tcMar>
              <w:top w:w="80" w:type="dxa"/>
              <w:start w:w="120" w:type="dxa"/>
              <w:bottom w:w="80" w:type="dxa"/>
              <w:end w:w="120" w:type="dxa"/>
            </w:tcMar>
            <w:vAlign w:val="center"/>
          </w:tcPr>
          <w:p>
            <w:pPr>
              <w:pStyle w:val="LBTable"/>
            </w:pPr>
            <w:r>
              <w:rPr>
                <w:rFonts w:ascii="Calibri" w:hAnsi="Calibri" w:eastAsia="Calibri"/>
                <w:color w:val="273248"/>
                <w:sz w:val="18"/>
              </w:rPr>
              <w:t>verse_sandhi_analyses</w:t>
            </w:r>
          </w:p>
        </w:tc>
        <w:tc>
          <w:tcPr>
            <w:tcW w:type="dxa" w:w="4460"/>
            <w:shd w:fill="F7F9FC"/>
            <w:tcMar>
              <w:top w:w="80" w:type="dxa"/>
              <w:start w:w="120" w:type="dxa"/>
              <w:bottom w:w="80" w:type="dxa"/>
              <w:end w:w="120" w:type="dxa"/>
            </w:tcMar>
            <w:vAlign w:val="center"/>
          </w:tcPr>
          <w:p>
            <w:pPr>
              <w:pStyle w:val="LBTable"/>
            </w:pPr>
            <w:r>
              <w:rPr>
                <w:rFonts w:ascii="Calibri" w:hAnsi="Calibri" w:eastAsia="Calibri"/>
                <w:color w:val="273248"/>
                <w:sz w:val="18"/>
              </w:rPr>
              <w:t>A versioned, reviewed analysis.</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Word order</w:t>
            </w:r>
          </w:p>
        </w:tc>
        <w:tc>
          <w:tcPr>
            <w:tcW w:type="dxa" w:w="2700"/>
            <w:tcMar>
              <w:top w:w="80" w:type="dxa"/>
              <w:start w:w="120" w:type="dxa"/>
              <w:bottom w:w="80" w:type="dxa"/>
              <w:end w:w="120" w:type="dxa"/>
            </w:tcMar>
            <w:vAlign w:val="center"/>
          </w:tcPr>
          <w:p>
            <w:pPr>
              <w:pStyle w:val="LBTable"/>
            </w:pPr>
            <w:r>
              <w:rPr>
                <w:rFonts w:ascii="Calibri" w:hAnsi="Calibri" w:eastAsia="Calibri"/>
                <w:color w:val="273248"/>
                <w:sz w:val="18"/>
              </w:rPr>
              <w:t>verse_tokens</w:t>
            </w:r>
          </w:p>
        </w:tc>
        <w:tc>
          <w:tcPr>
            <w:tcW w:type="dxa" w:w="4460"/>
            <w:tcMar>
              <w:top w:w="80" w:type="dxa"/>
              <w:start w:w="120" w:type="dxa"/>
              <w:bottom w:w="80" w:type="dxa"/>
              <w:end w:w="120" w:type="dxa"/>
            </w:tcMar>
            <w:vAlign w:val="center"/>
          </w:tcPr>
          <w:p>
            <w:pPr>
              <w:pStyle w:val="LBTable"/>
            </w:pPr>
            <w:r>
              <w:rPr>
                <w:rFonts w:ascii="Calibri" w:hAnsi="Calibri" w:eastAsia="Calibri"/>
                <w:color w:val="273248"/>
                <w:sz w:val="18"/>
              </w:rPr>
              <w:t>Explicit sequence for compact and accessible presentation.</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Word scripts</w:t>
            </w:r>
          </w:p>
        </w:tc>
        <w:tc>
          <w:tcPr>
            <w:tcW w:type="dxa" w:w="2700"/>
            <w:shd w:fill="F7F9FC"/>
            <w:tcMar>
              <w:top w:w="80" w:type="dxa"/>
              <w:start w:w="120" w:type="dxa"/>
              <w:bottom w:w="80" w:type="dxa"/>
              <w:end w:w="120" w:type="dxa"/>
            </w:tcMar>
            <w:vAlign w:val="center"/>
          </w:tcPr>
          <w:p>
            <w:pPr>
              <w:pStyle w:val="LBTable"/>
            </w:pPr>
            <w:r>
              <w:rPr>
                <w:rFonts w:ascii="Calibri" w:hAnsi="Calibri" w:eastAsia="Calibri"/>
                <w:color w:val="273248"/>
                <w:sz w:val="18"/>
              </w:rPr>
              <w:t>verse_token_forms</w:t>
            </w:r>
          </w:p>
        </w:tc>
        <w:tc>
          <w:tcPr>
            <w:tcW w:type="dxa" w:w="4460"/>
            <w:shd w:fill="F7F9FC"/>
            <w:tcMar>
              <w:top w:w="80" w:type="dxa"/>
              <w:start w:w="120" w:type="dxa"/>
              <w:bottom w:w="80" w:type="dxa"/>
              <w:end w:w="120" w:type="dxa"/>
            </w:tcMar>
            <w:vAlign w:val="center"/>
          </w:tcPr>
          <w:p>
            <w:pPr>
              <w:pStyle w:val="LBTable"/>
            </w:pPr>
            <w:r>
              <w:rPr>
                <w:rFonts w:ascii="Calibri" w:hAnsi="Calibri" w:eastAsia="Calibri"/>
                <w:color w:val="273248"/>
                <w:sz w:val="18"/>
              </w:rPr>
              <w:t>Devanagari, Odia and Latin forms for the same token.</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Word meaning</w:t>
            </w:r>
          </w:p>
        </w:tc>
        <w:tc>
          <w:tcPr>
            <w:tcW w:type="dxa" w:w="2700"/>
            <w:tcMar>
              <w:top w:w="80" w:type="dxa"/>
              <w:start w:w="120" w:type="dxa"/>
              <w:bottom w:w="80" w:type="dxa"/>
              <w:end w:w="120" w:type="dxa"/>
            </w:tcMar>
            <w:vAlign w:val="center"/>
          </w:tcPr>
          <w:p>
            <w:pPr>
              <w:pStyle w:val="LBTable"/>
            </w:pPr>
            <w:r>
              <w:rPr>
                <w:rFonts w:ascii="Calibri" w:hAnsi="Calibri" w:eastAsia="Calibri"/>
                <w:color w:val="273248"/>
                <w:sz w:val="18"/>
              </w:rPr>
              <w:t>verse_token_meanings</w:t>
            </w:r>
          </w:p>
        </w:tc>
        <w:tc>
          <w:tcPr>
            <w:tcW w:type="dxa" w:w="4460"/>
            <w:tcMar>
              <w:top w:w="80" w:type="dxa"/>
              <w:start w:w="120" w:type="dxa"/>
              <w:bottom w:w="80" w:type="dxa"/>
              <w:end w:w="120" w:type="dxa"/>
            </w:tcMar>
            <w:vAlign w:val="center"/>
          </w:tcPr>
          <w:p>
            <w:pPr>
              <w:pStyle w:val="LBTable"/>
            </w:pPr>
            <w:r>
              <w:rPr>
                <w:rFonts w:ascii="Calibri" w:hAnsi="Calibri" w:eastAsia="Calibri"/>
                <w:color w:val="273248"/>
                <w:sz w:val="18"/>
              </w:rPr>
              <w:t>Language and sense are explicit.</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Translation</w:t>
            </w:r>
          </w:p>
        </w:tc>
        <w:tc>
          <w:tcPr>
            <w:tcW w:type="dxa" w:w="2700"/>
            <w:shd w:fill="F7F9FC"/>
            <w:tcMar>
              <w:top w:w="80" w:type="dxa"/>
              <w:start w:w="120" w:type="dxa"/>
              <w:bottom w:w="80" w:type="dxa"/>
              <w:end w:w="120" w:type="dxa"/>
            </w:tcMar>
            <w:vAlign w:val="center"/>
          </w:tcPr>
          <w:p>
            <w:pPr>
              <w:pStyle w:val="LBTable"/>
            </w:pPr>
            <w:r>
              <w:rPr>
                <w:rFonts w:ascii="Calibri" w:hAnsi="Calibri" w:eastAsia="Calibri"/>
                <w:color w:val="273248"/>
                <w:sz w:val="18"/>
              </w:rPr>
              <w:t>verse_translations</w:t>
            </w:r>
          </w:p>
        </w:tc>
        <w:tc>
          <w:tcPr>
            <w:tcW w:type="dxa" w:w="4460"/>
            <w:shd w:fill="F7F9FC"/>
            <w:tcMar>
              <w:top w:w="80" w:type="dxa"/>
              <w:start w:w="120" w:type="dxa"/>
              <w:bottom w:w="80" w:type="dxa"/>
              <w:end w:w="120" w:type="dxa"/>
            </w:tcMar>
            <w:vAlign w:val="center"/>
          </w:tcPr>
          <w:p>
            <w:pPr>
              <w:pStyle w:val="LBTable"/>
            </w:pPr>
            <w:r>
              <w:rPr>
                <w:rFonts w:ascii="Calibri" w:hAnsi="Calibri" w:eastAsia="Calibri"/>
                <w:color w:val="273248"/>
                <w:sz w:val="18"/>
              </w:rPr>
              <w:t>Edition, language, translator and source are preserved.</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Scene/context</w:t>
            </w:r>
          </w:p>
        </w:tc>
        <w:tc>
          <w:tcPr>
            <w:tcW w:type="dxa" w:w="2700"/>
            <w:tcMar>
              <w:top w:w="80" w:type="dxa"/>
              <w:start w:w="120" w:type="dxa"/>
              <w:bottom w:w="80" w:type="dxa"/>
              <w:end w:w="120" w:type="dxa"/>
            </w:tcMar>
            <w:vAlign w:val="center"/>
          </w:tcPr>
          <w:p>
            <w:pPr>
              <w:pStyle w:val="LBTable"/>
            </w:pPr>
            <w:r>
              <w:rPr>
                <w:rFonts w:ascii="Calibri" w:hAnsi="Calibri" w:eastAsia="Calibri"/>
                <w:color w:val="273248"/>
                <w:sz w:val="18"/>
              </w:rPr>
              <w:t>verse_learning_notes</w:t>
            </w:r>
          </w:p>
        </w:tc>
        <w:tc>
          <w:tcPr>
            <w:tcW w:type="dxa" w:w="4460"/>
            <w:tcMar>
              <w:top w:w="80" w:type="dxa"/>
              <w:start w:w="120" w:type="dxa"/>
              <w:bottom w:w="80" w:type="dxa"/>
              <w:end w:w="120" w:type="dxa"/>
            </w:tcMar>
            <w:vAlign w:val="center"/>
          </w:tcPr>
          <w:p>
            <w:pPr>
              <w:pStyle w:val="LBTable"/>
            </w:pPr>
            <w:r>
              <w:rPr>
                <w:rFonts w:ascii="Calibri" w:hAnsi="Calibri" w:eastAsia="Calibri"/>
                <w:color w:val="273248"/>
                <w:sz w:val="18"/>
              </w:rPr>
              <w:t>Localized, approved learning layer.</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Guru commentary</w:t>
            </w:r>
          </w:p>
        </w:tc>
        <w:tc>
          <w:tcPr>
            <w:tcW w:type="dxa" w:w="2700"/>
            <w:shd w:fill="F7F9FC"/>
            <w:tcMar>
              <w:top w:w="80" w:type="dxa"/>
              <w:start w:w="120" w:type="dxa"/>
              <w:bottom w:w="80" w:type="dxa"/>
              <w:end w:w="120" w:type="dxa"/>
            </w:tcMar>
            <w:vAlign w:val="center"/>
          </w:tcPr>
          <w:p>
            <w:pPr>
              <w:pStyle w:val="LBTable"/>
            </w:pPr>
            <w:r>
              <w:rPr>
                <w:rFonts w:ascii="Calibri" w:hAnsi="Calibri" w:eastAsia="Calibri"/>
                <w:color w:val="273248"/>
                <w:sz w:val="18"/>
              </w:rPr>
              <w:t>commentary_passages</w:t>
            </w:r>
          </w:p>
        </w:tc>
        <w:tc>
          <w:tcPr>
            <w:tcW w:type="dxa" w:w="4460"/>
            <w:shd w:fill="F7F9FC"/>
            <w:tcMar>
              <w:top w:w="80" w:type="dxa"/>
              <w:start w:w="120" w:type="dxa"/>
              <w:bottom w:w="80" w:type="dxa"/>
              <w:end w:w="120" w:type="dxa"/>
            </w:tcMar>
            <w:vAlign w:val="center"/>
          </w:tcPr>
          <w:p>
            <w:pPr>
              <w:pStyle w:val="LBTable"/>
            </w:pPr>
            <w:r>
              <w:rPr>
                <w:rFonts w:ascii="Calibri" w:hAnsi="Calibri" w:eastAsia="Calibri"/>
                <w:color w:val="273248"/>
                <w:sz w:val="18"/>
              </w:rPr>
              <w:t>Full text or clearly-labelled summary by edition.</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Read aloud</w:t>
            </w:r>
          </w:p>
        </w:tc>
        <w:tc>
          <w:tcPr>
            <w:tcW w:type="dxa" w:w="2700"/>
            <w:tcMar>
              <w:top w:w="80" w:type="dxa"/>
              <w:start w:w="120" w:type="dxa"/>
              <w:bottom w:w="80" w:type="dxa"/>
              <w:end w:w="120" w:type="dxa"/>
            </w:tcMar>
            <w:vAlign w:val="center"/>
          </w:tcPr>
          <w:p>
            <w:pPr>
              <w:pStyle w:val="LBTable"/>
            </w:pPr>
            <w:r>
              <w:rPr>
                <w:rFonts w:ascii="Calibri" w:hAnsi="Calibri" w:eastAsia="Calibri"/>
                <w:color w:val="273248"/>
                <w:sz w:val="18"/>
              </w:rPr>
              <w:t>media_assets / client</w:t>
            </w:r>
          </w:p>
        </w:tc>
        <w:tc>
          <w:tcPr>
            <w:tcW w:type="dxa" w:w="4460"/>
            <w:tcMar>
              <w:top w:w="80" w:type="dxa"/>
              <w:start w:w="120" w:type="dxa"/>
              <w:bottom w:w="80" w:type="dxa"/>
              <w:end w:w="120" w:type="dxa"/>
            </w:tcMar>
            <w:vAlign w:val="center"/>
          </w:tcPr>
          <w:p>
            <w:pPr>
              <w:pStyle w:val="LBTable"/>
            </w:pPr>
            <w:r>
              <w:rPr>
                <w:rFonts w:ascii="Calibri" w:hAnsi="Calibri" w:eastAsia="Calibri"/>
                <w:color w:val="273248"/>
                <w:sz w:val="18"/>
              </w:rPr>
              <w:t>Recorded audio may be canonical; device TTS remains a UI capability.</w:t>
            </w:r>
          </w:p>
        </w:tc>
      </w:tr>
    </w:tbl>
    <w:p>
      <w:pPr>
        <w:spacing w:after="40"/>
      </w:pPr>
    </w:p>
    <w:p>
      <w:pPr>
        <w:pStyle w:val="Heading2"/>
      </w:pPr>
      <w:r>
        <w:t>5.2 Unicode and multilingual rules</w:t>
      </w:r>
    </w:p>
    <w:p>
      <w:pPr>
        <w:numPr>
          <w:ilvl w:val="0"/>
          <w:numId w:val="50"/>
        </w:numPr>
        <w:spacing w:after="80" w:line="300" w:lineRule="auto"/>
      </w:pPr>
      <w:r>
        <w:t>Database default and connections use utf8mb4.</w:t>
      </w:r>
    </w:p>
    <w:p>
      <w:pPr>
        <w:numPr>
          <w:ilvl w:val="0"/>
          <w:numId w:val="50"/>
        </w:numPr>
        <w:spacing w:after="80" w:line="300" w:lineRule="auto"/>
      </w:pPr>
      <w:r>
        <w:t>Incoming text is normalized to Unicode NFC before comparison, checksumming or publication.</w:t>
      </w:r>
    </w:p>
    <w:p>
      <w:pPr>
        <w:numPr>
          <w:ilvl w:val="0"/>
          <w:numId w:val="50"/>
        </w:numPr>
        <w:spacing w:after="80" w:line="300" w:lineRule="auto"/>
      </w:pPr>
      <w:r>
        <w:t>Line breaks are normalized before release checksums are calculated.</w:t>
      </w:r>
    </w:p>
    <w:p>
      <w:pPr>
        <w:numPr>
          <w:ilvl w:val="0"/>
          <w:numId w:val="50"/>
        </w:numPr>
        <w:spacing w:after="80" w:line="300" w:lineRule="auto"/>
      </w:pPr>
      <w:r>
        <w:t>Published transliteration is stored; it is not silently regenerated at runtime.</w:t>
      </w:r>
    </w:p>
    <w:p>
      <w:pPr>
        <w:numPr>
          <w:ilvl w:val="0"/>
          <w:numId w:val="50"/>
        </w:numPr>
        <w:spacing w:after="80" w:line="300" w:lineRule="auto"/>
      </w:pPr>
      <w:r>
        <w:t>Languages use BCP 47-compatible codes; scripts use ISO 15924 codes.</w:t>
      </w:r>
    </w:p>
    <w:p>
      <w:pPr>
        <w:pStyle w:val="Heading1"/>
      </w:pPr>
      <w:r>
        <w:t>6. Bhāṣya and guru model</w:t>
      </w:r>
    </w:p>
    <w:p>
      <w:r>
        <w:t>The model separates the commentator, philosophical tradition, historical work, approved language edition and verse-linked passage. The same guru may therefore have several translated editions, each with its own rights, source, version and approval status. A publication profile chooses which editions are available and their display order.</w:t>
      </w:r>
    </w:p>
    <w:p>
      <w:pPr>
        <w:pStyle w:val="LBCallout"/>
        <w:shd w:fill="F3EDF3"/>
        <w:pBdr>
          <w:left w:val="single" w:sz="28" w:space="8" w:color="68456B"/>
        </w:pBdr>
      </w:pPr>
      <w:r>
        <w:rPr>
          <w:rFonts w:ascii="Calibri" w:hAnsi="Calibri" w:eastAsia="Calibri"/>
          <w:b/>
          <w:color w:val="17264D"/>
          <w:sz w:val="20"/>
        </w:rPr>
        <w:t xml:space="preserve">Editorial integrity  </w:t>
      </w:r>
      <w:r>
        <w:rPr>
          <w:rFonts w:ascii="Calibri" w:hAnsi="Calibri" w:eastAsia="Calibri"/>
          <w:color w:val="273248"/>
          <w:sz w:val="20"/>
        </w:rPr>
        <w:t>A learner summary must be stored and displayed as a summary. It must never be presented as a verbatim passage from the named guru. Prototype summaries remain draft until the relevant source, rights and scholarly approvals are recorded.</w:t>
      </w:r>
    </w:p>
    <w:p>
      <w:pPr>
        <w:pStyle w:val="Heading1"/>
      </w:pPr>
      <w:r>
        <w:t>7. Curriculum, learning and schools</w:t>
      </w:r>
    </w:p>
    <w:p>
      <w:pPr>
        <w:pStyle w:val="Heading2"/>
      </w:pPr>
      <w:r>
        <w:t>7.1 Course composition</w:t>
      </w:r>
    </w:p>
    <w:p>
      <w:pPr>
        <w:numPr>
          <w:ilvl w:val="0"/>
          <w:numId w:val="50"/>
        </w:numPr>
        <w:spacing w:after="80" w:line="300" w:lineRule="auto"/>
      </w:pPr>
      <w:r>
        <w:t>A course is the long-lived product identity; a course release is the immutable assigned version.</w:t>
      </w:r>
    </w:p>
    <w:p>
      <w:pPr>
        <w:numPr>
          <w:ilvl w:val="0"/>
          <w:numId w:val="50"/>
        </w:numPr>
        <w:spacing w:after="80" w:line="300" w:lineRule="auto"/>
      </w:pPr>
      <w:r>
        <w:t>Modules support foundation, scripture chapter, bridge and enrichment sequences.</w:t>
      </w:r>
    </w:p>
    <w:p>
      <w:pPr>
        <w:numPr>
          <w:ilvl w:val="0"/>
          <w:numId w:val="50"/>
        </w:numPr>
        <w:spacing w:after="80" w:line="300" w:lineRule="auto"/>
      </w:pPr>
      <w:r>
        <w:t>Lessons support verse study, context, media, reflection and practice.</w:t>
      </w:r>
    </w:p>
    <w:p>
      <w:pPr>
        <w:numPr>
          <w:ilvl w:val="0"/>
          <w:numId w:val="50"/>
        </w:numPr>
        <w:spacing w:after="80" w:line="300" w:lineRule="auto"/>
      </w:pPr>
      <w:r>
        <w:t>Content blocks order scripture, Sandhi, word meaning, translation, commentary and audio without duplicating content.</w:t>
      </w:r>
    </w:p>
    <w:p>
      <w:pPr>
        <w:numPr>
          <w:ilvl w:val="0"/>
          <w:numId w:val="50"/>
        </w:numPr>
        <w:spacing w:after="80" w:line="300" w:lineRule="auto"/>
      </w:pPr>
      <w:r>
        <w:t>Prerequisites are enforced on the server; chapter assessment follows required lessons.</w:t>
      </w:r>
    </w:p>
    <w:p>
      <w:pPr>
        <w:pStyle w:val="Heading2"/>
      </w:pPr>
      <w:r>
        <w:t>7.2 Institutional use</w:t>
      </w:r>
    </w:p>
    <w:p>
      <w:pPr>
        <w:numPr>
          <w:ilvl w:val="0"/>
          <w:numId w:val="50"/>
        </w:numPr>
        <w:spacing w:after="80" w:line="300" w:lineRule="auto"/>
      </w:pPr>
      <w:r>
        <w:t>Organisation units model campuses, branches, grades, departments and classes.</w:t>
      </w:r>
    </w:p>
    <w:p>
      <w:pPr>
        <w:numPr>
          <w:ilvl w:val="0"/>
          <w:numId w:val="50"/>
        </w:numPr>
        <w:spacing w:after="80" w:line="300" w:lineRule="auto"/>
      </w:pPr>
      <w:r>
        <w:t>Cohorts model the actual teaching group and academic period.</w:t>
      </w:r>
    </w:p>
    <w:p>
      <w:pPr>
        <w:numPr>
          <w:ilvl w:val="0"/>
          <w:numId w:val="50"/>
        </w:numPr>
        <w:spacing w:after="80" w:line="300" w:lineRule="auto"/>
      </w:pPr>
      <w:r>
        <w:t>Course assignments point to an immutable release and optional due date.</w:t>
      </w:r>
    </w:p>
    <w:p>
      <w:pPr>
        <w:numPr>
          <w:ilvl w:val="0"/>
          <w:numId w:val="50"/>
        </w:numPr>
        <w:spacing w:after="80" w:line="300" w:lineRule="auto"/>
      </w:pPr>
      <w:r>
        <w:t>The same person can belong to several organisations while retaining a separate enrolment and policy context in each.</w:t>
      </w:r>
    </w:p>
    <w:p>
      <w:pPr>
        <w:numPr>
          <w:ilvl w:val="0"/>
          <w:numId w:val="50"/>
        </w:numPr>
        <w:spacing w:after="80" w:line="300" w:lineRule="auto"/>
      </w:pPr>
      <w:r>
        <w:t>Government curriculum mappings should be added only after the applicable framework and licensing rules are confirmed.</w:t>
      </w:r>
    </w:p>
    <w:p>
      <w:pPr>
        <w:pStyle w:val="Heading1"/>
      </w:pPr>
      <w:r>
        <w:t>8. Assessment and credentials</w:t>
      </w:r>
    </w:p>
    <w:p>
      <w:r>
        <w:t>Assessments are linked to a module or course release. Questions, options, instructions and feedback are localized independently. The server withholds correctness until submission, records every attempt and preserves the course/assessment version used at the time.</w:t>
      </w:r>
    </w:p>
    <w:p>
      <w:pPr>
        <w:numPr>
          <w:ilvl w:val="0"/>
          <w:numId w:val="50"/>
        </w:numPr>
        <w:spacing w:after="80" w:line="300" w:lineRule="auto"/>
      </w:pPr>
      <w:r>
        <w:t>Single-choice, multiple-choice, matching, ordering and reviewed free-text can be represented through question type and configuration.</w:t>
      </w:r>
    </w:p>
    <w:p>
      <w:pPr>
        <w:numPr>
          <w:ilvl w:val="0"/>
          <w:numId w:val="50"/>
        </w:numPr>
        <w:spacing w:after="80" w:line="300" w:lineRule="auto"/>
      </w:pPr>
      <w:r>
        <w:t>Free-text answers are encrypted; scoring data remains server-side.</w:t>
      </w:r>
    </w:p>
    <w:p>
      <w:pPr>
        <w:numPr>
          <w:ilvl w:val="0"/>
          <w:numId w:val="50"/>
        </w:numPr>
        <w:spacing w:after="80" w:line="300" w:lineRule="auto"/>
      </w:pPr>
      <w:r>
        <w:t>Certificates contain an immutable snapshot of learner, course, release and completion evidence.</w:t>
      </w:r>
    </w:p>
    <w:p>
      <w:pPr>
        <w:numPr>
          <w:ilvl w:val="0"/>
          <w:numId w:val="50"/>
        </w:numPr>
        <w:spacing w:after="80" w:line="300" w:lineRule="auto"/>
      </w:pPr>
      <w:r>
        <w:t>Verification codes are stored as hashes; issue and revocation are auditable.</w:t>
      </w:r>
    </w:p>
    <w:p>
      <w:pPr>
        <w:pStyle w:val="Heading1"/>
      </w:pPr>
      <w:r>
        <w:t>9. AI-ready data architecture</w:t>
      </w:r>
    </w:p>
    <w:p>
      <w:r>
        <w:t>The AI layer is designed around governed retrieval rather than unrestricted model access. Each knowledge source is tied to an organisation, course release, entity, language, edition/version, rights state and checksum. Chunks are citable and may carry an external vector-index reference.</w:t>
      </w:r>
    </w:p>
    <w:p>
      <w:pPr>
        <w:numPr>
          <w:ilvl w:val="0"/>
          <w:numId w:val="51"/>
        </w:numPr>
        <w:spacing w:after="80" w:line="300" w:lineRule="auto"/>
      </w:pPr>
      <w:r>
        <w:t>Resolve trusted organisation, course, edition, language and learner entitlement.</w:t>
      </w:r>
    </w:p>
    <w:p>
      <w:pPr>
        <w:numPr>
          <w:ilvl w:val="0"/>
          <w:numId w:val="51"/>
        </w:numPr>
        <w:spacing w:after="80" w:line="300" w:lineRule="auto"/>
      </w:pPr>
      <w:r>
        <w:t>Apply the organisation/course AI policy, age controls and allowed question categories.</w:t>
      </w:r>
    </w:p>
    <w:p>
      <w:pPr>
        <w:numPr>
          <w:ilvl w:val="0"/>
          <w:numId w:val="51"/>
        </w:numPr>
        <w:spacing w:after="80" w:line="300" w:lineRule="auto"/>
      </w:pPr>
      <w:r>
        <w:t>Retrieve only published, rights-cleared, non-retracted sources within that scope.</w:t>
      </w:r>
    </w:p>
    <w:p>
      <w:pPr>
        <w:numPr>
          <w:ilvl w:val="0"/>
          <w:numId w:val="51"/>
        </w:numPr>
        <w:spacing w:after="80" w:line="300" w:lineRule="auto"/>
      </w:pPr>
      <w:r>
        <w:t>Use retrieval-only mode or an approved model provider according to policy.</w:t>
      </w:r>
    </w:p>
    <w:p>
      <w:pPr>
        <w:numPr>
          <w:ilvl w:val="0"/>
          <w:numId w:val="51"/>
        </w:numPr>
        <w:spacing w:after="80" w:line="300" w:lineRule="auto"/>
      </w:pPr>
      <w:r>
        <w:t>Verify citations and safety outcome before returning the response.</w:t>
      </w:r>
    </w:p>
    <w:p>
      <w:pPr>
        <w:numPr>
          <w:ilvl w:val="0"/>
          <w:numId w:val="51"/>
        </w:numPr>
        <w:spacing w:after="80" w:line="300" w:lineRule="auto"/>
      </w:pPr>
      <w:r>
        <w:t>Retain conversation text only when policy and consent permit it; otherwise retain nothing.</w:t>
      </w:r>
    </w:p>
    <w:p>
      <w:pPr>
        <w:pStyle w:val="LBCallout"/>
        <w:shd w:fill="F3EDF3"/>
        <w:pBdr>
          <w:left w:val="single" w:sz="28" w:space="8" w:color="68456B"/>
        </w:pBdr>
      </w:pPr>
      <w:r>
        <w:rPr>
          <w:rFonts w:ascii="Calibri" w:hAnsi="Calibri" w:eastAsia="Calibri"/>
          <w:b/>
          <w:color w:val="17264D"/>
          <w:sz w:val="20"/>
        </w:rPr>
        <w:t xml:space="preserve">Non-negotiable AI rule  </w:t>
      </w:r>
      <w:r>
        <w:rPr>
          <w:rFonts w:ascii="Calibri" w:hAnsi="Calibri" w:eastAsia="Calibri"/>
          <w:color w:val="273248"/>
          <w:sz w:val="20"/>
        </w:rPr>
        <w:t>The AI assistant cannot generate, modify or silently substitute canonical scripture, an authorised translation or bhāṣya. Unsupported answers are refused rather than completed from model memory.</w:t>
      </w:r>
    </w:p>
    <w:p>
      <w:r>
        <w:br w:type="page"/>
      </w:r>
    </w:p>
    <w:p>
      <w:pPr>
        <w:pStyle w:val="Heading1"/>
      </w:pPr>
      <w:r>
        <w:t>10. Complete table catalogue</w:t>
      </w:r>
    </w:p>
    <w:p>
      <w:r>
        <w:t>The implementation includes the seven existing identity/compatibility tables and 78 new product-domain tables. Column definitions, foreign keys and indexes are authoritative in the Drizzle schema and generated migration.</w:t>
      </w:r>
    </w:p>
    <w:p>
      <w:pPr>
        <w:pStyle w:val="Heading2"/>
      </w:pPr>
      <w:r>
        <w:t>10.1 Existing identity and compatibility</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100"/>
        <w:gridCol w:w="6260"/>
      </w:tblGrid>
      <w:tr>
        <w:trPr>
          <w:tblHeader w:val="true"/>
        </w:trPr>
        <w:tc>
          <w:tcPr>
            <w:tcW w:type="dxa" w:w="31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2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100"/>
            <w:tcMar>
              <w:top w:w="80" w:type="dxa"/>
              <w:start w:w="120" w:type="dxa"/>
              <w:bottom w:w="80" w:type="dxa"/>
              <w:end w:w="120" w:type="dxa"/>
            </w:tcMar>
            <w:vAlign w:val="center"/>
          </w:tcPr>
          <w:p>
            <w:pPr>
              <w:pStyle w:val="LBTable"/>
            </w:pPr>
            <w:r>
              <w:rPr>
                <w:rFonts w:ascii="Calibri" w:hAnsi="Calibri" w:eastAsia="Calibri"/>
                <w:b/>
                <w:color w:val="17264D"/>
                <w:sz w:val="18"/>
              </w:rPr>
              <w:t>auth_users</w:t>
            </w:r>
          </w:p>
        </w:tc>
        <w:tc>
          <w:tcPr>
            <w:tcW w:type="dxa" w:w="6260"/>
            <w:tcMar>
              <w:top w:w="80" w:type="dxa"/>
              <w:start w:w="120" w:type="dxa"/>
              <w:bottom w:w="80" w:type="dxa"/>
              <w:end w:w="120" w:type="dxa"/>
            </w:tcMar>
            <w:vAlign w:val="center"/>
          </w:tcPr>
          <w:p>
            <w:pPr>
              <w:pStyle w:val="LBTable"/>
            </w:pPr>
            <w:r>
              <w:rPr>
                <w:rFonts w:ascii="Calibri" w:hAnsi="Calibri" w:eastAsia="Calibri"/>
                <w:color w:val="273248"/>
                <w:sz w:val="18"/>
              </w:rPr>
              <w:t>Account identity and password reference.</w:t>
            </w:r>
          </w:p>
        </w:tc>
      </w:tr>
      <w:tr>
        <w:trPr>
          <w:cantSplit/>
        </w:trPr>
        <w:tc>
          <w:tcPr>
            <w:tcW w:type="dxa" w:w="3100"/>
            <w:shd w:fill="F7F9FC"/>
            <w:tcMar>
              <w:top w:w="80" w:type="dxa"/>
              <w:start w:w="120" w:type="dxa"/>
              <w:bottom w:w="80" w:type="dxa"/>
              <w:end w:w="120" w:type="dxa"/>
            </w:tcMar>
            <w:vAlign w:val="center"/>
          </w:tcPr>
          <w:p>
            <w:pPr>
              <w:pStyle w:val="LBTable"/>
            </w:pPr>
            <w:r>
              <w:rPr>
                <w:rFonts w:ascii="Calibri" w:hAnsi="Calibri" w:eastAsia="Calibri"/>
                <w:b/>
                <w:color w:val="17264D"/>
                <w:sz w:val="18"/>
              </w:rPr>
              <w:t>auth_identities</w:t>
            </w:r>
          </w:p>
        </w:tc>
        <w:tc>
          <w:tcPr>
            <w:tcW w:type="dxa" w:w="6260"/>
            <w:shd w:fill="F7F9FC"/>
            <w:tcMar>
              <w:top w:w="80" w:type="dxa"/>
              <w:start w:w="120" w:type="dxa"/>
              <w:bottom w:w="80" w:type="dxa"/>
              <w:end w:w="120" w:type="dxa"/>
            </w:tcMar>
            <w:vAlign w:val="center"/>
          </w:tcPr>
          <w:p>
            <w:pPr>
              <w:pStyle w:val="LBTable"/>
            </w:pPr>
            <w:r>
              <w:rPr>
                <w:rFonts w:ascii="Calibri" w:hAnsi="Calibri" w:eastAsia="Calibri"/>
                <w:color w:val="273248"/>
                <w:sz w:val="18"/>
              </w:rPr>
              <w:t>Google, Microsoft and other OIDC identities.</w:t>
            </w:r>
          </w:p>
        </w:tc>
      </w:tr>
      <w:tr>
        <w:trPr>
          <w:cantSplit/>
        </w:trPr>
        <w:tc>
          <w:tcPr>
            <w:tcW w:type="dxa" w:w="3100"/>
            <w:tcMar>
              <w:top w:w="80" w:type="dxa"/>
              <w:start w:w="120" w:type="dxa"/>
              <w:bottom w:w="80" w:type="dxa"/>
              <w:end w:w="120" w:type="dxa"/>
            </w:tcMar>
            <w:vAlign w:val="center"/>
          </w:tcPr>
          <w:p>
            <w:pPr>
              <w:pStyle w:val="LBTable"/>
            </w:pPr>
            <w:r>
              <w:rPr>
                <w:rFonts w:ascii="Calibri" w:hAnsi="Calibri" w:eastAsia="Calibri"/>
                <w:b/>
                <w:color w:val="17264D"/>
                <w:sz w:val="18"/>
              </w:rPr>
              <w:t>auth_sessions</w:t>
            </w:r>
          </w:p>
        </w:tc>
        <w:tc>
          <w:tcPr>
            <w:tcW w:type="dxa" w:w="6260"/>
            <w:tcMar>
              <w:top w:w="80" w:type="dxa"/>
              <w:start w:w="120" w:type="dxa"/>
              <w:bottom w:w="80" w:type="dxa"/>
              <w:end w:w="120" w:type="dxa"/>
            </w:tcMar>
            <w:vAlign w:val="center"/>
          </w:tcPr>
          <w:p>
            <w:pPr>
              <w:pStyle w:val="LBTable"/>
            </w:pPr>
            <w:r>
              <w:rPr>
                <w:rFonts w:ascii="Calibri" w:hAnsi="Calibri" w:eastAsia="Calibri"/>
                <w:color w:val="273248"/>
                <w:sz w:val="18"/>
              </w:rPr>
              <w:t>Hashed opaque sessions.</w:t>
            </w:r>
          </w:p>
        </w:tc>
      </w:tr>
      <w:tr>
        <w:trPr>
          <w:cantSplit/>
        </w:trPr>
        <w:tc>
          <w:tcPr>
            <w:tcW w:type="dxa" w:w="3100"/>
            <w:shd w:fill="F7F9FC"/>
            <w:tcMar>
              <w:top w:w="80" w:type="dxa"/>
              <w:start w:w="120" w:type="dxa"/>
              <w:bottom w:w="80" w:type="dxa"/>
              <w:end w:w="120" w:type="dxa"/>
            </w:tcMar>
            <w:vAlign w:val="center"/>
          </w:tcPr>
          <w:p>
            <w:pPr>
              <w:pStyle w:val="LBTable"/>
            </w:pPr>
            <w:r>
              <w:rPr>
                <w:rFonts w:ascii="Calibri" w:hAnsi="Calibri" w:eastAsia="Calibri"/>
                <w:b/>
                <w:color w:val="17264D"/>
                <w:sz w:val="18"/>
              </w:rPr>
              <w:t>auth_challenges</w:t>
            </w:r>
          </w:p>
        </w:tc>
        <w:tc>
          <w:tcPr>
            <w:tcW w:type="dxa" w:w="6260"/>
            <w:shd w:fill="F7F9FC"/>
            <w:tcMar>
              <w:top w:w="80" w:type="dxa"/>
              <w:start w:w="120" w:type="dxa"/>
              <w:bottom w:w="80" w:type="dxa"/>
              <w:end w:w="120" w:type="dxa"/>
            </w:tcMar>
            <w:vAlign w:val="center"/>
          </w:tcPr>
          <w:p>
            <w:pPr>
              <w:pStyle w:val="LBTable"/>
            </w:pPr>
            <w:r>
              <w:rPr>
                <w:rFonts w:ascii="Calibri" w:hAnsi="Calibri" w:eastAsia="Calibri"/>
                <w:color w:val="273248"/>
                <w:sz w:val="18"/>
              </w:rPr>
              <w:t>Hashed, single-use OTP challenges.</w:t>
            </w:r>
          </w:p>
        </w:tc>
      </w:tr>
      <w:tr>
        <w:trPr>
          <w:cantSplit/>
        </w:trPr>
        <w:tc>
          <w:tcPr>
            <w:tcW w:type="dxa" w:w="3100"/>
            <w:tcMar>
              <w:top w:w="80" w:type="dxa"/>
              <w:start w:w="120" w:type="dxa"/>
              <w:bottom w:w="80" w:type="dxa"/>
              <w:end w:w="120" w:type="dxa"/>
            </w:tcMar>
            <w:vAlign w:val="center"/>
          </w:tcPr>
          <w:p>
            <w:pPr>
              <w:pStyle w:val="LBTable"/>
            </w:pPr>
            <w:r>
              <w:rPr>
                <w:rFonts w:ascii="Calibri" w:hAnsi="Calibri" w:eastAsia="Calibri"/>
                <w:b/>
                <w:color w:val="17264D"/>
                <w:sz w:val="18"/>
              </w:rPr>
              <w:t>auth_oidc_transactions</w:t>
            </w:r>
          </w:p>
        </w:tc>
        <w:tc>
          <w:tcPr>
            <w:tcW w:type="dxa" w:w="6260"/>
            <w:tcMar>
              <w:top w:w="80" w:type="dxa"/>
              <w:start w:w="120" w:type="dxa"/>
              <w:bottom w:w="80" w:type="dxa"/>
              <w:end w:w="120" w:type="dxa"/>
            </w:tcMar>
            <w:vAlign w:val="center"/>
          </w:tcPr>
          <w:p>
            <w:pPr>
              <w:pStyle w:val="LBTable"/>
            </w:pPr>
            <w:r>
              <w:rPr>
                <w:rFonts w:ascii="Calibri" w:hAnsi="Calibri" w:eastAsia="Calibri"/>
                <w:color w:val="273248"/>
                <w:sz w:val="18"/>
              </w:rPr>
              <w:t>Short-lived encrypted OIDC state.</w:t>
            </w:r>
          </w:p>
        </w:tc>
      </w:tr>
      <w:tr>
        <w:trPr>
          <w:cantSplit/>
        </w:trPr>
        <w:tc>
          <w:tcPr>
            <w:tcW w:type="dxa" w:w="3100"/>
            <w:shd w:fill="F7F9FC"/>
            <w:tcMar>
              <w:top w:w="80" w:type="dxa"/>
              <w:start w:w="120" w:type="dxa"/>
              <w:bottom w:w="80" w:type="dxa"/>
              <w:end w:w="120" w:type="dxa"/>
            </w:tcMar>
            <w:vAlign w:val="center"/>
          </w:tcPr>
          <w:p>
            <w:pPr>
              <w:pStyle w:val="LBTable"/>
            </w:pPr>
            <w:r>
              <w:rPr>
                <w:rFonts w:ascii="Calibri" w:hAnsi="Calibri" w:eastAsia="Calibri"/>
                <w:b/>
                <w:color w:val="17264D"/>
                <w:sz w:val="18"/>
              </w:rPr>
              <w:t>auth_rate_limits</w:t>
            </w:r>
          </w:p>
        </w:tc>
        <w:tc>
          <w:tcPr>
            <w:tcW w:type="dxa" w:w="6260"/>
            <w:shd w:fill="F7F9FC"/>
            <w:tcMar>
              <w:top w:w="80" w:type="dxa"/>
              <w:start w:w="120" w:type="dxa"/>
              <w:bottom w:w="80" w:type="dxa"/>
              <w:end w:w="120" w:type="dxa"/>
            </w:tcMar>
            <w:vAlign w:val="center"/>
          </w:tcPr>
          <w:p>
            <w:pPr>
              <w:pStyle w:val="LBTable"/>
            </w:pPr>
            <w:r>
              <w:rPr>
                <w:rFonts w:ascii="Calibri" w:hAnsi="Calibri" w:eastAsia="Calibri"/>
                <w:color w:val="273248"/>
                <w:sz w:val="18"/>
              </w:rPr>
              <w:t>Authentication abuse controls.</w:t>
            </w:r>
          </w:p>
        </w:tc>
      </w:tr>
      <w:tr>
        <w:trPr>
          <w:cantSplit/>
        </w:trPr>
        <w:tc>
          <w:tcPr>
            <w:tcW w:type="dxa" w:w="3100"/>
            <w:tcMar>
              <w:top w:w="80" w:type="dxa"/>
              <w:start w:w="120" w:type="dxa"/>
              <w:bottom w:w="80" w:type="dxa"/>
              <w:end w:w="120" w:type="dxa"/>
            </w:tcMar>
            <w:vAlign w:val="center"/>
          </w:tcPr>
          <w:p>
            <w:pPr>
              <w:pStyle w:val="LBTable"/>
            </w:pPr>
            <w:r>
              <w:rPr>
                <w:rFonts w:ascii="Calibri" w:hAnsi="Calibri" w:eastAsia="Calibri"/>
                <w:b/>
                <w:color w:val="17264D"/>
                <w:sz w:val="18"/>
              </w:rPr>
              <w:t>learner_states</w:t>
            </w:r>
          </w:p>
        </w:tc>
        <w:tc>
          <w:tcPr>
            <w:tcW w:type="dxa" w:w="6260"/>
            <w:tcMar>
              <w:top w:w="80" w:type="dxa"/>
              <w:start w:w="120" w:type="dxa"/>
              <w:bottom w:w="80" w:type="dxa"/>
              <w:end w:w="120" w:type="dxa"/>
            </w:tcMar>
            <w:vAlign w:val="center"/>
          </w:tcPr>
          <w:p>
            <w:pPr>
              <w:pStyle w:val="LBTable"/>
            </w:pPr>
            <w:r>
              <w:rPr>
                <w:rFonts w:ascii="Calibri" w:hAnsi="Calibri" w:eastAsia="Calibri"/>
                <w:color w:val="273248"/>
                <w:sz w:val="18"/>
              </w:rPr>
              <w:t>Temporary compatibility projection for the current prototype.</w:t>
            </w:r>
          </w:p>
        </w:tc>
      </w:tr>
    </w:tbl>
    <w:p>
      <w:pPr>
        <w:spacing w:after="40"/>
      </w:pPr>
    </w:p>
    <w:p>
      <w:pPr>
        <w:pStyle w:val="Heading2"/>
      </w:pPr>
      <w:r>
        <w:t>Reference and tenancy</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languages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Supported content and interface languages.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writing_scripts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ISO 15924 writing systems used for scripture rendering.</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organisations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Tenant, school, mission, trust or government body.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organisation_domains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Verified hostnames used for trusted tenant resolution.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organisation_branding</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Logo, palette, typography and theme tokens.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organisation_memberships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Tenant-level user roles.</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organisation_units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School, campus, grade, department, class or branch hierarchy.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organisation_unit_memberships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User role within an organisation unit.</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learning_cohorts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Academic-period or facilitated learning groups.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cohort_memberships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Learners and facilitators in a cohort.</w:t>
            </w:r>
          </w:p>
        </w:tc>
      </w:tr>
    </w:tbl>
    <w:p>
      <w:pPr>
        <w:spacing w:after="40"/>
      </w:pPr>
    </w:p>
    <w:p>
      <w:pPr>
        <w:pStyle w:val="Heading2"/>
      </w:pPr>
      <w:r>
        <w:t>Rights, sources and authorities</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content_licenses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Rights holder, term and permitted-use policy.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source_documents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Bibliographic, URL, file, checksum and rights provenance.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persons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Commentators, translators, editors and teachers.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person_names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Language-specific display names for a person.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commentary_traditions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Philosophical and commentarial traditions.</w:t>
            </w:r>
          </w:p>
        </w:tc>
      </w:tr>
    </w:tbl>
    <w:p>
      <w:pPr>
        <w:spacing w:after="40"/>
      </w:pPr>
    </w:p>
    <w:p>
      <w:pPr>
        <w:pStyle w:val="Heading2"/>
      </w:pPr>
      <w:r>
        <w:t>Scripture and editions</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scripture_works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Canonical work identity.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scripture_work_names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work title and description.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scripture_chapters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Canonical chapter number, order and verse count.</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scripture_chapter_localizations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chapter title, focus and essential question.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scripture_verses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Stable canonical verse identity and reference.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scripture_editions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Organisation-owned edition identity and authority statement.</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scripture_edition_releases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Immutable versioned release with rights and source.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publication_profiles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Audience-specific publication configuration for a tenant.</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publication_scripture_releases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Approved scripture release selected by a profile.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verse_texts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Verse by language, script and representation.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verse_sandhi_analyses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Versioned Sandhi-vicheda analysis.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verse_tokens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Ordered words and grammatical metadata.</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verse_token_forms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Word form by script or transliteration.</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verse_token_meanings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Word meaning by language and sense.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verse_translations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Edition-specific translation by language.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verse_learning_notes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Scene, context, key idea and pronunciation guidance.</w:t>
            </w:r>
          </w:p>
        </w:tc>
      </w:tr>
    </w:tbl>
    <w:p>
      <w:pPr>
        <w:spacing w:after="40"/>
      </w:pPr>
    </w:p>
    <w:p>
      <w:pPr>
        <w:pStyle w:val="Heading2"/>
      </w:pPr>
      <w:r>
        <w:t>Commentary and media</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commentary_works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Historical bhāṣya or commentary identity.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commentary_editions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Approved language/version and rights state.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commentary_passages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Verse-linked full text or approved summary.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publication_commentary_editions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Commentators enabled for a publication profile.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media_assets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Object metadata, rights, checksums and accessibility.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media_text_tracks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Captions, subtitles and transcripts.</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media_attachments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Media-to-content attachment, role and order.</w:t>
            </w:r>
          </w:p>
        </w:tc>
      </w:tr>
    </w:tbl>
    <w:p>
      <w:pPr>
        <w:spacing w:after="40"/>
      </w:pPr>
    </w:p>
    <w:p>
      <w:pPr>
        <w:pStyle w:val="Heading2"/>
      </w:pPr>
      <w:r>
        <w:t>Curriculum</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courses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Long-lived course identity.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course_localizations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title, description and outcomes.</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course_releases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Immutable curriculum version.</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course_modules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Foundation, chapter, bridge or enrichment module.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course_module_localizations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Localized module learning copy.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lessons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Ordered verse or learning activity.</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lesson_localizations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Title, objective, scene/context and completion message.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lesson_content_blocks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Ordered lesson composition from governed content.</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lesson_prerequisites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Server-enforced lesson sequencing.</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cohort_course_assignments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Course release assigned to a cohort.</w:t>
            </w:r>
          </w:p>
        </w:tc>
      </w:tr>
    </w:tbl>
    <w:p>
      <w:pPr>
        <w:spacing w:after="40"/>
      </w:pPr>
    </w:p>
    <w:p>
      <w:pPr>
        <w:pStyle w:val="Heading2"/>
      </w:pPr>
      <w:r>
        <w:t>Learner records</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learner_profiles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Language, script, mode and accessibility preferences.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user_consents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Versioned privacy, guardian and AI consent evidence.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course_enrolments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Authoritative learner-course participation record.</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lesson_progress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Lesson state, time, completion and resume position.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verse_progress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Verse read/listen counters and completion.</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learner_bookmarks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Private saved content references.</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learner_notes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Application-encrypted private notes.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learning_events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Purpose-limited learning telemetry.</w:t>
            </w:r>
          </w:p>
        </w:tc>
      </w:tr>
    </w:tbl>
    <w:p>
      <w:pPr>
        <w:spacing w:after="40"/>
      </w:pPr>
    </w:p>
    <w:p>
      <w:pPr>
        <w:pStyle w:val="Heading2"/>
      </w:pPr>
      <w:r>
        <w:t>Assessment and credentials</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assessments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Chapter/course assessment policy.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assessment_localizations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instructions and result messages.</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assessment_questions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Question type, order, points and verse link.</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assessment_question_localizations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prompt and explanation.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assessment_options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Protected scoring option and correctness.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assessment_option_localizations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option label and feedback.</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assessment_attempts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Attempt, score, pass state and timestamps.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assessment_responses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Selected/encrypted response and grading.</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achievements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Rule-driven achievement identity.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achievement_localizations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Localized badge name and description.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user_achievements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Award and evidence.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certificate_templates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Organisation/course/version certificate layout.</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certificate_issues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Issued credential, verification and revocation.</w:t>
            </w:r>
          </w:p>
        </w:tc>
      </w:tr>
    </w:tbl>
    <w:p>
      <w:pPr>
        <w:spacing w:after="40"/>
      </w:pPr>
    </w:p>
    <w:p>
      <w:pPr>
        <w:pStyle w:val="Heading2"/>
      </w:pPr>
      <w:r>
        <w:t>AI and governance</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300"/>
        <w:gridCol w:w="6060"/>
      </w:tblGrid>
      <w:tr>
        <w:trPr>
          <w:tblHeader w:val="true"/>
        </w:trPr>
        <w:tc>
          <w:tcPr>
            <w:tcW w:type="dxa" w:w="3300"/>
            <w:tcMar>
              <w:top w:w="80" w:type="dxa"/>
              <w:start w:w="120" w:type="dxa"/>
              <w:bottom w:w="80" w:type="dxa"/>
              <w:end w:w="120" w:type="dxa"/>
            </w:tcMar>
            <w:vAlign w:val="center"/>
            <w:shd w:fill="17264D"/>
          </w:tcPr>
          <w:p>
            <w:pPr>
              <w:pStyle w:val="LBTable"/>
            </w:pPr>
            <w:r>
              <w:rPr>
                <w:rFonts w:ascii="Calibri" w:hAnsi="Calibri" w:eastAsia="Calibri"/>
                <w:b/>
                <w:color w:val="FFFFFF"/>
                <w:sz w:val="18"/>
              </w:rPr>
              <w:t>Table</w:t>
            </w:r>
          </w:p>
        </w:tc>
        <w:tc>
          <w:tcPr>
            <w:tcW w:type="dxa" w:w="60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ai_policies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Tenant/course AI mode, safety and retention policy.</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ai_knowledge_sources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Governed entity/version approved for retrieval.</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ai_knowledge_chunks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Citable passage and external vector reference.</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ai_conversations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Optional policy-controlled session metadata.</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ai_messages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Optional encrypted question/answer records.</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ai_message_citations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Response-to-source evidence.</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ai_feedback</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Encrypted learner rating and feedback.</w:t>
            </w:r>
          </w:p>
        </w:tc>
      </w:tr>
      <w:tr>
        <w:trPr>
          <w:cantSplit/>
        </w:trPr>
        <w:tc>
          <w:tcPr>
            <w:tcW w:type="dxa" w:w="3300"/>
            <w:shd w:fill="F7F9FC"/>
            <w:tcMar>
              <w:top w:w="80" w:type="dxa"/>
              <w:start w:w="120" w:type="dxa"/>
              <w:bottom w:w="80" w:type="dxa"/>
              <w:end w:w="120" w:type="dxa"/>
            </w:tcMar>
            <w:vAlign w:val="center"/>
          </w:tcPr>
          <w:p>
            <w:pPr>
              <w:pStyle w:val="LBTable"/>
            </w:pPr>
            <w:r>
              <w:rPr>
                <w:rFonts w:ascii="Calibri" w:hAnsi="Calibri" w:eastAsia="Calibri"/>
                <w:b/>
                <w:color w:val="17264D"/>
                <w:sz w:val="18"/>
              </w:rPr>
              <w:t>content_reviews</w:t>
            </w:r>
          </w:p>
        </w:tc>
        <w:tc>
          <w:tcPr>
            <w:tcW w:type="dxa" w:w="6060"/>
            <w:shd w:fill="F7F9FC"/>
            <w:tcMar>
              <w:top w:w="80" w:type="dxa"/>
              <w:start w:w="120" w:type="dxa"/>
              <w:bottom w:w="80" w:type="dxa"/>
              <w:end w:w="120" w:type="dxa"/>
            </w:tcMar>
            <w:vAlign w:val="center"/>
          </w:tcPr>
          <w:p>
            <w:pPr>
              <w:pStyle w:val="LBTable"/>
            </w:pPr>
            <w:r>
              <w:rPr>
                <w:rFonts w:ascii="Calibri" w:hAnsi="Calibri" w:eastAsia="Calibri"/>
                <w:color w:val="273248"/>
                <w:sz w:val="18"/>
              </w:rPr>
              <w:t>Scholarly, rights, pedagogy and accessibility decision.</w:t>
            </w:r>
          </w:p>
        </w:tc>
      </w:tr>
      <w:tr>
        <w:trPr>
          <w:cantSplit/>
        </w:trPr>
        <w:tc>
          <w:tcPr>
            <w:tcW w:type="dxa" w:w="3300"/>
            <w:tcMar>
              <w:top w:w="80" w:type="dxa"/>
              <w:start w:w="120" w:type="dxa"/>
              <w:bottom w:w="80" w:type="dxa"/>
              <w:end w:w="120" w:type="dxa"/>
            </w:tcMar>
            <w:vAlign w:val="center"/>
          </w:tcPr>
          <w:p>
            <w:pPr>
              <w:pStyle w:val="LBTable"/>
            </w:pPr>
            <w:r>
              <w:rPr>
                <w:rFonts w:ascii="Calibri" w:hAnsi="Calibri" w:eastAsia="Calibri"/>
                <w:b/>
                <w:color w:val="17264D"/>
                <w:sz w:val="18"/>
              </w:rPr>
              <w:t>audit_events</w:t>
            </w:r>
          </w:p>
        </w:tc>
        <w:tc>
          <w:tcPr>
            <w:tcW w:type="dxa" w:w="6060"/>
            <w:tcMar>
              <w:top w:w="80" w:type="dxa"/>
              <w:start w:w="120" w:type="dxa"/>
              <w:bottom w:w="80" w:type="dxa"/>
              <w:end w:w="120" w:type="dxa"/>
            </w:tcMar>
            <w:vAlign w:val="center"/>
          </w:tcPr>
          <w:p>
            <w:pPr>
              <w:pStyle w:val="LBTable"/>
            </w:pPr>
            <w:r>
              <w:rPr>
                <w:rFonts w:ascii="Calibri" w:hAnsi="Calibri" w:eastAsia="Calibri"/>
                <w:color w:val="273248"/>
                <w:sz w:val="18"/>
              </w:rPr>
              <w:t>Append-only administrative and security trace.</w:t>
            </w:r>
          </w:p>
        </w:tc>
      </w:tr>
    </w:tbl>
    <w:p>
      <w:pPr>
        <w:spacing w:after="40"/>
      </w:pPr>
    </w:p>
    <w:p>
      <w:pPr>
        <w:pStyle w:val="Heading1"/>
      </w:pPr>
      <w:r>
        <w:t>11. Query and indexing strategy</w:t>
      </w:r>
    </w:p>
    <w:p>
      <w:r>
        <w:t>Indexes are based on the portal’s bounded query patterns: hostname resolution; organisation/profile/status; work/chapter/verse; edition/version; verse/language/script; token position and meaning; commentary/verse; curriculum sequence; enrolment/progress; assessment attempt; audit time; and AI source scope.</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000"/>
        <w:gridCol w:w="6360"/>
      </w:tblGrid>
      <w:tr>
        <w:trPr>
          <w:tblHeader w:val="true"/>
        </w:trPr>
        <w:tc>
          <w:tcPr>
            <w:tcW w:type="dxa" w:w="3000"/>
            <w:tcMar>
              <w:top w:w="80" w:type="dxa"/>
              <w:start w:w="120" w:type="dxa"/>
              <w:bottom w:w="80" w:type="dxa"/>
              <w:end w:w="120" w:type="dxa"/>
            </w:tcMar>
            <w:vAlign w:val="center"/>
            <w:shd w:fill="17264D"/>
          </w:tcPr>
          <w:p>
            <w:pPr>
              <w:pStyle w:val="LBTable"/>
            </w:pPr>
            <w:r>
              <w:rPr>
                <w:rFonts w:ascii="Calibri" w:hAnsi="Calibri" w:eastAsia="Calibri"/>
                <w:b/>
                <w:color w:val="FFFFFF"/>
                <w:sz w:val="18"/>
              </w:rPr>
              <w:t>Workflow</w:t>
            </w:r>
          </w:p>
        </w:tc>
        <w:tc>
          <w:tcPr>
            <w:tcW w:type="dxa" w:w="6360"/>
            <w:tcMar>
              <w:top w:w="80" w:type="dxa"/>
              <w:start w:w="120" w:type="dxa"/>
              <w:bottom w:w="80" w:type="dxa"/>
              <w:end w:w="120" w:type="dxa"/>
            </w:tcMar>
            <w:vAlign w:val="center"/>
            <w:shd w:fill="17264D"/>
          </w:tcPr>
          <w:p>
            <w:pPr>
              <w:pStyle w:val="LBTable"/>
            </w:pPr>
            <w:r>
              <w:rPr>
                <w:rFonts w:ascii="Calibri" w:hAnsi="Calibri" w:eastAsia="Calibri"/>
                <w:b/>
                <w:color w:val="FFFFFF"/>
                <w:sz w:val="18"/>
              </w:rPr>
              <w:t>Index path</w:t>
            </w:r>
          </w:p>
        </w:tc>
      </w:tr>
      <w:tr>
        <w:trPr>
          <w:cantSplit/>
        </w:trPr>
        <w:tc>
          <w:tcPr>
            <w:tcW w:type="dxa" w:w="3000"/>
            <w:tcMar>
              <w:top w:w="80" w:type="dxa"/>
              <w:start w:w="120" w:type="dxa"/>
              <w:bottom w:w="80" w:type="dxa"/>
              <w:end w:w="120" w:type="dxa"/>
            </w:tcMar>
            <w:vAlign w:val="center"/>
          </w:tcPr>
          <w:p>
            <w:pPr>
              <w:pStyle w:val="LBTable"/>
            </w:pPr>
            <w:r>
              <w:rPr>
                <w:rFonts w:ascii="Calibri" w:hAnsi="Calibri" w:eastAsia="Calibri"/>
                <w:b/>
                <w:color w:val="17264D"/>
                <w:sz w:val="18"/>
              </w:rPr>
              <w:t>Resolve tenant</w:t>
            </w:r>
          </w:p>
        </w:tc>
        <w:tc>
          <w:tcPr>
            <w:tcW w:type="dxa" w:w="6360"/>
            <w:tcMar>
              <w:top w:w="80" w:type="dxa"/>
              <w:start w:w="120" w:type="dxa"/>
              <w:bottom w:w="80" w:type="dxa"/>
              <w:end w:w="120" w:type="dxa"/>
            </w:tcMar>
            <w:vAlign w:val="center"/>
          </w:tcPr>
          <w:p>
            <w:pPr>
              <w:pStyle w:val="LBTable"/>
            </w:pPr>
            <w:r>
              <w:rPr>
                <w:rFonts w:ascii="Calibri" w:hAnsi="Calibri" w:eastAsia="Calibri"/>
                <w:color w:val="273248"/>
                <w:sz w:val="18"/>
              </w:rPr>
              <w:t>organisation_domains.hostname (unique)</w:t>
            </w:r>
          </w:p>
        </w:tc>
      </w:tr>
      <w:tr>
        <w:trPr>
          <w:cantSplit/>
        </w:trPr>
        <w:tc>
          <w:tcPr>
            <w:tcW w:type="dxa" w:w="3000"/>
            <w:shd w:fill="F7F9FC"/>
            <w:tcMar>
              <w:top w:w="80" w:type="dxa"/>
              <w:start w:w="120" w:type="dxa"/>
              <w:bottom w:w="80" w:type="dxa"/>
              <w:end w:w="120" w:type="dxa"/>
            </w:tcMar>
            <w:vAlign w:val="center"/>
          </w:tcPr>
          <w:p>
            <w:pPr>
              <w:pStyle w:val="LBTable"/>
            </w:pPr>
            <w:r>
              <w:rPr>
                <w:rFonts w:ascii="Calibri" w:hAnsi="Calibri" w:eastAsia="Calibri"/>
                <w:b/>
                <w:color w:val="17264D"/>
                <w:sz w:val="18"/>
              </w:rPr>
              <w:t>Open verse</w:t>
            </w:r>
          </w:p>
        </w:tc>
        <w:tc>
          <w:tcPr>
            <w:tcW w:type="dxa" w:w="6360"/>
            <w:shd w:fill="F7F9FC"/>
            <w:tcMar>
              <w:top w:w="80" w:type="dxa"/>
              <w:start w:w="120" w:type="dxa"/>
              <w:bottom w:w="80" w:type="dxa"/>
              <w:end w:w="120" w:type="dxa"/>
            </w:tcMar>
            <w:vAlign w:val="center"/>
          </w:tcPr>
          <w:p>
            <w:pPr>
              <w:pStyle w:val="LBTable"/>
            </w:pPr>
            <w:r>
              <w:rPr>
                <w:rFonts w:ascii="Calibri" w:hAnsi="Calibri" w:eastAsia="Calibri"/>
                <w:color w:val="273248"/>
                <w:sz w:val="18"/>
              </w:rPr>
              <w:t>scripture_verses.canonical_reference (unique)</w:t>
            </w:r>
          </w:p>
        </w:tc>
      </w:tr>
      <w:tr>
        <w:trPr>
          <w:cantSplit/>
        </w:trPr>
        <w:tc>
          <w:tcPr>
            <w:tcW w:type="dxa" w:w="3000"/>
            <w:tcMar>
              <w:top w:w="80" w:type="dxa"/>
              <w:start w:w="120" w:type="dxa"/>
              <w:bottom w:w="80" w:type="dxa"/>
              <w:end w:w="120" w:type="dxa"/>
            </w:tcMar>
            <w:vAlign w:val="center"/>
          </w:tcPr>
          <w:p>
            <w:pPr>
              <w:pStyle w:val="LBTable"/>
            </w:pPr>
            <w:r>
              <w:rPr>
                <w:rFonts w:ascii="Calibri" w:hAnsi="Calibri" w:eastAsia="Calibri"/>
                <w:b/>
                <w:color w:val="17264D"/>
                <w:sz w:val="18"/>
              </w:rPr>
              <w:t>Render selected script</w:t>
            </w:r>
          </w:p>
        </w:tc>
        <w:tc>
          <w:tcPr>
            <w:tcW w:type="dxa" w:w="6360"/>
            <w:tcMar>
              <w:top w:w="80" w:type="dxa"/>
              <w:start w:w="120" w:type="dxa"/>
              <w:bottom w:w="80" w:type="dxa"/>
              <w:end w:w="120" w:type="dxa"/>
            </w:tcMar>
            <w:vAlign w:val="center"/>
          </w:tcPr>
          <w:p>
            <w:pPr>
              <w:pStyle w:val="LBTable"/>
            </w:pPr>
            <w:r>
              <w:rPr>
                <w:rFonts w:ascii="Calibri" w:hAnsi="Calibri" w:eastAsia="Calibri"/>
                <w:color w:val="273248"/>
                <w:sz w:val="18"/>
              </w:rPr>
              <w:t>release + verse + language + script + representation (unique)</w:t>
            </w:r>
          </w:p>
        </w:tc>
      </w:tr>
      <w:tr>
        <w:trPr>
          <w:cantSplit/>
        </w:trPr>
        <w:tc>
          <w:tcPr>
            <w:tcW w:type="dxa" w:w="3000"/>
            <w:shd w:fill="F7F9FC"/>
            <w:tcMar>
              <w:top w:w="80" w:type="dxa"/>
              <w:start w:w="120" w:type="dxa"/>
              <w:bottom w:w="80" w:type="dxa"/>
              <w:end w:w="120" w:type="dxa"/>
            </w:tcMar>
            <w:vAlign w:val="center"/>
          </w:tcPr>
          <w:p>
            <w:pPr>
              <w:pStyle w:val="LBTable"/>
            </w:pPr>
            <w:r>
              <w:rPr>
                <w:rFonts w:ascii="Calibri" w:hAnsi="Calibri" w:eastAsia="Calibri"/>
                <w:b/>
                <w:color w:val="17264D"/>
                <w:sz w:val="18"/>
              </w:rPr>
              <w:t>Build meaning table</w:t>
            </w:r>
          </w:p>
        </w:tc>
        <w:tc>
          <w:tcPr>
            <w:tcW w:type="dxa" w:w="6360"/>
            <w:shd w:fill="F7F9FC"/>
            <w:tcMar>
              <w:top w:w="80" w:type="dxa"/>
              <w:start w:w="120" w:type="dxa"/>
              <w:bottom w:w="80" w:type="dxa"/>
              <w:end w:w="120" w:type="dxa"/>
            </w:tcMar>
            <w:vAlign w:val="center"/>
          </w:tcPr>
          <w:p>
            <w:pPr>
              <w:pStyle w:val="LBTable"/>
            </w:pPr>
            <w:r>
              <w:rPr>
                <w:rFonts w:ascii="Calibri" w:hAnsi="Calibri" w:eastAsia="Calibri"/>
                <w:color w:val="273248"/>
                <w:sz w:val="18"/>
              </w:rPr>
              <w:t>analysis + token position; token + language + sense</w:t>
            </w:r>
          </w:p>
        </w:tc>
      </w:tr>
      <w:tr>
        <w:trPr>
          <w:cantSplit/>
        </w:trPr>
        <w:tc>
          <w:tcPr>
            <w:tcW w:type="dxa" w:w="3000"/>
            <w:tcMar>
              <w:top w:w="80" w:type="dxa"/>
              <w:start w:w="120" w:type="dxa"/>
              <w:bottom w:w="80" w:type="dxa"/>
              <w:end w:w="120" w:type="dxa"/>
            </w:tcMar>
            <w:vAlign w:val="center"/>
          </w:tcPr>
          <w:p>
            <w:pPr>
              <w:pStyle w:val="LBTable"/>
            </w:pPr>
            <w:r>
              <w:rPr>
                <w:rFonts w:ascii="Calibri" w:hAnsi="Calibri" w:eastAsia="Calibri"/>
                <w:b/>
                <w:color w:val="17264D"/>
                <w:sz w:val="18"/>
              </w:rPr>
              <w:t>Load gurus</w:t>
            </w:r>
          </w:p>
        </w:tc>
        <w:tc>
          <w:tcPr>
            <w:tcW w:type="dxa" w:w="6360"/>
            <w:tcMar>
              <w:top w:w="80" w:type="dxa"/>
              <w:start w:w="120" w:type="dxa"/>
              <w:bottom w:w="80" w:type="dxa"/>
              <w:end w:w="120" w:type="dxa"/>
            </w:tcMar>
            <w:vAlign w:val="center"/>
          </w:tcPr>
          <w:p>
            <w:pPr>
              <w:pStyle w:val="LBTable"/>
            </w:pPr>
            <w:r>
              <w:rPr>
                <w:rFonts w:ascii="Calibri" w:hAnsi="Calibri" w:eastAsia="Calibri"/>
                <w:color w:val="273248"/>
                <w:sz w:val="18"/>
              </w:rPr>
              <w:t>profile + display order; commentary edition + verse + type</w:t>
            </w:r>
          </w:p>
        </w:tc>
      </w:tr>
      <w:tr>
        <w:trPr>
          <w:cantSplit/>
        </w:trPr>
        <w:tc>
          <w:tcPr>
            <w:tcW w:type="dxa" w:w="3000"/>
            <w:shd w:fill="F7F9FC"/>
            <w:tcMar>
              <w:top w:w="80" w:type="dxa"/>
              <w:start w:w="120" w:type="dxa"/>
              <w:bottom w:w="80" w:type="dxa"/>
              <w:end w:w="120" w:type="dxa"/>
            </w:tcMar>
            <w:vAlign w:val="center"/>
          </w:tcPr>
          <w:p>
            <w:pPr>
              <w:pStyle w:val="LBTable"/>
            </w:pPr>
            <w:r>
              <w:rPr>
                <w:rFonts w:ascii="Calibri" w:hAnsi="Calibri" w:eastAsia="Calibri"/>
                <w:b/>
                <w:color w:val="17264D"/>
                <w:sz w:val="18"/>
              </w:rPr>
              <w:t>Resume course</w:t>
            </w:r>
          </w:p>
        </w:tc>
        <w:tc>
          <w:tcPr>
            <w:tcW w:type="dxa" w:w="6360"/>
            <w:shd w:fill="F7F9FC"/>
            <w:tcMar>
              <w:top w:w="80" w:type="dxa"/>
              <w:start w:w="120" w:type="dxa"/>
              <w:bottom w:w="80" w:type="dxa"/>
              <w:end w:w="120" w:type="dxa"/>
            </w:tcMar>
            <w:vAlign w:val="center"/>
          </w:tcPr>
          <w:p>
            <w:pPr>
              <w:pStyle w:val="LBTable"/>
            </w:pPr>
            <w:r>
              <w:rPr>
                <w:rFonts w:ascii="Calibri" w:hAnsi="Calibri" w:eastAsia="Calibri"/>
                <w:color w:val="273248"/>
                <w:sz w:val="18"/>
              </w:rPr>
              <w:t>user + status; enrolment + lesson/verse (unique)</w:t>
            </w:r>
          </w:p>
        </w:tc>
      </w:tr>
      <w:tr>
        <w:trPr>
          <w:cantSplit/>
        </w:trPr>
        <w:tc>
          <w:tcPr>
            <w:tcW w:type="dxa" w:w="3000"/>
            <w:tcMar>
              <w:top w:w="80" w:type="dxa"/>
              <w:start w:w="120" w:type="dxa"/>
              <w:bottom w:w="80" w:type="dxa"/>
              <w:end w:w="120" w:type="dxa"/>
            </w:tcMar>
            <w:vAlign w:val="center"/>
          </w:tcPr>
          <w:p>
            <w:pPr>
              <w:pStyle w:val="LBTable"/>
            </w:pPr>
            <w:r>
              <w:rPr>
                <w:rFonts w:ascii="Calibri" w:hAnsi="Calibri" w:eastAsia="Calibri"/>
                <w:b/>
                <w:color w:val="17264D"/>
                <w:sz w:val="18"/>
              </w:rPr>
              <w:t>Run assessment</w:t>
            </w:r>
          </w:p>
        </w:tc>
        <w:tc>
          <w:tcPr>
            <w:tcW w:type="dxa" w:w="6360"/>
            <w:tcMar>
              <w:top w:w="80" w:type="dxa"/>
              <w:start w:w="120" w:type="dxa"/>
              <w:bottom w:w="80" w:type="dxa"/>
              <w:end w:w="120" w:type="dxa"/>
            </w:tcMar>
            <w:vAlign w:val="center"/>
          </w:tcPr>
          <w:p>
            <w:pPr>
              <w:pStyle w:val="LBTable"/>
            </w:pPr>
            <w:r>
              <w:rPr>
                <w:rFonts w:ascii="Calibri" w:hAnsi="Calibri" w:eastAsia="Calibri"/>
                <w:color w:val="273248"/>
                <w:sz w:val="18"/>
              </w:rPr>
              <w:t>enrolment + assessment + attempt number (unique)</w:t>
            </w:r>
          </w:p>
        </w:tc>
      </w:tr>
      <w:tr>
        <w:trPr>
          <w:cantSplit/>
        </w:trPr>
        <w:tc>
          <w:tcPr>
            <w:tcW w:type="dxa" w:w="3000"/>
            <w:shd w:fill="F7F9FC"/>
            <w:tcMar>
              <w:top w:w="80" w:type="dxa"/>
              <w:start w:w="120" w:type="dxa"/>
              <w:bottom w:w="80" w:type="dxa"/>
              <w:end w:w="120" w:type="dxa"/>
            </w:tcMar>
            <w:vAlign w:val="center"/>
          </w:tcPr>
          <w:p>
            <w:pPr>
              <w:pStyle w:val="LBTable"/>
            </w:pPr>
            <w:r>
              <w:rPr>
                <w:rFonts w:ascii="Calibri" w:hAnsi="Calibri" w:eastAsia="Calibri"/>
                <w:b/>
                <w:color w:val="17264D"/>
                <w:sz w:val="18"/>
              </w:rPr>
              <w:t>Ground AI answer</w:t>
            </w:r>
          </w:p>
        </w:tc>
        <w:tc>
          <w:tcPr>
            <w:tcW w:type="dxa" w:w="6360"/>
            <w:shd w:fill="F7F9FC"/>
            <w:tcMar>
              <w:top w:w="80" w:type="dxa"/>
              <w:start w:w="120" w:type="dxa"/>
              <w:bottom w:w="80" w:type="dxa"/>
              <w:end w:w="120" w:type="dxa"/>
            </w:tcMar>
            <w:vAlign w:val="center"/>
          </w:tcPr>
          <w:p>
            <w:pPr>
              <w:pStyle w:val="LBTable"/>
            </w:pPr>
            <w:r>
              <w:rPr>
                <w:rFonts w:ascii="Calibri" w:hAnsi="Calibri" w:eastAsia="Calibri"/>
                <w:color w:val="273248"/>
                <w:sz w:val="18"/>
              </w:rPr>
              <w:t>organisation + course release + publication status</w:t>
            </w:r>
          </w:p>
        </w:tc>
      </w:tr>
    </w:tbl>
    <w:p>
      <w:pPr>
        <w:spacing w:after="40"/>
      </w:pPr>
    </w:p>
    <w:p>
      <w:pPr>
        <w:pStyle w:val="LBCallout"/>
        <w:shd w:fill="E8EEF5"/>
        <w:pBdr>
          <w:left w:val="single" w:sz="28" w:space="8" w:color="2E5B9A"/>
        </w:pBdr>
      </w:pPr>
      <w:r>
        <w:rPr>
          <w:rFonts w:ascii="Calibri" w:hAnsi="Calibri" w:eastAsia="Calibri"/>
          <w:b/>
          <w:color w:val="17264D"/>
          <w:sz w:val="20"/>
        </w:rPr>
        <w:t xml:space="preserve">Service pattern  </w:t>
      </w:r>
      <w:r>
        <w:rPr>
          <w:rFonts w:ascii="Calibri" w:hAnsi="Calibri" w:eastAsia="Calibri"/>
          <w:color w:val="273248"/>
          <w:sz w:val="20"/>
        </w:rPr>
        <w:t>The lesson API should issue a small number of prepared, tenant-scoped queries. Avoid a single unrestricted join across content, learning and AI domains.</w:t>
      </w:r>
    </w:p>
    <w:p>
      <w:pPr>
        <w:pStyle w:val="Heading1"/>
      </w:pPr>
      <w:r>
        <w:t>12. Security, privacy and safeguarding</w:t>
      </w:r>
    </w:p>
    <w:p>
      <w:pPr>
        <w:pStyle w:val="Heading2"/>
      </w:pPr>
      <w:r>
        <w:t>12.1 Access controls</w:t>
      </w:r>
    </w:p>
    <w:p>
      <w:pPr>
        <w:numPr>
          <w:ilvl w:val="0"/>
          <w:numId w:val="50"/>
        </w:numPr>
        <w:spacing w:after="80" w:line="300" w:lineRule="auto"/>
      </w:pPr>
      <w:r>
        <w:t>Resolve organisation context on the server; never trust a browser-supplied tenant identifier alone.</w:t>
      </w:r>
    </w:p>
    <w:p>
      <w:pPr>
        <w:numPr>
          <w:ilvl w:val="0"/>
          <w:numId w:val="50"/>
        </w:numPr>
        <w:spacing w:after="80" w:line="300" w:lineRule="auto"/>
      </w:pPr>
      <w:r>
        <w:t>Require organisation_id in repository methods; isolate privileged platform operations and audit them.</w:t>
      </w:r>
    </w:p>
    <w:p>
      <w:pPr>
        <w:numPr>
          <w:ilvl w:val="0"/>
          <w:numId w:val="50"/>
        </w:numPr>
        <w:spacing w:after="80" w:line="300" w:lineRule="auto"/>
      </w:pPr>
      <w:r>
        <w:t>Keep publication status, rights state, answer correctness and AI scope server-side.</w:t>
      </w:r>
    </w:p>
    <w:p>
      <w:pPr>
        <w:numPr>
          <w:ilvl w:val="0"/>
          <w:numId w:val="50"/>
        </w:numPr>
        <w:spacing w:after="80" w:line="300" w:lineRule="auto"/>
      </w:pPr>
      <w:r>
        <w:t>Use separate least-privilege credentials for runtime and migration operations.</w:t>
      </w:r>
    </w:p>
    <w:p>
      <w:pPr>
        <w:numPr>
          <w:ilvl w:val="0"/>
          <w:numId w:val="50"/>
        </w:numPr>
        <w:spacing w:after="80" w:line="300" w:lineRule="auto"/>
      </w:pPr>
      <w:r>
        <w:t>Roles cover platform administrator, organisation administrator, editor, scholar/reviewer, facilitator, learner and auditor.</w:t>
      </w:r>
    </w:p>
    <w:p>
      <w:pPr>
        <w:pStyle w:val="Heading2"/>
      </w:pPr>
      <w:r>
        <w:t>12.2 Sensitive data</w:t>
      </w:r>
    </w:p>
    <w:p>
      <w:pPr>
        <w:numPr>
          <w:ilvl w:val="0"/>
          <w:numId w:val="50"/>
        </w:numPr>
        <w:spacing w:after="80" w:line="300" w:lineRule="auto"/>
      </w:pPr>
      <w:r>
        <w:t>Passwords, OTPs and session tokens remain hashed under the existing authentication design.</w:t>
      </w:r>
    </w:p>
    <w:p>
      <w:pPr>
        <w:numPr>
          <w:ilvl w:val="0"/>
          <w:numId w:val="50"/>
        </w:numPr>
        <w:spacing w:after="80" w:line="300" w:lineRule="auto"/>
      </w:pPr>
      <w:r>
        <w:t>Notes, free-text answers, editorial comments and retained AI text are application-encrypted.</w:t>
      </w:r>
    </w:p>
    <w:p>
      <w:pPr>
        <w:numPr>
          <w:ilvl w:val="0"/>
          <w:numId w:val="50"/>
        </w:numPr>
        <w:spacing w:after="80" w:line="300" w:lineRule="auto"/>
      </w:pPr>
      <w:r>
        <w:t>Store a rotating keyed IP hash only where a justified audit requirement exists; do not store raw IP addresses for analytics.</w:t>
      </w:r>
    </w:p>
    <w:p>
      <w:pPr>
        <w:numPr>
          <w:ilvl w:val="0"/>
          <w:numId w:val="50"/>
        </w:numPr>
        <w:spacing w:after="80" w:line="300" w:lineRule="auto"/>
      </w:pPr>
      <w:r>
        <w:t>Prefer birth year or age band to full date of birth when sufficient for policy.</w:t>
      </w:r>
    </w:p>
    <w:p>
      <w:pPr>
        <w:numPr>
          <w:ilvl w:val="0"/>
          <w:numId w:val="50"/>
        </w:numPr>
        <w:spacing w:after="80" w:line="300" w:lineRule="auto"/>
      </w:pPr>
      <w:r>
        <w:t>Guardian consent and policy version are evidence records, not profile flags.</w:t>
      </w:r>
    </w:p>
    <w:p>
      <w:pPr>
        <w:pStyle w:val="Heading2"/>
      </w:pPr>
      <w:r>
        <w:t>12.3 Recommended retention baseline</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900"/>
        <w:gridCol w:w="6460"/>
      </w:tblGrid>
      <w:tr>
        <w:trPr>
          <w:tblHeader w:val="true"/>
        </w:trPr>
        <w:tc>
          <w:tcPr>
            <w:tcW w:type="dxa" w:w="2900"/>
            <w:tcMar>
              <w:top w:w="80" w:type="dxa"/>
              <w:start w:w="120" w:type="dxa"/>
              <w:bottom w:w="80" w:type="dxa"/>
              <w:end w:w="120" w:type="dxa"/>
            </w:tcMar>
            <w:vAlign w:val="center"/>
            <w:shd w:fill="17264D"/>
          </w:tcPr>
          <w:p>
            <w:pPr>
              <w:pStyle w:val="LBTable"/>
            </w:pPr>
            <w:r>
              <w:rPr>
                <w:rFonts w:ascii="Calibri" w:hAnsi="Calibri" w:eastAsia="Calibri"/>
                <w:b/>
                <w:color w:val="FFFFFF"/>
                <w:sz w:val="18"/>
              </w:rPr>
              <w:t>Record</w:t>
            </w:r>
          </w:p>
        </w:tc>
        <w:tc>
          <w:tcPr>
            <w:tcW w:type="dxa" w:w="6460"/>
            <w:tcMar>
              <w:top w:w="80" w:type="dxa"/>
              <w:start w:w="120" w:type="dxa"/>
              <w:bottom w:w="80" w:type="dxa"/>
              <w:end w:w="120" w:type="dxa"/>
            </w:tcMar>
            <w:vAlign w:val="center"/>
            <w:shd w:fill="17264D"/>
          </w:tcPr>
          <w:p>
            <w:pPr>
              <w:pStyle w:val="LBTable"/>
            </w:pPr>
            <w:r>
              <w:rPr>
                <w:rFonts w:ascii="Calibri" w:hAnsi="Calibri" w:eastAsia="Calibri"/>
                <w:b/>
                <w:color w:val="FFFFFF"/>
                <w:sz w:val="18"/>
              </w:rPr>
              <w:t>Default recommendation</w:t>
            </w:r>
          </w:p>
        </w:tc>
      </w:tr>
      <w:tr>
        <w:trPr>
          <w:cantSplit/>
        </w:trPr>
        <w:tc>
          <w:tcPr>
            <w:tcW w:type="dxa" w:w="2900"/>
            <w:tcMar>
              <w:top w:w="80" w:type="dxa"/>
              <w:start w:w="120" w:type="dxa"/>
              <w:bottom w:w="80" w:type="dxa"/>
              <w:end w:w="120" w:type="dxa"/>
            </w:tcMar>
            <w:vAlign w:val="center"/>
          </w:tcPr>
          <w:p>
            <w:pPr>
              <w:pStyle w:val="LBTable"/>
            </w:pPr>
            <w:r>
              <w:rPr>
                <w:rFonts w:ascii="Calibri" w:hAnsi="Calibri" w:eastAsia="Calibri"/>
                <w:b/>
                <w:color w:val="17264D"/>
                <w:sz w:val="18"/>
              </w:rPr>
              <w:t>Sessions and challenges</w:t>
            </w:r>
          </w:p>
        </w:tc>
        <w:tc>
          <w:tcPr>
            <w:tcW w:type="dxa" w:w="6460"/>
            <w:tcMar>
              <w:top w:w="80" w:type="dxa"/>
              <w:start w:w="120" w:type="dxa"/>
              <w:bottom w:w="80" w:type="dxa"/>
              <w:end w:w="120" w:type="dxa"/>
            </w:tcMar>
            <w:vAlign w:val="center"/>
          </w:tcPr>
          <w:p>
            <w:pPr>
              <w:pStyle w:val="LBTable"/>
            </w:pPr>
            <w:r>
              <w:rPr>
                <w:rFonts w:ascii="Calibri" w:hAnsi="Calibri" w:eastAsia="Calibri"/>
                <w:color w:val="273248"/>
                <w:sz w:val="18"/>
              </w:rPr>
              <w:t>Delete after expiry and operational grace period.</w:t>
            </w:r>
          </w:p>
        </w:tc>
      </w:tr>
      <w:tr>
        <w:trPr>
          <w:cantSplit/>
        </w:trPr>
        <w:tc>
          <w:tcPr>
            <w:tcW w:type="dxa" w:w="2900"/>
            <w:shd w:fill="F7F9FC"/>
            <w:tcMar>
              <w:top w:w="80" w:type="dxa"/>
              <w:start w:w="120" w:type="dxa"/>
              <w:bottom w:w="80" w:type="dxa"/>
              <w:end w:w="120" w:type="dxa"/>
            </w:tcMar>
            <w:vAlign w:val="center"/>
          </w:tcPr>
          <w:p>
            <w:pPr>
              <w:pStyle w:val="LBTable"/>
            </w:pPr>
            <w:r>
              <w:rPr>
                <w:rFonts w:ascii="Calibri" w:hAnsi="Calibri" w:eastAsia="Calibri"/>
                <w:b/>
                <w:color w:val="17264D"/>
                <w:sz w:val="18"/>
              </w:rPr>
              <w:t>Learning progress</w:t>
            </w:r>
          </w:p>
        </w:tc>
        <w:tc>
          <w:tcPr>
            <w:tcW w:type="dxa" w:w="6460"/>
            <w:shd w:fill="F7F9FC"/>
            <w:tcMar>
              <w:top w:w="80" w:type="dxa"/>
              <w:start w:w="120" w:type="dxa"/>
              <w:bottom w:w="80" w:type="dxa"/>
              <w:end w:w="120" w:type="dxa"/>
            </w:tcMar>
            <w:vAlign w:val="center"/>
          </w:tcPr>
          <w:p>
            <w:pPr>
              <w:pStyle w:val="LBTable"/>
            </w:pPr>
            <w:r>
              <w:rPr>
                <w:rFonts w:ascii="Calibri" w:hAnsi="Calibri" w:eastAsia="Calibri"/>
                <w:color w:val="273248"/>
                <w:sz w:val="18"/>
              </w:rPr>
              <w:t>Account life plus approved statutory/contract period.</w:t>
            </w:r>
          </w:p>
        </w:tc>
      </w:tr>
      <w:tr>
        <w:trPr>
          <w:cantSplit/>
        </w:trPr>
        <w:tc>
          <w:tcPr>
            <w:tcW w:type="dxa" w:w="2900"/>
            <w:tcMar>
              <w:top w:w="80" w:type="dxa"/>
              <w:start w:w="120" w:type="dxa"/>
              <w:bottom w:w="80" w:type="dxa"/>
              <w:end w:w="120" w:type="dxa"/>
            </w:tcMar>
            <w:vAlign w:val="center"/>
          </w:tcPr>
          <w:p>
            <w:pPr>
              <w:pStyle w:val="LBTable"/>
            </w:pPr>
            <w:r>
              <w:rPr>
                <w:rFonts w:ascii="Calibri" w:hAnsi="Calibri" w:eastAsia="Calibri"/>
                <w:b/>
                <w:color w:val="17264D"/>
                <w:sz w:val="18"/>
              </w:rPr>
              <w:t>Private notes</w:t>
            </w:r>
          </w:p>
        </w:tc>
        <w:tc>
          <w:tcPr>
            <w:tcW w:type="dxa" w:w="6460"/>
            <w:tcMar>
              <w:top w:w="80" w:type="dxa"/>
              <w:start w:w="120" w:type="dxa"/>
              <w:bottom w:w="80" w:type="dxa"/>
              <w:end w:w="120" w:type="dxa"/>
            </w:tcMar>
            <w:vAlign w:val="center"/>
          </w:tcPr>
          <w:p>
            <w:pPr>
              <w:pStyle w:val="LBTable"/>
            </w:pPr>
            <w:r>
              <w:rPr>
                <w:rFonts w:ascii="Calibri" w:hAnsi="Calibri" w:eastAsia="Calibri"/>
                <w:color w:val="273248"/>
                <w:sz w:val="18"/>
              </w:rPr>
              <w:t>Until user deletion or account retention expiry.</w:t>
            </w:r>
          </w:p>
        </w:tc>
      </w:tr>
      <w:tr>
        <w:trPr>
          <w:cantSplit/>
        </w:trPr>
        <w:tc>
          <w:tcPr>
            <w:tcW w:type="dxa" w:w="2900"/>
            <w:shd w:fill="F7F9FC"/>
            <w:tcMar>
              <w:top w:w="80" w:type="dxa"/>
              <w:start w:w="120" w:type="dxa"/>
              <w:bottom w:w="80" w:type="dxa"/>
              <w:end w:w="120" w:type="dxa"/>
            </w:tcMar>
            <w:vAlign w:val="center"/>
          </w:tcPr>
          <w:p>
            <w:pPr>
              <w:pStyle w:val="LBTable"/>
            </w:pPr>
            <w:r>
              <w:rPr>
                <w:rFonts w:ascii="Calibri" w:hAnsi="Calibri" w:eastAsia="Calibri"/>
                <w:b/>
                <w:color w:val="17264D"/>
                <w:sz w:val="18"/>
              </w:rPr>
              <w:t>Learning events</w:t>
            </w:r>
          </w:p>
        </w:tc>
        <w:tc>
          <w:tcPr>
            <w:tcW w:type="dxa" w:w="6460"/>
            <w:shd w:fill="F7F9FC"/>
            <w:tcMar>
              <w:top w:w="80" w:type="dxa"/>
              <w:start w:w="120" w:type="dxa"/>
              <w:bottom w:w="80" w:type="dxa"/>
              <w:end w:w="120" w:type="dxa"/>
            </w:tcMar>
            <w:vAlign w:val="center"/>
          </w:tcPr>
          <w:p>
            <w:pPr>
              <w:pStyle w:val="LBTable"/>
            </w:pPr>
            <w:r>
              <w:rPr>
                <w:rFonts w:ascii="Calibri" w:hAnsi="Calibri" w:eastAsia="Calibri"/>
                <w:color w:val="273248"/>
                <w:sz w:val="18"/>
              </w:rPr>
              <w:t>Aggregate early; delete identifiable raw data after 90 days unless required.</w:t>
            </w:r>
          </w:p>
        </w:tc>
      </w:tr>
      <w:tr>
        <w:trPr>
          <w:cantSplit/>
        </w:trPr>
        <w:tc>
          <w:tcPr>
            <w:tcW w:type="dxa" w:w="2900"/>
            <w:tcMar>
              <w:top w:w="80" w:type="dxa"/>
              <w:start w:w="120" w:type="dxa"/>
              <w:bottom w:w="80" w:type="dxa"/>
              <w:end w:w="120" w:type="dxa"/>
            </w:tcMar>
            <w:vAlign w:val="center"/>
          </w:tcPr>
          <w:p>
            <w:pPr>
              <w:pStyle w:val="LBTable"/>
            </w:pPr>
            <w:r>
              <w:rPr>
                <w:rFonts w:ascii="Calibri" w:hAnsi="Calibri" w:eastAsia="Calibri"/>
                <w:b/>
                <w:color w:val="17264D"/>
                <w:sz w:val="18"/>
              </w:rPr>
              <w:t>Assessment attempts</w:t>
            </w:r>
          </w:p>
        </w:tc>
        <w:tc>
          <w:tcPr>
            <w:tcW w:type="dxa" w:w="6460"/>
            <w:tcMar>
              <w:top w:w="80" w:type="dxa"/>
              <w:start w:w="120" w:type="dxa"/>
              <w:bottom w:w="80" w:type="dxa"/>
              <w:end w:w="120" w:type="dxa"/>
            </w:tcMar>
            <w:vAlign w:val="center"/>
          </w:tcPr>
          <w:p>
            <w:pPr>
              <w:pStyle w:val="LBTable"/>
            </w:pPr>
            <w:r>
              <w:rPr>
                <w:rFonts w:ascii="Calibri" w:hAnsi="Calibri" w:eastAsia="Calibri"/>
                <w:color w:val="273248"/>
                <w:sz w:val="18"/>
              </w:rPr>
              <w:t>Institution/course policy; commonly 2–7 years for formal credentials.</w:t>
            </w:r>
          </w:p>
        </w:tc>
      </w:tr>
      <w:tr>
        <w:trPr>
          <w:cantSplit/>
        </w:trPr>
        <w:tc>
          <w:tcPr>
            <w:tcW w:type="dxa" w:w="2900"/>
            <w:shd w:fill="F7F9FC"/>
            <w:tcMar>
              <w:top w:w="80" w:type="dxa"/>
              <w:start w:w="120" w:type="dxa"/>
              <w:bottom w:w="80" w:type="dxa"/>
              <w:end w:w="120" w:type="dxa"/>
            </w:tcMar>
            <w:vAlign w:val="center"/>
          </w:tcPr>
          <w:p>
            <w:pPr>
              <w:pStyle w:val="LBTable"/>
            </w:pPr>
            <w:r>
              <w:rPr>
                <w:rFonts w:ascii="Calibri" w:hAnsi="Calibri" w:eastAsia="Calibri"/>
                <w:b/>
                <w:color w:val="17264D"/>
                <w:sz w:val="18"/>
              </w:rPr>
              <w:t>AI conversations</w:t>
            </w:r>
          </w:p>
        </w:tc>
        <w:tc>
          <w:tcPr>
            <w:tcW w:type="dxa" w:w="6460"/>
            <w:shd w:fill="F7F9FC"/>
            <w:tcMar>
              <w:top w:w="80" w:type="dxa"/>
              <w:start w:w="120" w:type="dxa"/>
              <w:bottom w:w="80" w:type="dxa"/>
              <w:end w:w="120" w:type="dxa"/>
            </w:tcMar>
            <w:vAlign w:val="center"/>
          </w:tcPr>
          <w:p>
            <w:pPr>
              <w:pStyle w:val="LBTable"/>
            </w:pPr>
            <w:r>
              <w:rPr>
                <w:rFonts w:ascii="Calibri" w:hAnsi="Calibri" w:eastAsia="Calibri"/>
                <w:color w:val="273248"/>
                <w:sz w:val="18"/>
              </w:rPr>
              <w:t>Off by default; otherwise short policy-defined retention.</w:t>
            </w:r>
          </w:p>
        </w:tc>
      </w:tr>
      <w:tr>
        <w:trPr>
          <w:cantSplit/>
        </w:trPr>
        <w:tc>
          <w:tcPr>
            <w:tcW w:type="dxa" w:w="2900"/>
            <w:tcMar>
              <w:top w:w="80" w:type="dxa"/>
              <w:start w:w="120" w:type="dxa"/>
              <w:bottom w:w="80" w:type="dxa"/>
              <w:end w:w="120" w:type="dxa"/>
            </w:tcMar>
            <w:vAlign w:val="center"/>
          </w:tcPr>
          <w:p>
            <w:pPr>
              <w:pStyle w:val="LBTable"/>
            </w:pPr>
            <w:r>
              <w:rPr>
                <w:rFonts w:ascii="Calibri" w:hAnsi="Calibri" w:eastAsia="Calibri"/>
                <w:b/>
                <w:color w:val="17264D"/>
                <w:sz w:val="18"/>
              </w:rPr>
              <w:t>Audit events</w:t>
            </w:r>
          </w:p>
        </w:tc>
        <w:tc>
          <w:tcPr>
            <w:tcW w:type="dxa" w:w="6460"/>
            <w:tcMar>
              <w:top w:w="80" w:type="dxa"/>
              <w:start w:w="120" w:type="dxa"/>
              <w:bottom w:w="80" w:type="dxa"/>
              <w:end w:w="120" w:type="dxa"/>
            </w:tcMar>
            <w:vAlign w:val="center"/>
          </w:tcPr>
          <w:p>
            <w:pPr>
              <w:pStyle w:val="LBTable"/>
            </w:pPr>
            <w:r>
              <w:rPr>
                <w:rFonts w:ascii="Calibri" w:hAnsi="Calibri" w:eastAsia="Calibri"/>
                <w:color w:val="273248"/>
                <w:sz w:val="18"/>
              </w:rPr>
              <w:t>12–24 months or the required compliance period.</w:t>
            </w:r>
          </w:p>
        </w:tc>
      </w:tr>
      <w:tr>
        <w:trPr>
          <w:cantSplit/>
        </w:trPr>
        <w:tc>
          <w:tcPr>
            <w:tcW w:type="dxa" w:w="2900"/>
            <w:shd w:fill="F7F9FC"/>
            <w:tcMar>
              <w:top w:w="80" w:type="dxa"/>
              <w:start w:w="120" w:type="dxa"/>
              <w:bottom w:w="80" w:type="dxa"/>
              <w:end w:w="120" w:type="dxa"/>
            </w:tcMar>
            <w:vAlign w:val="center"/>
          </w:tcPr>
          <w:p>
            <w:pPr>
              <w:pStyle w:val="LBTable"/>
            </w:pPr>
            <w:r>
              <w:rPr>
                <w:rFonts w:ascii="Calibri" w:hAnsi="Calibri" w:eastAsia="Calibri"/>
                <w:b/>
                <w:color w:val="17264D"/>
                <w:sz w:val="18"/>
              </w:rPr>
              <w:t>Published releases</w:t>
            </w:r>
          </w:p>
        </w:tc>
        <w:tc>
          <w:tcPr>
            <w:tcW w:type="dxa" w:w="6460"/>
            <w:shd w:fill="F7F9FC"/>
            <w:tcMar>
              <w:top w:w="80" w:type="dxa"/>
              <w:start w:w="120" w:type="dxa"/>
              <w:bottom w:w="80" w:type="dxa"/>
              <w:end w:w="120" w:type="dxa"/>
            </w:tcMar>
            <w:vAlign w:val="center"/>
          </w:tcPr>
          <w:p>
            <w:pPr>
              <w:pStyle w:val="LBTable"/>
            </w:pPr>
            <w:r>
              <w:rPr>
                <w:rFonts w:ascii="Calibri" w:hAnsi="Calibri" w:eastAsia="Calibri"/>
                <w:color w:val="273248"/>
                <w:sz w:val="18"/>
              </w:rPr>
              <w:t>Retain permanently with superseded/retracted state.</w:t>
            </w:r>
          </w:p>
        </w:tc>
      </w:tr>
    </w:tbl>
    <w:p>
      <w:pPr>
        <w:spacing w:after="40"/>
      </w:pPr>
    </w:p>
    <w:p>
      <w:pPr>
        <w:pStyle w:val="Heading1"/>
      </w:pPr>
      <w:r>
        <w:t>13. Backup and recovery</w:t>
      </w:r>
    </w:p>
    <w:p>
      <w:pPr>
        <w:numPr>
          <w:ilvl w:val="0"/>
          <w:numId w:val="50"/>
        </w:numPr>
        <w:spacing w:after="80" w:line="300" w:lineRule="auto"/>
      </w:pPr>
      <w:r>
        <w:t>Encrypted database backup at least daily; point-in-time recovery where supported.</w:t>
      </w:r>
    </w:p>
    <w:p>
      <w:pPr>
        <w:numPr>
          <w:ilvl w:val="0"/>
          <w:numId w:val="50"/>
        </w:numPr>
        <w:spacing w:after="80" w:line="300" w:lineRule="auto"/>
      </w:pPr>
      <w:r>
        <w:t>Object-storage versioning for licensed source files and media.</w:t>
      </w:r>
    </w:p>
    <w:p>
      <w:pPr>
        <w:numPr>
          <w:ilvl w:val="0"/>
          <w:numId w:val="50"/>
        </w:numPr>
        <w:spacing w:after="80" w:line="300" w:lineRule="auto"/>
      </w:pPr>
      <w:r>
        <w:t>Quarterly restore test into an isolated environment.</w:t>
      </w:r>
    </w:p>
    <w:p>
      <w:pPr>
        <w:numPr>
          <w:ilvl w:val="0"/>
          <w:numId w:val="50"/>
        </w:numPr>
        <w:spacing w:after="80" w:line="300" w:lineRule="auto"/>
      </w:pPr>
      <w:r>
        <w:t>Initial RPO 24 hours and RTO 8 hours; mature target RPO 15 minutes and RTO 2 hours.</w:t>
      </w:r>
    </w:p>
    <w:p>
      <w:pPr>
        <w:numPr>
          <w:ilvl w:val="0"/>
          <w:numId w:val="50"/>
        </w:numPr>
        <w:spacing w:after="80" w:line="300" w:lineRule="auto"/>
      </w:pPr>
      <w:r>
        <w:t>Verify published release checksums after restore.</w:t>
      </w:r>
    </w:p>
    <w:p>
      <w:pPr>
        <w:numPr>
          <w:ilvl w:val="0"/>
          <w:numId w:val="50"/>
        </w:numPr>
        <w:spacing w:after="80" w:line="300" w:lineRule="auto"/>
      </w:pPr>
      <w:r>
        <w:t>Provide portable organisation exports containing records, manifests and media references.</w:t>
      </w:r>
    </w:p>
    <w:p>
      <w:pPr>
        <w:numPr>
          <w:ilvl w:val="0"/>
          <w:numId w:val="50"/>
        </w:numPr>
        <w:spacing w:after="80" w:line="300" w:lineRule="auto"/>
      </w:pPr>
      <w:r>
        <w:t>A source-code backup is not a database backup.</w:t>
      </w:r>
    </w:p>
    <w:p>
      <w:pPr>
        <w:pStyle w:val="Heading1"/>
      </w:pPr>
      <w:r>
        <w:t>14. Implementation roadmap</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200"/>
        <w:gridCol w:w="7160"/>
      </w:tblGrid>
      <w:tr>
        <w:trPr>
          <w:tblHeader w:val="true"/>
        </w:trPr>
        <w:tc>
          <w:tcPr>
            <w:tcW w:type="dxa" w:w="2200"/>
            <w:tcMar>
              <w:top w:w="80" w:type="dxa"/>
              <w:start w:w="120" w:type="dxa"/>
              <w:bottom w:w="80" w:type="dxa"/>
              <w:end w:w="120" w:type="dxa"/>
            </w:tcMar>
            <w:vAlign w:val="center"/>
            <w:shd w:fill="17264D"/>
          </w:tcPr>
          <w:p>
            <w:pPr>
              <w:pStyle w:val="LBTable"/>
            </w:pPr>
            <w:r>
              <w:rPr>
                <w:rFonts w:ascii="Calibri" w:hAnsi="Calibri" w:eastAsia="Calibri"/>
                <w:b/>
                <w:color w:val="FFFFFF"/>
                <w:sz w:val="18"/>
              </w:rPr>
              <w:t>Phase</w:t>
            </w:r>
          </w:p>
        </w:tc>
        <w:tc>
          <w:tcPr>
            <w:tcW w:type="dxa" w:w="7160"/>
            <w:tcMar>
              <w:top w:w="80" w:type="dxa"/>
              <w:start w:w="120" w:type="dxa"/>
              <w:bottom w:w="80" w:type="dxa"/>
              <w:end w:w="120" w:type="dxa"/>
            </w:tcMar>
            <w:vAlign w:val="center"/>
            <w:shd w:fill="17264D"/>
          </w:tcPr>
          <w:p>
            <w:pPr>
              <w:pStyle w:val="LBTable"/>
            </w:pPr>
            <w:r>
              <w:rPr>
                <w:rFonts w:ascii="Calibri" w:hAnsi="Calibri" w:eastAsia="Calibri"/>
                <w:b/>
                <w:color w:val="FFFFFF"/>
                <w:sz w:val="18"/>
              </w:rPr>
              <w:t>Outcome</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0 · Approve</w:t>
            </w:r>
          </w:p>
        </w:tc>
        <w:tc>
          <w:tcPr>
            <w:tcW w:type="dxa" w:w="7160"/>
            <w:tcMar>
              <w:top w:w="80" w:type="dxa"/>
              <w:start w:w="120" w:type="dxa"/>
              <w:bottom w:w="80" w:type="dxa"/>
              <w:end w:w="120" w:type="dxa"/>
            </w:tcMar>
            <w:vAlign w:val="center"/>
          </w:tcPr>
          <w:p>
            <w:pPr>
              <w:pStyle w:val="LBTable"/>
            </w:pPr>
            <w:r>
              <w:rPr>
                <w:rFonts w:ascii="Calibri" w:hAnsi="Calibri" w:eastAsia="Calibri"/>
                <w:color w:val="273248"/>
                <w:sz w:val="18"/>
              </w:rPr>
              <w:t>Confirm source editions, rights, roles, child safety, privacy and retention.</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1 · Establish</w:t>
            </w:r>
          </w:p>
        </w:tc>
        <w:tc>
          <w:tcPr>
            <w:tcW w:type="dxa" w:w="7160"/>
            <w:shd w:fill="F7F9FC"/>
            <w:tcMar>
              <w:top w:w="80" w:type="dxa"/>
              <w:start w:w="120" w:type="dxa"/>
              <w:bottom w:w="80" w:type="dxa"/>
              <w:end w:w="120" w:type="dxa"/>
            </w:tcMar>
            <w:vAlign w:val="center"/>
          </w:tcPr>
          <w:p>
            <w:pPr>
              <w:pStyle w:val="LBTable"/>
            </w:pPr>
            <w:r>
              <w:rPr>
                <w:rFonts w:ascii="Calibri" w:hAnsi="Calibri" w:eastAsia="Calibri"/>
                <w:color w:val="273248"/>
                <w:sz w:val="18"/>
              </w:rPr>
              <w:t>Back up; apply authentication then platform migration; validate Unicode and tenant isolation.</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2 · Content</w:t>
            </w:r>
          </w:p>
        </w:tc>
        <w:tc>
          <w:tcPr>
            <w:tcW w:type="dxa" w:w="7160"/>
            <w:tcMar>
              <w:top w:w="80" w:type="dxa"/>
              <w:start w:w="120" w:type="dxa"/>
              <w:bottom w:w="80" w:type="dxa"/>
              <w:end w:w="120" w:type="dxa"/>
            </w:tcMar>
            <w:vAlign w:val="center"/>
          </w:tcPr>
          <w:p>
            <w:pPr>
              <w:pStyle w:val="LBTable"/>
            </w:pPr>
            <w:r>
              <w:rPr>
                <w:rFonts w:ascii="Calibri" w:hAnsi="Calibri" w:eastAsia="Calibri"/>
                <w:color w:val="273248"/>
                <w:sz w:val="18"/>
              </w:rPr>
              <w:t>Add repositories and import tooling; replace code-embedded 2.47/2.48 with database reads.</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3 · Learning</w:t>
            </w:r>
          </w:p>
        </w:tc>
        <w:tc>
          <w:tcPr>
            <w:tcW w:type="dxa" w:w="7160"/>
            <w:shd w:fill="F7F9FC"/>
            <w:tcMar>
              <w:top w:w="80" w:type="dxa"/>
              <w:start w:w="120" w:type="dxa"/>
              <w:bottom w:w="80" w:type="dxa"/>
              <w:end w:w="120" w:type="dxa"/>
            </w:tcMar>
            <w:vAlign w:val="center"/>
          </w:tcPr>
          <w:p>
            <w:pPr>
              <w:pStyle w:val="LBTable"/>
            </w:pPr>
            <w:r>
              <w:rPr>
                <w:rFonts w:ascii="Calibri" w:hAnsi="Calibri" w:eastAsia="Calibri"/>
                <w:color w:val="273248"/>
                <w:sz w:val="18"/>
              </w:rPr>
              <w:t>Create enrolments and normalized progress; dual-write and reconcile before retiring learner_states.</w:t>
            </w:r>
          </w:p>
        </w:tc>
      </w:tr>
      <w:tr>
        <w:trPr>
          <w:cantSplit/>
        </w:trPr>
        <w:tc>
          <w:tcPr>
            <w:tcW w:type="dxa" w:w="2200"/>
            <w:tcMar>
              <w:top w:w="80" w:type="dxa"/>
              <w:start w:w="120" w:type="dxa"/>
              <w:bottom w:w="80" w:type="dxa"/>
              <w:end w:w="120" w:type="dxa"/>
            </w:tcMar>
            <w:vAlign w:val="center"/>
          </w:tcPr>
          <w:p>
            <w:pPr>
              <w:pStyle w:val="LBTable"/>
            </w:pPr>
            <w:r>
              <w:rPr>
                <w:rFonts w:ascii="Calibri" w:hAnsi="Calibri" w:eastAsia="Calibri"/>
                <w:b/>
                <w:color w:val="17264D"/>
                <w:sz w:val="18"/>
              </w:rPr>
              <w:t>4 · Partners</w:t>
            </w:r>
          </w:p>
        </w:tc>
        <w:tc>
          <w:tcPr>
            <w:tcW w:type="dxa" w:w="7160"/>
            <w:tcMar>
              <w:top w:w="80" w:type="dxa"/>
              <w:start w:w="120" w:type="dxa"/>
              <w:bottom w:w="80" w:type="dxa"/>
              <w:end w:w="120" w:type="dxa"/>
            </w:tcMar>
            <w:vAlign w:val="center"/>
          </w:tcPr>
          <w:p>
            <w:pPr>
              <w:pStyle w:val="LBTable"/>
            </w:pPr>
            <w:r>
              <w:rPr>
                <w:rFonts w:ascii="Calibri" w:hAnsi="Calibri" w:eastAsia="Calibri"/>
                <w:color w:val="273248"/>
                <w:sz w:val="18"/>
              </w:rPr>
              <w:t>Add organisation, school, cohort, roster, editorial review and publication administration.</w:t>
            </w:r>
          </w:p>
        </w:tc>
      </w:tr>
      <w:tr>
        <w:trPr>
          <w:cantSplit/>
        </w:trPr>
        <w:tc>
          <w:tcPr>
            <w:tcW w:type="dxa" w:w="2200"/>
            <w:shd w:fill="F7F9FC"/>
            <w:tcMar>
              <w:top w:w="80" w:type="dxa"/>
              <w:start w:w="120" w:type="dxa"/>
              <w:bottom w:w="80" w:type="dxa"/>
              <w:end w:w="120" w:type="dxa"/>
            </w:tcMar>
            <w:vAlign w:val="center"/>
          </w:tcPr>
          <w:p>
            <w:pPr>
              <w:pStyle w:val="LBTable"/>
            </w:pPr>
            <w:r>
              <w:rPr>
                <w:rFonts w:ascii="Calibri" w:hAnsi="Calibri" w:eastAsia="Calibri"/>
                <w:b/>
                <w:color w:val="17264D"/>
                <w:sz w:val="18"/>
              </w:rPr>
              <w:t>5 · AI</w:t>
            </w:r>
          </w:p>
        </w:tc>
        <w:tc>
          <w:tcPr>
            <w:tcW w:type="dxa" w:w="7160"/>
            <w:shd w:fill="F7F9FC"/>
            <w:tcMar>
              <w:top w:w="80" w:type="dxa"/>
              <w:start w:w="120" w:type="dxa"/>
              <w:bottom w:w="80" w:type="dxa"/>
              <w:end w:w="120" w:type="dxa"/>
            </w:tcMar>
            <w:vAlign w:val="center"/>
          </w:tcPr>
          <w:p>
            <w:pPr>
              <w:pStyle w:val="LBTable"/>
            </w:pPr>
            <w:r>
              <w:rPr>
                <w:rFonts w:ascii="Calibri" w:hAnsi="Calibri" w:eastAsia="Calibri"/>
                <w:color w:val="273248"/>
                <w:sz w:val="18"/>
              </w:rPr>
              <w:t>Index rights-cleared sources; launch retrieval-only; evaluate before any model-assisted mode.</w:t>
            </w:r>
          </w:p>
        </w:tc>
      </w:tr>
    </w:tbl>
    <w:p>
      <w:pPr>
        <w:spacing w:after="40"/>
      </w:pPr>
    </w:p>
    <w:p>
      <w:pPr>
        <w:pStyle w:val="Heading1"/>
      </w:pPr>
      <w:r>
        <w:t>15. Delivery artefacts</w:t>
      </w:r>
    </w:p>
    <w:tbl>
      <w:tblPr>
        <w:tblW w:type="dxa" w:w="9360"/>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800"/>
        <w:gridCol w:w="5560"/>
      </w:tblGrid>
      <w:tr>
        <w:trPr>
          <w:tblHeader w:val="true"/>
        </w:trPr>
        <w:tc>
          <w:tcPr>
            <w:tcW w:type="dxa" w:w="3800"/>
            <w:tcMar>
              <w:top w:w="80" w:type="dxa"/>
              <w:start w:w="120" w:type="dxa"/>
              <w:bottom w:w="80" w:type="dxa"/>
              <w:end w:w="120" w:type="dxa"/>
            </w:tcMar>
            <w:vAlign w:val="center"/>
            <w:shd w:fill="17264D"/>
          </w:tcPr>
          <w:p>
            <w:pPr>
              <w:pStyle w:val="LBTable"/>
            </w:pPr>
            <w:r>
              <w:rPr>
                <w:rFonts w:ascii="Calibri" w:hAnsi="Calibri" w:eastAsia="Calibri"/>
                <w:b/>
                <w:color w:val="FFFFFF"/>
                <w:sz w:val="18"/>
              </w:rPr>
              <w:t>Artefact</w:t>
            </w:r>
          </w:p>
        </w:tc>
        <w:tc>
          <w:tcPr>
            <w:tcW w:type="dxa" w:w="5560"/>
            <w:tcMar>
              <w:top w:w="80" w:type="dxa"/>
              <w:start w:w="120" w:type="dxa"/>
              <w:bottom w:w="80" w:type="dxa"/>
              <w:end w:w="120" w:type="dxa"/>
            </w:tcMar>
            <w:vAlign w:val="center"/>
            <w:shd w:fill="17264D"/>
          </w:tcPr>
          <w:p>
            <w:pPr>
              <w:pStyle w:val="LBTable"/>
            </w:pPr>
            <w:r>
              <w:rPr>
                <w:rFonts w:ascii="Calibri" w:hAnsi="Calibri" w:eastAsia="Calibri"/>
                <w:b/>
                <w:color w:val="FFFFFF"/>
                <w:sz w:val="18"/>
              </w:rPr>
              <w:t>Purpose</w:t>
            </w:r>
          </w:p>
        </w:tc>
      </w:tr>
      <w:tr>
        <w:trPr>
          <w:cantSplit/>
        </w:trPr>
        <w:tc>
          <w:tcPr>
            <w:tcW w:type="dxa" w:w="3800"/>
            <w:tcMar>
              <w:top w:w="80" w:type="dxa"/>
              <w:start w:w="120" w:type="dxa"/>
              <w:bottom w:w="80" w:type="dxa"/>
              <w:end w:w="120" w:type="dxa"/>
            </w:tcMar>
            <w:vAlign w:val="center"/>
          </w:tcPr>
          <w:p>
            <w:pPr>
              <w:pStyle w:val="LBTable"/>
            </w:pPr>
            <w:r>
              <w:rPr>
                <w:rFonts w:ascii="Calibri" w:hAnsi="Calibri" w:eastAsia="Calibri"/>
                <w:b/>
                <w:color w:val="17264D"/>
                <w:sz w:val="18"/>
              </w:rPr>
              <w:t>db/schema.ts</w:t>
            </w:r>
          </w:p>
        </w:tc>
        <w:tc>
          <w:tcPr>
            <w:tcW w:type="dxa" w:w="5560"/>
            <w:tcMar>
              <w:top w:w="80" w:type="dxa"/>
              <w:start w:w="120" w:type="dxa"/>
              <w:bottom w:w="80" w:type="dxa"/>
              <w:end w:w="120" w:type="dxa"/>
            </w:tcMar>
            <w:vAlign w:val="center"/>
          </w:tcPr>
          <w:p>
            <w:pPr>
              <w:pStyle w:val="LBTable"/>
            </w:pPr>
            <w:r>
              <w:rPr>
                <w:rFonts w:ascii="Calibri" w:hAnsi="Calibri" w:eastAsia="Calibri"/>
                <w:color w:val="273248"/>
                <w:sz w:val="18"/>
              </w:rPr>
              <w:t>Stable schema entry point.</w:t>
            </w:r>
          </w:p>
        </w:tc>
      </w:tr>
      <w:tr>
        <w:trPr>
          <w:cantSplit/>
        </w:trPr>
        <w:tc>
          <w:tcPr>
            <w:tcW w:type="dxa" w:w="3800"/>
            <w:shd w:fill="F7F9FC"/>
            <w:tcMar>
              <w:top w:w="80" w:type="dxa"/>
              <w:start w:w="120" w:type="dxa"/>
              <w:bottom w:w="80" w:type="dxa"/>
              <w:end w:w="120" w:type="dxa"/>
            </w:tcMar>
            <w:vAlign w:val="center"/>
          </w:tcPr>
          <w:p>
            <w:pPr>
              <w:pStyle w:val="LBTable"/>
            </w:pPr>
            <w:r>
              <w:rPr>
                <w:rFonts w:ascii="Calibri" w:hAnsi="Calibri" w:eastAsia="Calibri"/>
                <w:b/>
                <w:color w:val="17264D"/>
                <w:sz w:val="18"/>
              </w:rPr>
              <w:t>db/auth-schema.ts</w:t>
            </w:r>
          </w:p>
        </w:tc>
        <w:tc>
          <w:tcPr>
            <w:tcW w:type="dxa" w:w="5560"/>
            <w:shd w:fill="F7F9FC"/>
            <w:tcMar>
              <w:top w:w="80" w:type="dxa"/>
              <w:start w:w="120" w:type="dxa"/>
              <w:bottom w:w="80" w:type="dxa"/>
              <w:end w:w="120" w:type="dxa"/>
            </w:tcMar>
            <w:vAlign w:val="center"/>
          </w:tcPr>
          <w:p>
            <w:pPr>
              <w:pStyle w:val="LBTable"/>
            </w:pPr>
            <w:r>
              <w:rPr>
                <w:rFonts w:ascii="Calibri" w:hAnsi="Calibri" w:eastAsia="Calibri"/>
                <w:color w:val="273248"/>
                <w:sz w:val="18"/>
              </w:rPr>
              <w:t>Existing identity and compatibility definitions.</w:t>
            </w:r>
          </w:p>
        </w:tc>
      </w:tr>
      <w:tr>
        <w:trPr>
          <w:cantSplit/>
        </w:trPr>
        <w:tc>
          <w:tcPr>
            <w:tcW w:type="dxa" w:w="3800"/>
            <w:tcMar>
              <w:top w:w="80" w:type="dxa"/>
              <w:start w:w="120" w:type="dxa"/>
              <w:bottom w:w="80" w:type="dxa"/>
              <w:end w:w="120" w:type="dxa"/>
            </w:tcMar>
            <w:vAlign w:val="center"/>
          </w:tcPr>
          <w:p>
            <w:pPr>
              <w:pStyle w:val="LBTable"/>
            </w:pPr>
            <w:r>
              <w:rPr>
                <w:rFonts w:ascii="Calibri" w:hAnsi="Calibri" w:eastAsia="Calibri"/>
                <w:b/>
                <w:color w:val="17264D"/>
                <w:sz w:val="18"/>
              </w:rPr>
              <w:t>db/learning-schema.ts</w:t>
            </w:r>
          </w:p>
        </w:tc>
        <w:tc>
          <w:tcPr>
            <w:tcW w:type="dxa" w:w="5560"/>
            <w:tcMar>
              <w:top w:w="80" w:type="dxa"/>
              <w:start w:w="120" w:type="dxa"/>
              <w:bottom w:w="80" w:type="dxa"/>
              <w:end w:w="120" w:type="dxa"/>
            </w:tcMar>
            <w:vAlign w:val="center"/>
          </w:tcPr>
          <w:p>
            <w:pPr>
              <w:pStyle w:val="LBTable"/>
            </w:pPr>
            <w:r>
              <w:rPr>
                <w:rFonts w:ascii="Calibri" w:hAnsi="Calibri" w:eastAsia="Calibri"/>
                <w:color w:val="273248"/>
                <w:sz w:val="18"/>
              </w:rPr>
              <w:t>Type-safe definition of all 78 future-state product tables.</w:t>
            </w:r>
          </w:p>
        </w:tc>
      </w:tr>
      <w:tr>
        <w:trPr>
          <w:cantSplit/>
        </w:trPr>
        <w:tc>
          <w:tcPr>
            <w:tcW w:type="dxa" w:w="3800"/>
            <w:shd w:fill="F7F9FC"/>
            <w:tcMar>
              <w:top w:w="80" w:type="dxa"/>
              <w:start w:w="120" w:type="dxa"/>
              <w:bottom w:w="80" w:type="dxa"/>
              <w:end w:w="120" w:type="dxa"/>
            </w:tcMar>
            <w:vAlign w:val="center"/>
          </w:tcPr>
          <w:p>
            <w:pPr>
              <w:pStyle w:val="LBTable"/>
            </w:pPr>
            <w:r>
              <w:rPr>
                <w:rFonts w:ascii="Calibri" w:hAnsi="Calibri" w:eastAsia="Calibri"/>
                <w:b/>
                <w:color w:val="17264D"/>
                <w:sz w:val="18"/>
              </w:rPr>
              <w:t>database/platform-migrations/0000_create_learning_platform.sql</w:t>
            </w:r>
          </w:p>
        </w:tc>
        <w:tc>
          <w:tcPr>
            <w:tcW w:type="dxa" w:w="5560"/>
            <w:shd w:fill="F7F9FC"/>
            <w:tcMar>
              <w:top w:w="80" w:type="dxa"/>
              <w:start w:w="120" w:type="dxa"/>
              <w:bottom w:w="80" w:type="dxa"/>
              <w:end w:w="120" w:type="dxa"/>
            </w:tcMar>
            <w:vAlign w:val="center"/>
          </w:tcPr>
          <w:p>
            <w:pPr>
              <w:pStyle w:val="LBTable"/>
            </w:pPr>
            <w:r>
              <w:rPr>
                <w:rFonts w:ascii="Calibri" w:hAnsi="Calibri" w:eastAsia="Calibri"/>
                <w:color w:val="273248"/>
                <w:sz w:val="18"/>
              </w:rPr>
              <w:t>Generated MySQL migration with foreign keys and indexes.</w:t>
            </w:r>
          </w:p>
        </w:tc>
      </w:tr>
      <w:tr>
        <w:trPr>
          <w:cantSplit/>
        </w:trPr>
        <w:tc>
          <w:tcPr>
            <w:tcW w:type="dxa" w:w="3800"/>
            <w:tcMar>
              <w:top w:w="80" w:type="dxa"/>
              <w:start w:w="120" w:type="dxa"/>
              <w:bottom w:w="80" w:type="dxa"/>
              <w:end w:w="120" w:type="dxa"/>
            </w:tcMar>
            <w:vAlign w:val="center"/>
          </w:tcPr>
          <w:p>
            <w:pPr>
              <w:pStyle w:val="LBTable"/>
            </w:pPr>
            <w:r>
              <w:rPr>
                <w:rFonts w:ascii="Calibri" w:hAnsi="Calibri" w:eastAsia="Calibri"/>
                <w:b/>
                <w:color w:val="17264D"/>
                <w:sz w:val="18"/>
              </w:rPr>
              <w:t>database/seeds/001_living_bliss_gita_prototype.sql</w:t>
            </w:r>
          </w:p>
        </w:tc>
        <w:tc>
          <w:tcPr>
            <w:tcW w:type="dxa" w:w="5560"/>
            <w:tcMar>
              <w:top w:w="80" w:type="dxa"/>
              <w:start w:w="120" w:type="dxa"/>
              <w:bottom w:w="80" w:type="dxa"/>
              <w:end w:w="120" w:type="dxa"/>
            </w:tcMar>
            <w:vAlign w:val="center"/>
          </w:tcPr>
          <w:p>
            <w:pPr>
              <w:pStyle w:val="LBTable"/>
            </w:pPr>
            <w:r>
              <w:rPr>
                <w:rFonts w:ascii="Calibri" w:hAnsi="Calibri" w:eastAsia="Calibri"/>
                <w:color w:val="273248"/>
                <w:sz w:val="18"/>
              </w:rPr>
              <w:t>Representative multilingual Gita 2.47/2.48, gurus, course and assessment.</w:t>
            </w:r>
          </w:p>
        </w:tc>
      </w:tr>
      <w:tr>
        <w:trPr>
          <w:cantSplit/>
        </w:trPr>
        <w:tc>
          <w:tcPr>
            <w:tcW w:type="dxa" w:w="3800"/>
            <w:shd w:fill="F7F9FC"/>
            <w:tcMar>
              <w:top w:w="80" w:type="dxa"/>
              <w:start w:w="120" w:type="dxa"/>
              <w:bottom w:w="80" w:type="dxa"/>
              <w:end w:w="120" w:type="dxa"/>
            </w:tcMar>
            <w:vAlign w:val="center"/>
          </w:tcPr>
          <w:p>
            <w:pPr>
              <w:pStyle w:val="LBTable"/>
            </w:pPr>
            <w:r>
              <w:rPr>
                <w:rFonts w:ascii="Calibri" w:hAnsi="Calibri" w:eastAsia="Calibri"/>
                <w:b/>
                <w:color w:val="17264D"/>
                <w:sz w:val="18"/>
              </w:rPr>
              <w:t>docs/LIVING_BLISS_DATABASE_ARCHITECTURE.md</w:t>
            </w:r>
          </w:p>
        </w:tc>
        <w:tc>
          <w:tcPr>
            <w:tcW w:type="dxa" w:w="5560"/>
            <w:shd w:fill="F7F9FC"/>
            <w:tcMar>
              <w:top w:w="80" w:type="dxa"/>
              <w:start w:w="120" w:type="dxa"/>
              <w:bottom w:w="80" w:type="dxa"/>
              <w:end w:w="120" w:type="dxa"/>
            </w:tcMar>
            <w:vAlign w:val="center"/>
          </w:tcPr>
          <w:p>
            <w:pPr>
              <w:pStyle w:val="LBTable"/>
            </w:pPr>
            <w:r>
              <w:rPr>
                <w:rFonts w:ascii="Calibri" w:hAnsi="Calibri" w:eastAsia="Calibri"/>
                <w:color w:val="273248"/>
                <w:sz w:val="18"/>
              </w:rPr>
              <w:t>Version-controlled technical design.</w:t>
            </w:r>
          </w:p>
        </w:tc>
      </w:tr>
      <w:tr>
        <w:trPr>
          <w:cantSplit/>
        </w:trPr>
        <w:tc>
          <w:tcPr>
            <w:tcW w:type="dxa" w:w="3800"/>
            <w:tcMar>
              <w:top w:w="80" w:type="dxa"/>
              <w:start w:w="120" w:type="dxa"/>
              <w:bottom w:w="80" w:type="dxa"/>
              <w:end w:w="120" w:type="dxa"/>
            </w:tcMar>
            <w:vAlign w:val="center"/>
          </w:tcPr>
          <w:p>
            <w:pPr>
              <w:pStyle w:val="LBTable"/>
            </w:pPr>
            <w:r>
              <w:rPr>
                <w:rFonts w:ascii="Calibri" w:hAnsi="Calibri" w:eastAsia="Calibri"/>
                <w:b/>
                <w:color w:val="17264D"/>
                <w:sz w:val="18"/>
              </w:rPr>
              <w:t>This Word document</w:t>
            </w:r>
          </w:p>
        </w:tc>
        <w:tc>
          <w:tcPr>
            <w:tcW w:type="dxa" w:w="5560"/>
            <w:tcMar>
              <w:top w:w="80" w:type="dxa"/>
              <w:start w:w="120" w:type="dxa"/>
              <w:bottom w:w="80" w:type="dxa"/>
              <w:end w:w="120" w:type="dxa"/>
            </w:tcMar>
            <w:vAlign w:val="center"/>
          </w:tcPr>
          <w:p>
            <w:pPr>
              <w:pStyle w:val="LBTable"/>
            </w:pPr>
            <w:r>
              <w:rPr>
                <w:rFonts w:ascii="Calibri" w:hAnsi="Calibri" w:eastAsia="Calibri"/>
                <w:color w:val="273248"/>
                <w:sz w:val="18"/>
              </w:rPr>
              <w:t>Shareable design handoff for the development organisation.</w:t>
            </w:r>
          </w:p>
        </w:tc>
      </w:tr>
    </w:tbl>
    <w:p>
      <w:pPr>
        <w:spacing w:after="40"/>
      </w:pPr>
    </w:p>
    <w:p>
      <w:pPr>
        <w:pStyle w:val="Heading1"/>
      </w:pPr>
      <w:r>
        <w:t>16. Decisions before production content loading</w:t>
      </w:r>
    </w:p>
    <w:p>
      <w:pPr>
        <w:numPr>
          <w:ilvl w:val="0"/>
          <w:numId w:val="51"/>
        </w:numPr>
        <w:spacing w:after="80" w:line="300" w:lineRule="auto"/>
      </w:pPr>
      <w:r>
        <w:t>Select the authoritative Sanskrit base edition for each organisation.</w:t>
      </w:r>
    </w:p>
    <w:p>
      <w:pPr>
        <w:numPr>
          <w:ilvl w:val="0"/>
          <w:numId w:val="51"/>
        </w:numPr>
        <w:spacing w:after="80" w:line="300" w:lineRule="auto"/>
      </w:pPr>
      <w:r>
        <w:t>Confirm licensed translations and bhāṣya editions for every supported language.</w:t>
      </w:r>
    </w:p>
    <w:p>
      <w:pPr>
        <w:numPr>
          <w:ilvl w:val="0"/>
          <w:numId w:val="51"/>
        </w:numPr>
        <w:spacing w:after="80" w:line="300" w:lineRule="auto"/>
      </w:pPr>
      <w:r>
        <w:t>Decide whether each commentary edition contains full text, approved summaries or both.</w:t>
      </w:r>
    </w:p>
    <w:p>
      <w:pPr>
        <w:numPr>
          <w:ilvl w:val="0"/>
          <w:numId w:val="51"/>
        </w:numPr>
        <w:spacing w:after="80" w:line="300" w:lineRule="auto"/>
      </w:pPr>
      <w:r>
        <w:t>Name the approvers for scripture, linguistic analysis, translation, pedagogy, rights and accessibility.</w:t>
      </w:r>
    </w:p>
    <w:p>
      <w:pPr>
        <w:numPr>
          <w:ilvl w:val="0"/>
          <w:numId w:val="51"/>
        </w:numPr>
        <w:spacing w:after="80" w:line="300" w:lineRule="auto"/>
      </w:pPr>
      <w:r>
        <w:t>Select the first school age bands and jurisdictions.</w:t>
      </w:r>
    </w:p>
    <w:p>
      <w:pPr>
        <w:numPr>
          <w:ilvl w:val="0"/>
          <w:numId w:val="51"/>
        </w:numPr>
        <w:spacing w:after="80" w:line="300" w:lineRule="auto"/>
      </w:pPr>
      <w:r>
        <w:t>Approve course completion, reassessment and certificate rules.</w:t>
      </w:r>
    </w:p>
    <w:p>
      <w:pPr>
        <w:numPr>
          <w:ilvl w:val="0"/>
          <w:numId w:val="51"/>
        </w:numPr>
        <w:spacing w:after="80" w:line="300" w:lineRule="auto"/>
      </w:pPr>
      <w:r>
        <w:t>Select object storage and video streaming providers.</w:t>
      </w:r>
    </w:p>
    <w:p>
      <w:pPr>
        <w:numPr>
          <w:ilvl w:val="0"/>
          <w:numId w:val="51"/>
        </w:numPr>
        <w:spacing w:after="80" w:line="300" w:lineRule="auto"/>
      </w:pPr>
      <w:r>
        <w:t>Approve data residency, retention and child-safeguarding rules.</w:t>
      </w:r>
    </w:p>
    <w:p>
      <w:pPr>
        <w:numPr>
          <w:ilvl w:val="0"/>
          <w:numId w:val="51"/>
        </w:numPr>
        <w:spacing w:after="80" w:line="300" w:lineRule="auto"/>
      </w:pPr>
      <w:r>
        <w:t>Confirm retrieval-only AI at launch and the evaluation threshold required for model assistance.</w:t>
      </w:r>
    </w:p>
    <w:p>
      <w:pPr>
        <w:pStyle w:val="LBCallout"/>
        <w:shd w:fill="FBF0E2"/>
        <w:pBdr>
          <w:left w:val="single" w:sz="28" w:space="8" w:color="B66A26"/>
        </w:pBdr>
      </w:pPr>
      <w:r>
        <w:rPr>
          <w:rFonts w:ascii="Calibri" w:hAnsi="Calibri" w:eastAsia="Calibri"/>
          <w:b/>
          <w:color w:val="17264D"/>
          <w:sz w:val="20"/>
        </w:rPr>
        <w:t xml:space="preserve">Production gate  </w:t>
      </w:r>
      <w:r>
        <w:rPr>
          <w:rFonts w:ascii="Calibri" w:hAnsi="Calibri" w:eastAsia="Calibri"/>
          <w:color w:val="273248"/>
          <w:sz w:val="20"/>
        </w:rPr>
        <w:t>Until these decisions are recorded, representative scripture, translation and commentary records must remain draft/prototype and must not be presented as an authorised edition.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675"/>
        <w:sz w:val="16"/>
      </w:rPr>
      <w:t xml:space="preserve">VERSION 1.0  •  3 SEPTEMBER 2026  •  </w:t>
      <w:fldChar w:fldCharType="begin"/>
      <w:instrText xml:space="preserve">PAGE</w:instrText>
      <w:fldChar w:fldCharType="separate"/>
      <w:t>1</w:t>
      <w:fldChar w:fldCharType="end"/>
      <w:t xml:space="preserve"> OF </w:t>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D6675"/>
        <w:sz w:val="16"/>
      </w:rPr>
      <w:t>LIVING BLISS  /  DATABASE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540"/>
        </w:tabs>
        <w:ind w:left="540" w:hanging="270"/>
      </w:pPr>
      <w:rPr>
        <w:rFonts w:ascii="Symbol" w:hAnsi="Symbol"/>
      </w:rPr>
    </w:lvl>
  </w:abstractNum>
  <w:num w:numId="50">
    <w:abstractNumId w:val="50"/>
  </w:num>
  <w:abstractNum w:abstractNumId="51">
    <w:multiLevelType w:val="singleLevel"/>
    <w:lvl w:ilvl="0">
      <w:start w:val="1"/>
      <w:numFmt w:val="decimal"/>
      <w:lvlText w:val="%1."/>
      <w:lvlJc w:val="left"/>
      <w:pPr>
        <w:tabs>
          <w:tab w:val="num" w:pos="540"/>
        </w:tabs>
        <w:ind w:left="540" w:hanging="27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732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5B9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B9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6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BLead">
    <w:name w:val="LB Lead"/>
    <w:pPr>
      <w:spacing w:before="0" w:after="240" w:line="288" w:lineRule="auto"/>
    </w:pPr>
    <w:rPr>
      <w:rFonts w:ascii="Calibri" w:hAnsi="Calibri"/>
      <w:b w:val="0"/>
      <w:i w:val="0"/>
      <w:color w:val="5D6675"/>
      <w:sz w:val="25"/>
    </w:rPr>
  </w:style>
  <w:style w:type="paragraph" w:customStyle="1" w:styleId="LBKicker">
    <w:name w:val="LB Kicker"/>
    <w:pPr>
      <w:spacing w:before="0" w:after="80" w:line="240" w:lineRule="auto"/>
    </w:pPr>
    <w:rPr>
      <w:rFonts w:ascii="Calibri" w:hAnsi="Calibri"/>
      <w:b/>
      <w:i w:val="0"/>
      <w:color w:val="B66A26"/>
      <w:sz w:val="18"/>
    </w:rPr>
  </w:style>
  <w:style w:type="paragraph" w:customStyle="1" w:styleId="LBCallout">
    <w:name w:val="LB Callout"/>
    <w:pPr>
      <w:spacing w:before="80" w:after="160" w:line="288" w:lineRule="auto"/>
      <w:ind w:left="230" w:right="173"/>
    </w:pPr>
    <w:rPr>
      <w:rFonts w:ascii="Calibri" w:hAnsi="Calibri"/>
      <w:b w:val="0"/>
      <w:i w:val="0"/>
      <w:color w:val="273248"/>
      <w:sz w:val="20"/>
    </w:rPr>
  </w:style>
  <w:style w:type="paragraph" w:customStyle="1" w:styleId="LBTable">
    <w:name w:val="LB Table"/>
    <w:pPr>
      <w:spacing w:before="0" w:after="0" w:line="276" w:lineRule="auto"/>
    </w:pPr>
    <w:rPr>
      <w:rFonts w:ascii="Calibri" w:hAnsi="Calibri"/>
      <w:b w:val="0"/>
      <w:i w:val="0"/>
      <w:color w:val="273248"/>
      <w:sz w:val="18"/>
    </w:rPr>
  </w:style>
  <w:style w:type="paragraph" w:customStyle="1" w:styleId="LBCaption">
    <w:name w:val="LB Caption"/>
    <w:pPr>
      <w:spacing w:before="0" w:after="160" w:line="276" w:lineRule="auto"/>
    </w:pPr>
    <w:rPr>
      <w:rFonts w:ascii="Calibri" w:hAnsi="Calibri"/>
      <w:b w:val="0"/>
      <w:i/>
      <w:color w:val="5D6675"/>
      <w:sz w:val="17"/>
    </w:rPr>
  </w:style>
  <w:style w:type="paragraph" w:customStyle="1" w:styleId="LBMetadata">
    <w:name w:val="LB Metadata"/>
    <w:pPr>
      <w:spacing w:before="0" w:after="60" w:line="264" w:lineRule="auto"/>
    </w:pPr>
    <w:rPr>
      <w:rFonts w:ascii="Calibri" w:hAnsi="Calibri"/>
      <w:b w:val="0"/>
      <w:i w:val="0"/>
      <w:color w:val="5D6675"/>
      <w:sz w:val="19"/>
    </w:rPr>
  </w:style>
  <w:style w:type="paragraph" w:customStyle="1" w:styleId="LBCode">
    <w:name w:val="LB Code"/>
    <w:pPr>
      <w:spacing w:before="0" w:after="60" w:line="252" w:lineRule="auto"/>
    </w:pPr>
    <w:rPr>
      <w:rFonts w:ascii="Calibri" w:hAnsi="Calibri"/>
      <w:b w:val="0"/>
      <w:i w:val="0"/>
      <w:color w:val="27324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Bliss Complete Database Architecture and Data Design</dc:title>
  <dc:subject>Future-state database design for the Living Bliss Digital Library and Bhagavad Gita learning platform</dc:subject>
  <dc:creator>Living Bliss</dc:creator>
  <cp:keywords>Living Bliss, Bhagavad Gita, database, MySQL, multi-tenant, AI, learning platform</cp:keywords>
  <dc:description>generated by python-docx</dc:description>
  <cp:lastModifiedBy/>
  <cp:revision>1</cp:revision>
  <dcterms:created xsi:type="dcterms:W3CDTF">2013-12-23T23:15:00Z</dcterms:created>
  <dcterms:modified xsi:type="dcterms:W3CDTF">2013-12-23T23:15:00Z</dcterms:modified>
  <cp:category/>
</cp:coreProperties>
</file>