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520"/>
        <w:jc w:val="center"/>
      </w:pPr>
      <w:r>
        <w:drawing>
          <wp:inline xmlns:a="http://schemas.openxmlformats.org/drawingml/2006/main" xmlns:pic="http://schemas.openxmlformats.org/drawingml/2006/picture">
            <wp:extent cx="2148840" cy="955040"/>
            <wp:docPr id="1" name="Picture 1" descr="Living Bliss — Awakening Inner Bli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ing-bliss-logo-202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95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b/>
          <w:i w:val="0"/>
          <w:color w:val="D9832E"/>
          <w:sz w:val="20"/>
        </w:rPr>
        <w:t>TECHNICAL DESIGN SPECIFICATION</w:t>
      </w:r>
    </w:p>
    <w:p>
      <w:pPr>
        <w:spacing w:before="0" w:after="40"/>
        <w:jc w:val="center"/>
      </w:pPr>
      <w:r>
        <w:rPr>
          <w:rFonts w:ascii="Arial" w:hAnsi="Arial"/>
          <w:b/>
          <w:i w:val="0"/>
          <w:color w:val="18264F"/>
          <w:sz w:val="58"/>
        </w:rPr>
        <w:t>Bhagavad Gita Learning Platform</w:t>
      </w:r>
    </w:p>
    <w:p>
      <w:pPr>
        <w:spacing w:before="0" w:after="240"/>
        <w:jc w:val="center"/>
      </w:pPr>
      <w:r>
        <w:rPr>
          <w:rFonts w:ascii="Arial" w:hAnsi="Arial"/>
          <w:b/>
          <w:i w:val="0"/>
          <w:color w:val="243B78"/>
          <w:sz w:val="46"/>
        </w:rPr>
        <w:t>Complete User Interface Wireframes</w:t>
      </w:r>
    </w:p>
    <w:p>
      <w:pPr>
        <w:spacing w:before="0" w:after="560"/>
        <w:jc w:val="center"/>
      </w:pPr>
      <w:r>
        <w:rPr>
          <w:rFonts w:ascii="Arial" w:hAnsi="Arial"/>
          <w:b w:val="0"/>
          <w:i w:val="0"/>
          <w:color w:val="6D7282"/>
          <w:sz w:val="22"/>
        </w:rPr>
        <w:t>Web · iOS · Android · Teacher · Content · Tenant Administration · Platform Operations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5EFE2"/>
            <w:tcBorders>
              <w:top w:val="single" w:sz="4" w:color="D9832E"/>
              <w:left w:val="single" w:sz="12" w:color="D9832E"/>
              <w:bottom w:val="single" w:sz="4" w:color="D9832E"/>
              <w:right w:val="single" w:sz="4" w:color="D9832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D9832E"/>
                <w:sz w:val="19"/>
              </w:rPr>
              <w:t xml:space="preserve">DESIGN INTENT: </w:t>
            </w:r>
            <w:r>
              <w:rPr>
                <w:rFonts w:ascii="Arial" w:hAnsi="Arial"/>
                <w:b w:val="0"/>
                <w:i w:val="0"/>
                <w:color w:val="17213A"/>
                <w:sz w:val="19"/>
              </w:rPr>
              <w:t>Preserve the calm, scripture-first Living Bliss experience while extending it into a coherent multi-organisation, school-ready and operational product.</w:t>
            </w:r>
          </w:p>
        </w:tc>
      </w:tr>
    </w:tbl>
    <w:p>
      <w:pPr>
        <w:spacing w:before="0" w:after="240"/>
      </w:pPr>
      <w:r>
        <w:rPr>
          <w:rFonts w:ascii="Arial" w:hAnsi="Arial"/>
          <w:b w:val="0"/>
          <w:i w:val="0"/>
          <w:color w:val="17213A"/>
          <w:sz w:val="21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50"/>
        <w:gridCol w:w="1700"/>
        <w:gridCol w:w="4210"/>
      </w:tblGrid>
      <w:tr>
        <w:trPr>
          <w:tblHeader/>
        </w:trPr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Document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8"/>
              </w:rPr>
              <w:t>UI wireframes and technical design</w:t>
            </w:r>
          </w:p>
        </w:tc>
        <w:tc>
          <w:tcPr>
            <w:tcW w:type="dxa" w:w="170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8"/>
              </w:rPr>
              <w:t>1.0</w:t>
            </w:r>
          </w:p>
        </w:tc>
        <w:tc>
          <w:tcPr>
            <w:tcW w:type="dxa" w:w="42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8"/>
              </w:rPr>
              <w:t>Vendor implementation baseline</w:t>
            </w:r>
          </w:p>
        </w:tc>
      </w:tr>
    </w:tbl>
    <w:p>
      <w:pPr>
        <w:spacing w:before="400" w:after="0"/>
        <w:jc w:val="center"/>
      </w:pPr>
      <w:r>
        <w:rPr>
          <w:rFonts w:ascii="Arial" w:hAnsi="Arial"/>
          <w:b w:val="0"/>
          <w:i/>
          <w:color w:val="6D7282"/>
          <w:sz w:val="20"/>
        </w:rPr>
        <w:t>Prepared for Living Bliss and the selected product-development organisation</w:t>
      </w:r>
    </w:p>
    <w:p>
      <w:pPr>
        <w:sectPr>
          <w:headerReference w:type="default" r:id="rId9"/>
          <w:footerReference w:type="default" r:id="rId10"/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Document purpose and use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17213A"/>
          <w:sz w:val="21"/>
        </w:rPr>
        <w:t>This specification converts the product blueprint into a complete interface inventory, low-fidelity wireframe set and implementation contract. It is designed for product discovery, UX design, solution architecture, delivery estimation and acceptance planning.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DF1F8"/>
            <w:tcBorders>
              <w:top w:val="single" w:sz="4" w:color="18264F"/>
              <w:left w:val="single" w:sz="12" w:color="18264F"/>
              <w:bottom w:val="single" w:sz="4" w:color="18264F"/>
              <w:right w:val="single" w:sz="4" w:color="18264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8264F"/>
                <w:sz w:val="19"/>
              </w:rPr>
              <w:t xml:space="preserve">SCOPE: </w:t>
            </w:r>
            <w:r>
              <w:rPr>
                <w:rFonts w:ascii="Arial" w:hAnsi="Arial"/>
                <w:b w:val="0"/>
                <w:i w:val="0"/>
                <w:color w:val="17213A"/>
                <w:sz w:val="19"/>
              </w:rPr>
              <w:t>75 distinct screens across nine interface families, including responsive and mobile-specific states. The wireframes define information, hierarchy and interaction; final visual design must use the approved Living Bliss design system and tenant themes.</w:t>
            </w:r>
          </w:p>
        </w:tc>
      </w:tr>
    </w:tbl>
    <w:p>
      <w:pPr>
        <w:pStyle w:val="Heading2"/>
      </w:pPr>
      <w:r>
        <w:t>How to read the wireframes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Marker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30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8"/>
              </w:rPr>
              <w:t>1</w:t>
            </w:r>
          </w:p>
        </w:tc>
        <w:tc>
          <w:tcPr>
            <w:tcW w:type="dxa" w:w="80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8"/>
              </w:rPr>
              <w:t>Global identity, tenant context and workspace navigation.</w:t>
            </w:r>
          </w:p>
        </w:tc>
      </w:tr>
      <w:tr>
        <w:tc>
          <w:tcPr>
            <w:tcW w:type="dxa" w:w="130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8"/>
              </w:rPr>
              <w:t>2</w:t>
            </w:r>
          </w:p>
        </w:tc>
        <w:tc>
          <w:tcPr>
            <w:tcW w:type="dxa" w:w="80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8"/>
              </w:rPr>
              <w:t>Page title, source/edition context or learner orientation.</w:t>
            </w:r>
          </w:p>
        </w:tc>
      </w:tr>
      <w:tr>
        <w:tc>
          <w:tcPr>
            <w:tcW w:type="dxa" w:w="130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8"/>
              </w:rPr>
              <w:t>3</w:t>
            </w:r>
          </w:p>
        </w:tc>
        <w:tc>
          <w:tcPr>
            <w:tcW w:type="dxa" w:w="80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8"/>
              </w:rPr>
              <w:t>Primary task surface, search, editor or learning content.</w:t>
            </w:r>
          </w:p>
        </w:tc>
      </w:tr>
      <w:tr>
        <w:tc>
          <w:tcPr>
            <w:tcW w:type="dxa" w:w="130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8"/>
              </w:rPr>
              <w:t>4</w:t>
            </w:r>
          </w:p>
        </w:tc>
        <w:tc>
          <w:tcPr>
            <w:tcW w:type="dxa" w:w="80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8"/>
              </w:rPr>
              <w:t>Supporting state, progress, metadata or secondary action.</w:t>
            </w:r>
          </w:p>
        </w:tc>
      </w:tr>
      <w:tr>
        <w:tc>
          <w:tcPr>
            <w:tcW w:type="dxa" w:w="130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8"/>
              </w:rPr>
              <w:t>5</w:t>
            </w:r>
          </w:p>
        </w:tc>
        <w:tc>
          <w:tcPr>
            <w:tcW w:type="dxa" w:w="80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8"/>
              </w:rPr>
              <w:t>Primary completion, publish, submit or create action.</w:t>
            </w:r>
          </w:p>
        </w:tc>
      </w:tr>
    </w:tbl>
    <w:p>
      <w:pPr>
        <w:pStyle w:val="Heading2"/>
      </w:pPr>
      <w:r>
        <w:t>Design authority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Current prototype baseline: library.livingbliss.org home, Bhagavad Gita course, lesson, assessment, dashboard, onboarding, account and certificate interfaces.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Product blueprint: multi-tenant editions, schools, teacher tools, content governance, rights, mobile/offline and platform operations.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Final product must not blend scripture, translation, commentary and learning explanation into an unlabeled content stream.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Contents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1. Design baseline and interface principles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2. Workspace and navigation architecture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3. Responsive shell and shared components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4. Complete screen inventory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5. Wireframe boards 01–25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6. Interaction and state model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7. Technical interface contracts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8. Accessibility, localisation and analytics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9. Delivery and acceptance requirements</w:t>
      </w:r>
    </w:p>
    <w:p>
      <w:pPr>
        <w:pStyle w:val="Heading2"/>
      </w:pPr>
      <w:r>
        <w:t>Key product decision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3F1E8"/>
            <w:tcBorders>
              <w:top w:val="single" w:sz="4" w:color="34805B"/>
              <w:left w:val="single" w:sz="12" w:color="34805B"/>
              <w:bottom w:val="single" w:sz="4" w:color="34805B"/>
              <w:right w:val="single" w:sz="4" w:color="34805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4805B"/>
                <w:sz w:val="19"/>
              </w:rPr>
              <w:t xml:space="preserve">ONE DESIGN SYSTEM, MANY TRUSTED EDITIONS: </w:t>
            </w:r>
            <w:r>
              <w:rPr>
                <w:rFonts w:ascii="Arial" w:hAnsi="Arial"/>
                <w:b w:val="0"/>
                <w:i w:val="0"/>
                <w:color w:val="17213A"/>
                <w:sz w:val="19"/>
              </w:rPr>
              <w:t>Tenant branding changes tokens, identity, approved content, policies and programme configuration. It must not create divergent navigation models or unsupported code forks.</w:t>
            </w:r>
          </w:p>
        </w:tc>
      </w:tr>
    </w:tbl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1. Design baseline and interface principles</w:t>
      </w:r>
    </w:p>
    <w:p>
      <w:pPr>
        <w:pStyle w:val="Heading2"/>
      </w:pPr>
      <w:r>
        <w:t>Brand-aligned token baseline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00"/>
        <w:gridCol w:w="6160"/>
      </w:tblGrid>
      <w:tr>
        <w:trPr>
          <w:tblHeader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Token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Value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Primary use</w:t>
            </w:r>
          </w:p>
        </w:tc>
      </w:tr>
      <w:tr>
        <w:tc>
          <w:tcPr>
            <w:tcW w:type="dxa" w:w="170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Ivory</w:t>
            </w:r>
          </w:p>
        </w:tc>
        <w:tc>
          <w:tcPr>
            <w:tcW w:type="dxa" w:w="150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#FBF8F1</w:t>
            </w:r>
          </w:p>
        </w:tc>
        <w:tc>
          <w:tcPr>
            <w:tcW w:type="dxa" w:w="61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Application canvas and calm reading surface</w:t>
            </w:r>
          </w:p>
        </w:tc>
      </w:tr>
      <w:tr>
        <w:tc>
          <w:tcPr>
            <w:tcW w:type="dxa" w:w="170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Paper</w:t>
            </w:r>
          </w:p>
        </w:tc>
        <w:tc>
          <w:tcPr>
            <w:tcW w:type="dxa" w:w="150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#FFFDF8</w:t>
            </w:r>
          </w:p>
        </w:tc>
        <w:tc>
          <w:tcPr>
            <w:tcW w:type="dxa" w:w="61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Cards, forms and scripture panels</w:t>
            </w:r>
          </w:p>
        </w:tc>
      </w:tr>
      <w:tr>
        <w:tc>
          <w:tcPr>
            <w:tcW w:type="dxa" w:w="170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Indigo</w:t>
            </w:r>
          </w:p>
        </w:tc>
        <w:tc>
          <w:tcPr>
            <w:tcW w:type="dxa" w:w="150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#18264F</w:t>
            </w:r>
          </w:p>
        </w:tc>
        <w:tc>
          <w:tcPr>
            <w:tcW w:type="dxa" w:w="61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Navigation, primary actions and headings</w:t>
            </w:r>
          </w:p>
        </w:tc>
      </w:tr>
      <w:tr>
        <w:tc>
          <w:tcPr>
            <w:tcW w:type="dxa" w:w="170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Saffron</w:t>
            </w:r>
          </w:p>
        </w:tc>
        <w:tc>
          <w:tcPr>
            <w:tcW w:type="dxa" w:w="150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#D9832E</w:t>
            </w:r>
          </w:p>
        </w:tc>
        <w:tc>
          <w:tcPr>
            <w:tcW w:type="dxa" w:w="61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Active state, focus accent and spiritual warmth</w:t>
            </w:r>
          </w:p>
        </w:tc>
      </w:tr>
      <w:tr>
        <w:tc>
          <w:tcPr>
            <w:tcW w:type="dxa" w:w="170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Gold</w:t>
            </w:r>
          </w:p>
        </w:tc>
        <w:tc>
          <w:tcPr>
            <w:tcW w:type="dxa" w:w="150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#B68C3B</w:t>
            </w:r>
          </w:p>
        </w:tc>
        <w:tc>
          <w:tcPr>
            <w:tcW w:type="dxa" w:w="61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Source details, ornament and secondary emphasis</w:t>
            </w:r>
          </w:p>
        </w:tc>
      </w:tr>
      <w:tr>
        <w:tc>
          <w:tcPr>
            <w:tcW w:type="dxa" w:w="170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Teal</w:t>
            </w:r>
          </w:p>
        </w:tc>
        <w:tc>
          <w:tcPr>
            <w:tcW w:type="dxa" w:w="150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#2E746D</w:t>
            </w:r>
          </w:p>
        </w:tc>
        <w:tc>
          <w:tcPr>
            <w:tcW w:type="dxa" w:w="61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Progress, links and structured learning state</w:t>
            </w:r>
          </w:p>
        </w:tc>
      </w:tr>
      <w:tr>
        <w:tc>
          <w:tcPr>
            <w:tcW w:type="dxa" w:w="170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Green</w:t>
            </w:r>
          </w:p>
        </w:tc>
        <w:tc>
          <w:tcPr>
            <w:tcW w:type="dxa" w:w="150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#34805B</w:t>
            </w:r>
          </w:p>
        </w:tc>
        <w:tc>
          <w:tcPr>
            <w:tcW w:type="dxa" w:w="61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Success, approval and verified status</w:t>
            </w:r>
          </w:p>
        </w:tc>
      </w:tr>
      <w:tr>
        <w:tc>
          <w:tcPr>
            <w:tcW w:type="dxa" w:w="170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Line</w:t>
            </w:r>
          </w:p>
        </w:tc>
        <w:tc>
          <w:tcPr>
            <w:tcW w:type="dxa" w:w="150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#DDD3C1</w:t>
            </w:r>
          </w:p>
        </w:tc>
        <w:tc>
          <w:tcPr>
            <w:tcW w:type="dxa" w:w="61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Quiet borders and separators</w:t>
            </w:r>
          </w:p>
        </w:tc>
      </w:tr>
    </w:tbl>
    <w:p>
      <w:pPr>
        <w:pStyle w:val="Heading2"/>
      </w:pPr>
      <w:r>
        <w:t>Non-negotiable interface principles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Source before interpretation: every content layer is labeled and traceable.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Learning, not scrolling: each screen has an explicit orientation, task and next action.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Progress without pressure: no public ranking, streak anxiety or spiritual gamification.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Private by default: reflections and private notes remain outside teacher/admin analytics.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Configuration over forks: shells and components are shared; tenants change governed tokens and data.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Accessible and multilingual by architecture: scripts, captions, dynamic type and keyboard use are core states.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2. Workspace and navigation architecture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800"/>
        <w:gridCol w:w="2920"/>
        <w:gridCol w:w="3240"/>
      </w:tblGrid>
      <w:tr>
        <w:trPr>
          <w:tblHeader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Workspace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Primary roles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Navigation model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Boundary</w:t>
            </w:r>
          </w:p>
        </w:tc>
      </w:tr>
      <w:tr>
        <w:tc>
          <w:tcPr>
            <w:tcW w:type="dxa" w:w="140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Public / identity</w:t>
            </w:r>
          </w:p>
        </w:tc>
        <w:tc>
          <w:tcPr>
            <w:tcW w:type="dxa" w:w="180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Visitor, learner, guardian</w:t>
            </w:r>
          </w:p>
        </w:tc>
        <w:tc>
          <w:tcPr>
            <w:tcW w:type="dxa" w:w="292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Top navigation; tenant and edition context</w:t>
            </w:r>
          </w:p>
        </w:tc>
        <w:tc>
          <w:tcPr>
            <w:tcW w:type="dxa" w:w="324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No privileged controls</w:t>
            </w:r>
          </w:p>
        </w:tc>
      </w:tr>
      <w:tr>
        <w:tc>
          <w:tcPr>
            <w:tcW w:type="dxa" w:w="140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Learner</w:t>
            </w:r>
          </w:p>
        </w:tc>
        <w:tc>
          <w:tcPr>
            <w:tcW w:type="dxa" w:w="180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Learner</w:t>
            </w:r>
          </w:p>
        </w:tc>
        <w:tc>
          <w:tcPr>
            <w:tcW w:type="dxa" w:w="292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Top navigation + contextual chapter rail; mobile bottom navigation</w:t>
            </w:r>
          </w:p>
        </w:tc>
        <w:tc>
          <w:tcPr>
            <w:tcW w:type="dxa" w:w="324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Own learning and private data</w:t>
            </w:r>
          </w:p>
        </w:tc>
      </w:tr>
      <w:tr>
        <w:tc>
          <w:tcPr>
            <w:tcW w:type="dxa" w:w="140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Teacher</w:t>
            </w:r>
          </w:p>
        </w:tc>
        <w:tc>
          <w:tcPr>
            <w:tcW w:type="dxa" w:w="180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Teacher, facilitator</w:t>
            </w:r>
          </w:p>
        </w:tc>
        <w:tc>
          <w:tcPr>
            <w:tcW w:type="dxa" w:w="292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Workspace rail + cohort context</w:t>
            </w:r>
          </w:p>
        </w:tc>
        <w:tc>
          <w:tcPr>
            <w:tcW w:type="dxa" w:w="324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Assigned cohorts only</w:t>
            </w:r>
          </w:p>
        </w:tc>
      </w:tr>
      <w:tr>
        <w:tc>
          <w:tcPr>
            <w:tcW w:type="dxa" w:w="140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Content Studio</w:t>
            </w:r>
          </w:p>
        </w:tc>
        <w:tc>
          <w:tcPr>
            <w:tcW w:type="dxa" w:w="180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Author, translator, reviewer, publisher</w:t>
            </w:r>
          </w:p>
        </w:tc>
        <w:tc>
          <w:tcPr>
            <w:tcW w:type="dxa" w:w="292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Workspace rail + edition/release context</w:t>
            </w:r>
          </w:p>
        </w:tc>
        <w:tc>
          <w:tcPr>
            <w:tcW w:type="dxa" w:w="324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Named editions and review tasks</w:t>
            </w:r>
          </w:p>
        </w:tc>
      </w:tr>
      <w:tr>
        <w:tc>
          <w:tcPr>
            <w:tcW w:type="dxa" w:w="140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Tenant admin</w:t>
            </w:r>
          </w:p>
        </w:tc>
        <w:tc>
          <w:tcPr>
            <w:tcW w:type="dxa" w:w="180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Organisation administrator</w:t>
            </w:r>
          </w:p>
        </w:tc>
        <w:tc>
          <w:tcPr>
            <w:tcW w:type="dxa" w:w="292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Workspace rail + tenant context</w:t>
            </w:r>
          </w:p>
        </w:tc>
        <w:tc>
          <w:tcPr>
            <w:tcW w:type="dxa" w:w="324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One tenant and delegated units</w:t>
            </w:r>
          </w:p>
        </w:tc>
      </w:tr>
      <w:tr>
        <w:tc>
          <w:tcPr>
            <w:tcW w:type="dxa" w:w="140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Platform ops</w:t>
            </w:r>
          </w:p>
        </w:tc>
        <w:tc>
          <w:tcPr>
            <w:tcW w:type="dxa" w:w="180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Platform operator, support, security</w:t>
            </w:r>
          </w:p>
        </w:tc>
        <w:tc>
          <w:tcPr>
            <w:tcW w:type="dxa" w:w="292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Ops rail + region/tenant selector</w:t>
            </w:r>
          </w:p>
        </w:tc>
        <w:tc>
          <w:tcPr>
            <w:tcW w:type="dxa" w:w="324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Controlled and audited elevation</w:t>
            </w:r>
          </w:p>
        </w:tc>
      </w:tr>
    </w:tbl>
    <w:p>
      <w:pPr>
        <w:pStyle w:val="Heading2"/>
      </w:pPr>
      <w:r>
        <w:t>Context resolution order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Tenant/domain → identity/role → programme → authorised edition → language → age/guardian policy → accessibility preferences → entitlement.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Every deep link must preserve the resolved context or explain why the requested resource is unavailable.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Switching edition may change translation, commentary and assessment; the UI must explain whether progress equivalence exists.</w:t>
      </w:r>
    </w:p>
    <w:p>
      <w:pPr>
        <w:pStyle w:val="Heading2"/>
      </w:pPr>
      <w:r>
        <w:t>Responsive shell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tblHeader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Breakpoint intent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Shell behaviour</w:t>
            </w:r>
          </w:p>
        </w:tc>
      </w:tr>
      <w:tr>
        <w:tc>
          <w:tcPr>
            <w:tcW w:type="dxa" w:w="2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Compact phone</w:t>
            </w:r>
          </w:p>
        </w:tc>
        <w:tc>
          <w:tcPr>
            <w:tcW w:type="dxa" w:w="73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Bottom navigation; contextual sheets; one primary action; single-column learning.</w:t>
            </w:r>
          </w:p>
        </w:tc>
      </w:tr>
      <w:tr>
        <w:tc>
          <w:tcPr>
            <w:tcW w:type="dxa" w:w="2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Large phone</w:t>
            </w:r>
          </w:p>
        </w:tc>
        <w:tc>
          <w:tcPr>
            <w:tcW w:type="dxa" w:w="73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Same information hierarchy with richer media controls and split transcript where space permits.</w:t>
            </w:r>
          </w:p>
        </w:tc>
      </w:tr>
      <w:tr>
        <w:tc>
          <w:tcPr>
            <w:tcW w:type="dxa" w:w="2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Tablet</w:t>
            </w:r>
          </w:p>
        </w:tc>
        <w:tc>
          <w:tcPr>
            <w:tcW w:type="dxa" w:w="73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Collapsible rail; two-column teacher and content detail; presentation mode.</w:t>
            </w:r>
          </w:p>
        </w:tc>
      </w:tr>
      <w:tr>
        <w:tc>
          <w:tcPr>
            <w:tcW w:type="dxa" w:w="2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Laptop / desktop</w:t>
            </w:r>
          </w:p>
        </w:tc>
        <w:tc>
          <w:tcPr>
            <w:tcW w:type="dxa" w:w="73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Persistent workspace or chapter rail; dense lists and side-by-side review where valuable.</w:t>
            </w:r>
          </w:p>
        </w:tc>
      </w:tr>
      <w:tr>
        <w:tc>
          <w:tcPr>
            <w:tcW w:type="dxa" w:w="2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Wide desktop</w:t>
            </w:r>
          </w:p>
        </w:tc>
        <w:tc>
          <w:tcPr>
            <w:tcW w:type="dxa" w:w="73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Constrain reading measure; use extra width for comparison, preview and evidence—not longer lines.</w:t>
            </w:r>
          </w:p>
        </w:tc>
      </w:tr>
    </w:tbl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3. Shared components and states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tblHeader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Component family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Required variants</w:t>
            </w:r>
          </w:p>
        </w:tc>
      </w:tr>
      <w:tr>
        <w:tc>
          <w:tcPr>
            <w:tcW w:type="dxa" w:w="2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Global shell</w:t>
            </w:r>
          </w:p>
        </w:tc>
        <w:tc>
          <w:tcPr>
            <w:tcW w:type="dxa" w:w="73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Public, learner, teacher, studio, tenant admin, platform ops; tenant and workspace switcher.</w:t>
            </w:r>
          </w:p>
        </w:tc>
      </w:tr>
      <w:tr>
        <w:tc>
          <w:tcPr>
            <w:tcW w:type="dxa" w:w="2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Content identity</w:t>
            </w:r>
          </w:p>
        </w:tc>
        <w:tc>
          <w:tcPr>
            <w:tcW w:type="dxa" w:w="73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Scripture reference, edition label, translator/guru, language, version, approval and rights.</w:t>
            </w:r>
          </w:p>
        </w:tc>
      </w:tr>
      <w:tr>
        <w:tc>
          <w:tcPr>
            <w:tcW w:type="dxa" w:w="2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Learning status</w:t>
            </w:r>
          </w:p>
        </w:tc>
        <w:tc>
          <w:tcPr>
            <w:tcW w:type="dxa" w:w="73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Not started, available, in progress, revision due, passed, locked, expired and superseded.</w:t>
            </w:r>
          </w:p>
        </w:tc>
      </w:tr>
      <w:tr>
        <w:tc>
          <w:tcPr>
            <w:tcW w:type="dxa" w:w="2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Action controls</w:t>
            </w:r>
          </w:p>
        </w:tc>
        <w:tc>
          <w:tcPr>
            <w:tcW w:type="dxa" w:w="73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Primary, secondary, destructive, disabled, loading, offline queued and permission denied.</w:t>
            </w:r>
          </w:p>
        </w:tc>
      </w:tr>
      <w:tr>
        <w:tc>
          <w:tcPr>
            <w:tcW w:type="dxa" w:w="2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Data views</w:t>
            </w:r>
          </w:p>
        </w:tc>
        <w:tc>
          <w:tcPr>
            <w:tcW w:type="dxa" w:w="73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Empty, filtered empty, loading, partial, stale, sync conflict, integration failure and export in progress.</w:t>
            </w:r>
          </w:p>
        </w:tc>
      </w:tr>
      <w:tr>
        <w:tc>
          <w:tcPr>
            <w:tcW w:type="dxa" w:w="2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Feedback</w:t>
            </w:r>
          </w:p>
        </w:tc>
        <w:tc>
          <w:tcPr>
            <w:tcW w:type="dxa" w:w="73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Inline validation, formative response, summative result, review comment, approval and incident alert.</w:t>
            </w:r>
          </w:p>
        </w:tc>
      </w:tr>
      <w:tr>
        <w:tc>
          <w:tcPr>
            <w:tcW w:type="dxa" w:w="2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Media</w:t>
            </w:r>
          </w:p>
        </w:tc>
        <w:tc>
          <w:tcPr>
            <w:tcW w:type="dxa" w:w="73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Video, audio, slides, transcript, captions, download, speed, quality and accessible alternative.</w:t>
            </w:r>
          </w:p>
        </w:tc>
      </w:tr>
    </w:tbl>
    <w:p>
      <w:pPr>
        <w:pStyle w:val="Heading2"/>
      </w:pPr>
      <w:r>
        <w:t>State ownership rules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The server remains authoritative for entitlements, published content, certificate status, roles and policy versions.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The device may optimistically queue progress, bookmarks, notes and low-risk learning events; conflict resolution must be visible.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Draft content and assessment changes require explicit save, validation and version state; publishing is never implicit.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4. Complete screen inventory</w:t>
      </w:r>
    </w:p>
    <w:p>
      <w:pPr>
        <w:pStyle w:val="Heading2"/>
      </w:pPr>
      <w:r>
        <w:t>Public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250"/>
        <w:gridCol w:w="2250"/>
        <w:gridCol w:w="381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Screen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Route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PUB-01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Tenant-aware home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Orient the visitor, resolve organisation and offer the clearest next step.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PUB-02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Edition directory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/editions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Choose an authorised organisation, guru/translator, language and access model.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PUB-03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Course catalogue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/courses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Browse approved programmes by audience, edition, age band, format and duration.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PUB-04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Scripture search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/scripture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Find chapters, verses, topics and approved layers without confusing commentary with source.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PUB-05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Course detail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/course/:courseId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Explain outcomes, prerequisites, effort, assessment, edition and certificate before enrolment.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PUB-06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Edition detail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/edition/:editionId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Make tradition, translator/guru, rights, version and approval status transparent.</w:t>
            </w:r>
          </w:p>
        </w:tc>
      </w:tr>
    </w:tbl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2"/>
      </w:pPr>
      <w:r>
        <w:t>Identity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250"/>
        <w:gridCol w:w="2250"/>
        <w:gridCol w:w="381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Screen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Route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ID-01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Sign in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/sign-in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Authenticate through passwordless email, password, Google, Microsoft or tenant SSO.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ID-02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Registration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/register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Create the minimum viable account and retain eligible guest progress.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ID-03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Learning onboarding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/onboarding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Capture goal, experience, language, accessibility and notification preferences.</w:t>
            </w:r>
          </w:p>
        </w:tc>
      </w:tr>
    </w:tbl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2"/>
      </w:pPr>
      <w:r>
        <w:t>Guardian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250"/>
        <w:gridCol w:w="2250"/>
        <w:gridCol w:w="381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Screen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Route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GUA-01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Age and consent routing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/consent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Apply jurisdiction and programme rules before creating a minor account.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GUA-02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Guardian invitation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/guardian/invite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Invite and verify a guardian without exposing private learning reflections.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GUA-03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Guardian overview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/guardian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Manage consent, linked learners and permitted progress visibility.</w:t>
            </w:r>
          </w:p>
        </w:tc>
      </w:tr>
    </w:tbl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2"/>
      </w:pPr>
      <w:r>
        <w:t>Learner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250"/>
        <w:gridCol w:w="2250"/>
        <w:gridCol w:w="381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Screen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Route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LRN-01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Learner dashboard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/dashboard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Resume the most meaningful next action and understand mastery across programmes.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LRN-02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Prerequisite pathway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/learn/foundations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Build common background knowledge while allowing experienced learners to move quickly.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LRN-03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Readiness diagnostic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/diagnostic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Route the learner to bridge modules or Chapter 1 with an explainable result.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LRN-04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Course pathway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/course/:courseId/path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Show all 18 chapters, state, mastery evidence, time and next action.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LRN-05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Chapter overview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/chapter/:chapterId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Orient the learner to outcomes, key verses, activities and assessment.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LRN-06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Lesson player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/lesson/:lessonId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Deliver multimodal learning with a persistent chapter rail and calm completion logic.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LRN-07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Verse study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/verse/:verseId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Keep Sanskrit, transliteration, word meaning, translation and commentary visibly distinct.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LRN-08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Media transcript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/lesson/:id/transcript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Provide synchronised transcript, captions, speed, search and accessible alternatives.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LRN-09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Glossary and concepts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/glossary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Explain Sanskrit and philosophical terms in edition- and age-aware language.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LRN-10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Private reflection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/reflection/:activityId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Support private meaning-making with autosave and explicit optional sharing.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LRN-11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Practice activity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/practice/:activityId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Apply concepts through scenario, sorting, matching or short response.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LRN-12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Assessment question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/assessment/:assessmentId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Present one accessible item at a time with progress, save/resume and attempt policy.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LRN-13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Assessment result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/assessment/:id/result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Explain mastered outcomes, misconceptions, pass decision and next action.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LRN-14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Targeted remediation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/revision/plan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Create a short evidence-based revision plan linked to missed outcomes and verses.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LRN-15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Revision queue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/revision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Support spaced review across verses, concepts and prior assessments.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LRN-16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Bookmarks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/bookmarks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Return to saved verses, lessons and media while preserving edition context.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LRN-17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Private notes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/notes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Manage searchable notes separately from teacher-visible submissions.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LRN-18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Downloads and offline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/downloads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Control offline packs, size, rights expiry, update and sync status.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LRN-19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Certificate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/certificate/:id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Display a verifiable, revocable completion credential with issuer and edition.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LRN-20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Preferences and privacy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/account/preferences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Control language, accessibility, notifications, sessions and data rights.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LRN-21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Help and report issue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/support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Reach approved support and report content, access, safety or technical issues.</w:t>
            </w:r>
          </w:p>
        </w:tc>
      </w:tr>
    </w:tbl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2"/>
      </w:pPr>
      <w:r>
        <w:t>Mobile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250"/>
        <w:gridCol w:w="2250"/>
        <w:gridCol w:w="381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Screen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Route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MOB-01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Mobile home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app://home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Resolve tenant and offer one high-confidence next action.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MOB-02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Mobile course map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app://course/:id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Navigate 18 chapters with states, schedule and offline availability.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MOB-03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Mobile lesson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app://lesson/:id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Support interruption-safe video/audio/text learning with bottom next action.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MOB-04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Mobile verse study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app://verse/:id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Read source-aware verse layers comfortably on a narrow screen.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MOB-05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Mobile assessment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app://assessment/:id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Complete accessible one-question screens with autosave and resume.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MOB-06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Mobile result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app://assessment/:id/result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Explain mastery and route directly to revision or continuation.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MOB-07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Offline library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app://downloads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Download, update and remove authorised content with transparent storage.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MOB-08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Sync conflict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app://sync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Resolve conflicting completion, note and assessment events without data loss.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MOB-09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Mobile certificate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app://certificate/:id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Present a wallet-ready certificate and verification QR.</w:t>
            </w:r>
          </w:p>
        </w:tc>
      </w:tr>
    </w:tbl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2"/>
      </w:pPr>
      <w:r>
        <w:t>Teacher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250"/>
        <w:gridCol w:w="2250"/>
        <w:gridCol w:w="381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Screen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Route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TCH-01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Teacher dashboard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/teacher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Show classes, upcoming work, support flags and recent submissions.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TCH-02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Cohort list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/teacher/cohorts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Manage permitted cohorts with programme, edition, schedule and roster state.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TCH-03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Cohort overview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/teacher/cohort/:id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Understand participation, mastery, pace and accessibility support.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TCH-04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Teaching schedule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/teacher/schedule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Plan chapter sequence, live sessions, due dates and exceptions.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TCH-05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Create assignment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/teacher/assignment/new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Assign only approved activities with rubric, due date and accommodation rules.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TCH-06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Learner detail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/teacher/learner/:id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Support learning from permitted evidence without exposing private reflections.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TCH-07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Submissions and rubric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/teacher/submissions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Review work, apply an approved rubric and provide accessible feedback.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TCH-08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Class outcome report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/teacher/reports/outcomes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Identify concept-level needs without public ranking or sensitive inference.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TCH-09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Class presentation mode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/teacher/present/:lessonId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Project verses, diagrams and activities with large text and minimal controls.</w:t>
            </w:r>
          </w:p>
        </w:tc>
      </w:tr>
    </w:tbl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2"/>
      </w:pPr>
      <w:r>
        <w:t>Content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250"/>
        <w:gridCol w:w="2250"/>
        <w:gridCol w:w="381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Screen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Route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CNT-01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Content work queue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/studio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Prioritise draft, review, rights and accessibility work by edition and release.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CNT-02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Course structure editor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/studio/course/:id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Assemble reusable modules, outcomes, chapters, lessons and assessments.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CNT-03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Lesson editor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/studio/lesson/:id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Author structured layers and activities without mixing source and explanation.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CNT-04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Verse picker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/studio/verse-picker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Select canonical references and approved edition layers with provenance.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CNT-05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Translation compare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/studio/compare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Compare authorised versions side by side without silently merging them.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CNT-06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Assessment bank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/studio/items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Create and govern items by outcome, edition, age band and exposure state.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CNT-07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Review and sign-off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/studio/review/:id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Capture scholarly, pedagogical, language, accessibility and rights approvals.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CNT-08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Release manager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/studio/releases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Publish immutable versions to named tenants, languages and audiences.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CNT-09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Rights ledger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/studio/rights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Enforce media and text rights by territory, channel, audience, language and time.</w:t>
            </w:r>
          </w:p>
        </w:tc>
      </w:tr>
    </w:tbl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2"/>
      </w:pPr>
      <w:r>
        <w:t>Tenant admin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250"/>
        <w:gridCol w:w="2250"/>
        <w:gridCol w:w="381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Screen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Route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ADM-01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Tenant overview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/admin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See organisation health, programmes, editions, users, integrations and alerts.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ADM-02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Brand and domain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/admin/brand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Configure approved logo, colours, domain, app skin and communication templates.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ADM-03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Users and roles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/admin/users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Invite, import and govern staff and learners with scoped roles.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ADM-04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Programme and cohorts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/admin/programmes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Configure edition, course, age band, schedule, pass rules and certificate.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ADM-05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SSO, LTI and SIS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/admin/integrations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Configure identity and school integrations with test and health evidence.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ADM-06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Policies and retention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/admin/policies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Version consent, privacy, retention, notification and safeguarding rules.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ADM-07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Certificate configuration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/admin/certificates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Configure issuer, wording, signatures, verification and revocation rights.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ADM-08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Tenant analytics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/admin/analytics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Measure reach, activation, mastery, inclusion and service health within scope.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ADM-09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Audit and support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/admin/audit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Investigate privileged actions, data exports, content releases and incidents.</w:t>
            </w:r>
          </w:p>
        </w:tc>
      </w:tr>
    </w:tbl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2"/>
      </w:pPr>
      <w:r>
        <w:t>Platform ops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250"/>
        <w:gridCol w:w="2250"/>
        <w:gridCol w:w="381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Screen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Route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OPS-01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Tenant registry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/ops/tenants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Operate tenant lifecycle, regions, tiers, ownership and data boundaries.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OPS-02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Feature flags and releases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/ops/releases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Stage capabilities by tenant, cohort, app version and region with rollback.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OPS-03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System health and incidents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/ops/health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Monitor service objectives, jobs, sync, media, integrations and active incidents.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OPS-04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Content distribution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/ops/distribution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Trace edition packages, tenant entitlement, CDN state and retractions.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OPS-05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Support elevation</w:t>
            </w:r>
          </w:p>
        </w:tc>
        <w:tc>
          <w:tcPr>
            <w:tcW w:type="dxa" w:w="22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/ops/support</w:t>
            </w:r>
          </w:p>
        </w:tc>
        <w:tc>
          <w:tcPr>
            <w:tcW w:type="dxa" w:w="38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Troubleshoot with time-bound, approved, audited access and privacy masks.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OPS-06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Security and audit</w:t>
            </w:r>
          </w:p>
        </w:tc>
        <w:tc>
          <w:tcPr>
            <w:tcW w:type="dxa" w:w="22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/ops/security</w:t>
            </w:r>
          </w:p>
        </w:tc>
        <w:tc>
          <w:tcPr>
            <w:tcW w:type="dxa" w:w="38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4"/>
              </w:rPr>
              <w:t>Review privileged activity, threats, vulnerabilities, backups and tenant-isolation evidence.</w:t>
            </w:r>
          </w:p>
        </w:tc>
      </w:tr>
    </w:tbl>
    <w:p>
      <w:pPr>
        <w:pStyle w:val="Heading1"/>
      </w:pPr>
      <w:r>
        <w:t>5. Wireframe boards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17213A"/>
          <w:sz w:val="21"/>
        </w:rPr>
        <w:t>Each board is a functional composition baseline. During discovery, the vendor must turn every screen into a clickable prototype, test critical journeys with representative users and return an annotated component and state specification.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5EFE2"/>
            <w:tcBorders>
              <w:top w:val="single" w:sz="4" w:color="D9832E"/>
              <w:left w:val="single" w:sz="12" w:color="D9832E"/>
              <w:bottom w:val="single" w:sz="4" w:color="D9832E"/>
              <w:right w:val="single" w:sz="4" w:color="D9832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D9832E"/>
                <w:sz w:val="19"/>
              </w:rPr>
              <w:t xml:space="preserve">FIDELITY: </w:t>
            </w:r>
            <w:r>
              <w:rPr>
                <w:rFonts w:ascii="Arial" w:hAnsi="Arial"/>
                <w:b w:val="0"/>
                <w:i w:val="0"/>
                <w:color w:val="17213A"/>
                <w:sz w:val="19"/>
              </w:rPr>
              <w:t>These are deliberately low-fidelity: structure, controls, context and workflow are authoritative; exact typography, imagery, spacing and motion are refined in the design-system phase.</w:t>
            </w:r>
          </w:p>
        </w:tc>
      </w:tr>
    </w:tbl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Board 01 — Public discovery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2" name="Picture 2" descr="Wireframe board 1: Public discovery, showing Tenant-aware home, Edition directory, Course catalogu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556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Screen / route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Primary decision or outcome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PUB-01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Tenant-aware home</w:t>
              <w:br/>
              <w:t>/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Orient the visitor, resolve organisation and offer the clearest next step.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PUB-02</w:t>
            </w:r>
          </w:p>
        </w:tc>
        <w:tc>
          <w:tcPr>
            <w:tcW w:type="dxa" w:w="2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Edition directory</w:t>
              <w:br/>
              <w:t>/editions</w:t>
            </w:r>
          </w:p>
        </w:tc>
        <w:tc>
          <w:tcPr>
            <w:tcW w:type="dxa" w:w="55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Choose an authorised organisation, guru/translator, language and access model.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PUB-03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Course catalogue</w:t>
              <w:br/>
              <w:t>/courses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Browse approved programmes by audience, edition, age band, format and duration.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/>
          <w:color w:val="6D7282"/>
          <w:sz w:val="16"/>
        </w:rPr>
        <w:t>Annotation contract: 1 shell/identity · 2 orientation/context · 3 primary task · 4 supporting state · 5 next action.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Board 02 — Search and product detail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3" name="Picture 3" descr="Wireframe board 2: Search and product detail, showing Scripture search, Course detail, Edition det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556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Screen / route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Primary decision or outcome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PUB-04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Scripture search</w:t>
              <w:br/>
              <w:t>/scripture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Find chapters, verses, topics and approved layers without confusing commentary with source.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PUB-05</w:t>
            </w:r>
          </w:p>
        </w:tc>
        <w:tc>
          <w:tcPr>
            <w:tcW w:type="dxa" w:w="2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Course detail</w:t>
              <w:br/>
              <w:t>/course/:courseId</w:t>
            </w:r>
          </w:p>
        </w:tc>
        <w:tc>
          <w:tcPr>
            <w:tcW w:type="dxa" w:w="55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Explain outcomes, prerequisites, effort, assessment, edition and certificate before enrolment.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PUB-06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Edition detail</w:t>
              <w:br/>
              <w:t>/edition/:editionId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Make tradition, translator/guru, rights, version and approval status transparent.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/>
          <w:color w:val="6D7282"/>
          <w:sz w:val="16"/>
        </w:rPr>
        <w:t>Annotation contract: 1 shell/identity · 2 orientation/context · 3 primary task · 4 supporting state · 5 next action.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Board 03 — Identity and onboarding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4" name="Picture 4" descr="Wireframe board 3: Identity and onboarding, showing Sign in, Registration, Learning onboard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556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Screen / route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Primary decision or outcome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ID-01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Sign in</w:t>
              <w:br/>
              <w:t>/sign-in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Authenticate through passwordless email, password, Google, Microsoft or tenant SSO.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ID-02</w:t>
            </w:r>
          </w:p>
        </w:tc>
        <w:tc>
          <w:tcPr>
            <w:tcW w:type="dxa" w:w="2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Registration</w:t>
              <w:br/>
              <w:t>/register</w:t>
            </w:r>
          </w:p>
        </w:tc>
        <w:tc>
          <w:tcPr>
            <w:tcW w:type="dxa" w:w="55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Create the minimum viable account and retain eligible guest progress.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ID-03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Learning onboarding</w:t>
              <w:br/>
              <w:t>/onboarding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Capture goal, experience, language, accessibility and notification preferences.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/>
          <w:color w:val="6D7282"/>
          <w:sz w:val="16"/>
        </w:rPr>
        <w:t>Annotation contract: 1 shell/identity · 2 orientation/context · 3 primary task · 4 supporting state · 5 next action.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Board 04 — Guardian and consent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5" name="Picture 5" descr="Wireframe board 4: Guardian and consent, showing Age and consent routing, Guardian invitation, Guardian over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556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Screen / route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Primary decision or outcome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GUA-01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Age and consent routing</w:t>
              <w:br/>
              <w:t>/consent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Apply jurisdiction and programme rules before creating a minor account.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GUA-02</w:t>
            </w:r>
          </w:p>
        </w:tc>
        <w:tc>
          <w:tcPr>
            <w:tcW w:type="dxa" w:w="2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Guardian invitation</w:t>
              <w:br/>
              <w:t>/guardian/invite</w:t>
            </w:r>
          </w:p>
        </w:tc>
        <w:tc>
          <w:tcPr>
            <w:tcW w:type="dxa" w:w="55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Invite and verify a guardian without exposing private learning reflections.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GUA-03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Guardian overview</w:t>
              <w:br/>
              <w:t>/guardian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Manage consent, linked learners and permitted progress visibility.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/>
          <w:color w:val="6D7282"/>
          <w:sz w:val="16"/>
        </w:rPr>
        <w:t>Annotation contract: 1 shell/identity · 2 orientation/context · 3 primary task · 4 supporting state · 5 next action.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Board 05 — Learner start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6" name="Picture 6" descr="Wireframe board 5: Learner start, showing Learner dashboard, Prerequisite pathway, Readiness diagnosti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556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Screen / route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Primary decision or outcome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LRN-01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Learner dashboard</w:t>
              <w:br/>
              <w:t>/dashboard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Resume the most meaningful next action and understand mastery across programmes.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LRN-02</w:t>
            </w:r>
          </w:p>
        </w:tc>
        <w:tc>
          <w:tcPr>
            <w:tcW w:type="dxa" w:w="2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Prerequisite pathway</w:t>
              <w:br/>
              <w:t>/learn/foundations</w:t>
            </w:r>
          </w:p>
        </w:tc>
        <w:tc>
          <w:tcPr>
            <w:tcW w:type="dxa" w:w="55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Build common background knowledge while allowing experienced learners to move quickly.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LRN-03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Readiness diagnostic</w:t>
              <w:br/>
              <w:t>/diagnostic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Route the learner to bridge modules or Chapter 1 with an explainable result.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/>
          <w:color w:val="6D7282"/>
          <w:sz w:val="16"/>
        </w:rPr>
        <w:t>Annotation contract: 1 shell/identity · 2 orientation/context · 3 primary task · 4 supporting state · 5 next action.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Board 06 — Course and chapter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7" name="Picture 7" descr="Wireframe board 6: Course and chapter, showing Course pathway, Chapter overview, Lesson play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556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Screen / route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Primary decision or outcome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LRN-04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Course pathway</w:t>
              <w:br/>
              <w:t>/course/:courseId/path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Show all 18 chapters, state, mastery evidence, time and next action.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LRN-05</w:t>
            </w:r>
          </w:p>
        </w:tc>
        <w:tc>
          <w:tcPr>
            <w:tcW w:type="dxa" w:w="2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Chapter overview</w:t>
              <w:br/>
              <w:t>/chapter/:chapterId</w:t>
            </w:r>
          </w:p>
        </w:tc>
        <w:tc>
          <w:tcPr>
            <w:tcW w:type="dxa" w:w="55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Orient the learner to outcomes, key verses, activities and assessment.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LRN-06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Lesson player</w:t>
              <w:br/>
              <w:t>/lesson/:lessonId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Deliver multimodal learning with a persistent chapter rail and calm completion logic.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/>
          <w:color w:val="6D7282"/>
          <w:sz w:val="16"/>
        </w:rPr>
        <w:t>Annotation contract: 1 shell/identity · 2 orientation/context · 3 primary task · 4 supporting state · 5 next action.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Board 07 — Verse and learning content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8" name="Picture 8" descr="Wireframe board 7: Verse and learning content, showing Verse study, Media transcript, Glossary and concep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556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Screen / route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Primary decision or outcome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LRN-07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Verse study</w:t>
              <w:br/>
              <w:t>/verse/:verseId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Keep Sanskrit, transliteration, word meaning, translation and commentary visibly distinct.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LRN-08</w:t>
            </w:r>
          </w:p>
        </w:tc>
        <w:tc>
          <w:tcPr>
            <w:tcW w:type="dxa" w:w="2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Media transcript</w:t>
              <w:br/>
              <w:t>/lesson/:id/transcript</w:t>
            </w:r>
          </w:p>
        </w:tc>
        <w:tc>
          <w:tcPr>
            <w:tcW w:type="dxa" w:w="55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Provide synchronised transcript, captions, speed, search and accessible alternatives.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LRN-09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Glossary and concepts</w:t>
              <w:br/>
              <w:t>/glossary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Explain Sanskrit and philosophical terms in edition- and age-aware language.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/>
          <w:color w:val="6D7282"/>
          <w:sz w:val="16"/>
        </w:rPr>
        <w:t>Annotation contract: 1 shell/identity · 2 orientation/context · 3 primary task · 4 supporting state · 5 next action.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Board 08 — Practice and assessment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9" name="Picture 9" descr="Wireframe board 8: Practice and assessment, showing Private reflection, Practice activity, Assessment ques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556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Screen / route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Primary decision or outcome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LRN-10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Private reflection</w:t>
              <w:br/>
              <w:t>/reflection/:activityId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Support private meaning-making with autosave and explicit optional sharing.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LRN-11</w:t>
            </w:r>
          </w:p>
        </w:tc>
        <w:tc>
          <w:tcPr>
            <w:tcW w:type="dxa" w:w="2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Practice activity</w:t>
              <w:br/>
              <w:t>/practice/:activityId</w:t>
            </w:r>
          </w:p>
        </w:tc>
        <w:tc>
          <w:tcPr>
            <w:tcW w:type="dxa" w:w="55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Apply concepts through scenario, sorting, matching or short response.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LRN-12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Assessment question</w:t>
              <w:br/>
              <w:t>/assessment/:assessmentId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Present one accessible item at a time with progress, save/resume and attempt policy.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/>
          <w:color w:val="6D7282"/>
          <w:sz w:val="16"/>
        </w:rPr>
        <w:t>Annotation contract: 1 shell/identity · 2 orientation/context · 3 primary task · 4 supporting state · 5 next action.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Board 09 — Results and revision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10" name="Picture 10" descr="Wireframe board 9: Results and revision, showing Assessment result, Targeted remediation, Revision queu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556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Screen / route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Primary decision or outcome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LRN-13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Assessment result</w:t>
              <w:br/>
              <w:t>/assessment/:id/result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Explain mastered outcomes, misconceptions, pass decision and next action.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LRN-14</w:t>
            </w:r>
          </w:p>
        </w:tc>
        <w:tc>
          <w:tcPr>
            <w:tcW w:type="dxa" w:w="2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Targeted remediation</w:t>
              <w:br/>
              <w:t>/revision/plan</w:t>
            </w:r>
          </w:p>
        </w:tc>
        <w:tc>
          <w:tcPr>
            <w:tcW w:type="dxa" w:w="55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Create a short evidence-based revision plan linked to missed outcomes and verses.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LRN-15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Revision queue</w:t>
              <w:br/>
              <w:t>/revision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Support spaced review across verses, concepts and prior assessments.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/>
          <w:color w:val="6D7282"/>
          <w:sz w:val="16"/>
        </w:rPr>
        <w:t>Annotation contract: 1 shell/identity · 2 orientation/context · 3 primary task · 4 supporting state · 5 next action.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Board 10 — Personal library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11" name="Picture 11" descr="Wireframe board 10: Personal library, showing Bookmarks, Private notes, Downloads and off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556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Screen / route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Primary decision or outcome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LRN-16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Bookmarks</w:t>
              <w:br/>
              <w:t>/bookmarks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Return to saved verses, lessons and media while preserving edition context.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LRN-17</w:t>
            </w:r>
          </w:p>
        </w:tc>
        <w:tc>
          <w:tcPr>
            <w:tcW w:type="dxa" w:w="2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Private notes</w:t>
              <w:br/>
              <w:t>/notes</w:t>
            </w:r>
          </w:p>
        </w:tc>
        <w:tc>
          <w:tcPr>
            <w:tcW w:type="dxa" w:w="55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Manage searchable notes separately from teacher-visible submissions.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LRN-18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Downloads and offline</w:t>
              <w:br/>
              <w:t>/downloads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Control offline packs, size, rights expiry, update and sync status.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/>
          <w:color w:val="6D7282"/>
          <w:sz w:val="16"/>
        </w:rPr>
        <w:t>Annotation contract: 1 shell/identity · 2 orientation/context · 3 primary task · 4 supporting state · 5 next action.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Board 11 — Recognition and support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12" name="Picture 12" descr="Wireframe board 11: Recognition and support, showing Certificate, Preferences and privacy, Help and report issu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556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Screen / route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Primary decision or outcome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LRN-19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Certificate</w:t>
              <w:br/>
              <w:t>/certificate/:id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Display a verifiable, revocable completion credential with issuer and edition.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LRN-20</w:t>
            </w:r>
          </w:p>
        </w:tc>
        <w:tc>
          <w:tcPr>
            <w:tcW w:type="dxa" w:w="2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Preferences and privacy</w:t>
              <w:br/>
              <w:t>/account/preferences</w:t>
            </w:r>
          </w:p>
        </w:tc>
        <w:tc>
          <w:tcPr>
            <w:tcW w:type="dxa" w:w="55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Control language, accessibility, notifications, sessions and data rights.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LRN-21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Help and report issue</w:t>
              <w:br/>
              <w:t>/support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Reach approved support and report content, access, safety or technical issues.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/>
          <w:color w:val="6D7282"/>
          <w:sz w:val="16"/>
        </w:rPr>
        <w:t>Annotation contract: 1 shell/identity · 2 orientation/context · 3 primary task · 4 supporting state · 5 next action.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Board 12 — Mobile core learning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13" name="Picture 13" descr="Wireframe board 12: Mobile core learning, showing Mobile home, Mobile course map, Mobile less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556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Screen / route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Primary decision or outcome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MOB-01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Mobile home</w:t>
              <w:br/>
              <w:t>app://home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Resolve tenant and offer one high-confidence next action.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MOB-02</w:t>
            </w:r>
          </w:p>
        </w:tc>
        <w:tc>
          <w:tcPr>
            <w:tcW w:type="dxa" w:w="2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Mobile course map</w:t>
              <w:br/>
              <w:t>app://course/:id</w:t>
            </w:r>
          </w:p>
        </w:tc>
        <w:tc>
          <w:tcPr>
            <w:tcW w:type="dxa" w:w="55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Navigate 18 chapters with states, schedule and offline availability.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MOB-03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Mobile lesson</w:t>
              <w:br/>
              <w:t>app://lesson/:id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Support interruption-safe video/audio/text learning with bottom next action.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/>
          <w:color w:val="6D7282"/>
          <w:sz w:val="16"/>
        </w:rPr>
        <w:t>Annotation contract: 1 shell/identity · 2 orientation/context · 3 primary task · 4 supporting state · 5 next action.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Board 13 — Mobile scripture and assessment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14" name="Picture 14" descr="Wireframe board 13: Mobile scripture and assessment, showing Mobile verse study, Mobile assessment, Mobile resu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556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Screen / route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Primary decision or outcome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MOB-04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Mobile verse study</w:t>
              <w:br/>
              <w:t>app://verse/:id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Read source-aware verse layers comfortably on a narrow screen.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MOB-05</w:t>
            </w:r>
          </w:p>
        </w:tc>
        <w:tc>
          <w:tcPr>
            <w:tcW w:type="dxa" w:w="2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Mobile assessment</w:t>
              <w:br/>
              <w:t>app://assessment/:id</w:t>
            </w:r>
          </w:p>
        </w:tc>
        <w:tc>
          <w:tcPr>
            <w:tcW w:type="dxa" w:w="55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Complete accessible one-question screens with autosave and resume.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MOB-06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Mobile result</w:t>
              <w:br/>
              <w:t>app://assessment/:id/result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Explain mastery and route directly to revision or continuation.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/>
          <w:color w:val="6D7282"/>
          <w:sz w:val="16"/>
        </w:rPr>
        <w:t>Annotation contract: 1 shell/identity · 2 orientation/context · 3 primary task · 4 supporting state · 5 next action.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Board 14 — Mobile offline and credentials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15" name="Picture 15" descr="Wireframe board 14: Mobile offline and credentials, showing Offline library, Sync conflict, Mobile certific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556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Screen / route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Primary decision or outcome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MOB-07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Offline library</w:t>
              <w:br/>
              <w:t>app://downloads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Download, update and remove authorised content with transparent storage.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MOB-08</w:t>
            </w:r>
          </w:p>
        </w:tc>
        <w:tc>
          <w:tcPr>
            <w:tcW w:type="dxa" w:w="2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Sync conflict</w:t>
              <w:br/>
              <w:t>app://sync</w:t>
            </w:r>
          </w:p>
        </w:tc>
        <w:tc>
          <w:tcPr>
            <w:tcW w:type="dxa" w:w="55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Resolve conflicting completion, note and assessment events without data loss.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MOB-09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Mobile certificate</w:t>
              <w:br/>
              <w:t>app://certificate/:id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Present a wallet-ready certificate and verification QR.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/>
          <w:color w:val="6D7282"/>
          <w:sz w:val="16"/>
        </w:rPr>
        <w:t>Annotation contract: 1 shell/identity · 2 orientation/context · 3 primary task · 4 supporting state · 5 next action.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Board 15 — Teacher planning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16" name="Picture 16" descr="Wireframe board 15: Teacher planning, showing Teacher dashboard, Cohort list, Cohort over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556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Screen / route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Primary decision or outcome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TCH-01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Teacher dashboard</w:t>
              <w:br/>
              <w:t>/teacher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Show classes, upcoming work, support flags and recent submissions.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TCH-02</w:t>
            </w:r>
          </w:p>
        </w:tc>
        <w:tc>
          <w:tcPr>
            <w:tcW w:type="dxa" w:w="2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Cohort list</w:t>
              <w:br/>
              <w:t>/teacher/cohorts</w:t>
            </w:r>
          </w:p>
        </w:tc>
        <w:tc>
          <w:tcPr>
            <w:tcW w:type="dxa" w:w="55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Manage permitted cohorts with programme, edition, schedule and roster state.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TCH-03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Cohort overview</w:t>
              <w:br/>
              <w:t>/teacher/cohort/:id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Understand participation, mastery, pace and accessibility support.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/>
          <w:color w:val="6D7282"/>
          <w:sz w:val="16"/>
        </w:rPr>
        <w:t>Annotation contract: 1 shell/identity · 2 orientation/context · 3 primary task · 4 supporting state · 5 next action.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Board 16 — Teacher delivery and evidence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17" name="Picture 17" descr="Wireframe board 16: Teacher delivery and evidence, showing Teaching schedule, Create assignment, Learner det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1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556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Screen / route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Primary decision or outcome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TCH-04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Teaching schedule</w:t>
              <w:br/>
              <w:t>/teacher/schedule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Plan chapter sequence, live sessions, due dates and exceptions.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TCH-05</w:t>
            </w:r>
          </w:p>
        </w:tc>
        <w:tc>
          <w:tcPr>
            <w:tcW w:type="dxa" w:w="2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Create assignment</w:t>
              <w:br/>
              <w:t>/teacher/assignment/new</w:t>
            </w:r>
          </w:p>
        </w:tc>
        <w:tc>
          <w:tcPr>
            <w:tcW w:type="dxa" w:w="55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Assign only approved activities with rubric, due date and accommodation rules.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TCH-06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Learner detail</w:t>
              <w:br/>
              <w:t>/teacher/learner/:id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Support learning from permitted evidence without exposing private reflections.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/>
          <w:color w:val="6D7282"/>
          <w:sz w:val="16"/>
        </w:rPr>
        <w:t>Annotation contract: 1 shell/identity · 2 orientation/context · 3 primary task · 4 supporting state · 5 next action.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Board 17 — Teacher assessment and reports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18" name="Picture 18" descr="Wireframe board 17: Teacher assessment and reports, showing Submissions and rubric, Class outcome report, Class presentation mo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1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556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Screen / route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Primary decision or outcome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TCH-07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Submissions and rubric</w:t>
              <w:br/>
              <w:t>/teacher/submissions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Review work, apply an approved rubric and provide accessible feedback.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TCH-08</w:t>
            </w:r>
          </w:p>
        </w:tc>
        <w:tc>
          <w:tcPr>
            <w:tcW w:type="dxa" w:w="2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Class outcome report</w:t>
              <w:br/>
              <w:t>/teacher/reports/outcomes</w:t>
            </w:r>
          </w:p>
        </w:tc>
        <w:tc>
          <w:tcPr>
            <w:tcW w:type="dxa" w:w="55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Identify concept-level needs without public ranking or sensitive inference.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TCH-09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Class presentation mode</w:t>
              <w:br/>
              <w:t>/teacher/present/:lessonId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Project verses, diagrams and activities with large text and minimal controls.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/>
          <w:color w:val="6D7282"/>
          <w:sz w:val="16"/>
        </w:rPr>
        <w:t>Annotation contract: 1 shell/identity · 2 orientation/context · 3 primary task · 4 supporting state · 5 next action.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Board 18 — Content authoring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19" name="Picture 19" descr="Wireframe board 18: Content authoring, showing Content work queue, Course structure editor, Lesson edit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1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556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Screen / route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Primary decision or outcome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CNT-01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Content work queue</w:t>
              <w:br/>
              <w:t>/studio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Prioritise draft, review, rights and accessibility work by edition and release.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CNT-02</w:t>
            </w:r>
          </w:p>
        </w:tc>
        <w:tc>
          <w:tcPr>
            <w:tcW w:type="dxa" w:w="2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Course structure editor</w:t>
              <w:br/>
              <w:t>/studio/course/:id</w:t>
            </w:r>
          </w:p>
        </w:tc>
        <w:tc>
          <w:tcPr>
            <w:tcW w:type="dxa" w:w="55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Assemble reusable modules, outcomes, chapters, lessons and assessments.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CNT-03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Lesson editor</w:t>
              <w:br/>
              <w:t>/studio/lesson/:id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Author structured layers and activities without mixing source and explanation.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/>
          <w:color w:val="6D7282"/>
          <w:sz w:val="16"/>
        </w:rPr>
        <w:t>Annotation contract: 1 shell/identity · 2 orientation/context · 3 primary task · 4 supporting state · 5 next action.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Board 19 — Scholarly content tools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20" name="Picture 20" descr="Wireframe board 19: Scholarly content tools, showing Verse picker, Translation compare, Assessment ban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1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556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Screen / route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Primary decision or outcome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CNT-04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Verse picker</w:t>
              <w:br/>
              <w:t>/studio/verse-picker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Select canonical references and approved edition layers with provenance.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CNT-05</w:t>
            </w:r>
          </w:p>
        </w:tc>
        <w:tc>
          <w:tcPr>
            <w:tcW w:type="dxa" w:w="2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Translation compare</w:t>
              <w:br/>
              <w:t>/studio/compare</w:t>
            </w:r>
          </w:p>
        </w:tc>
        <w:tc>
          <w:tcPr>
            <w:tcW w:type="dxa" w:w="55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Compare authorised versions side by side without silently merging them.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CNT-06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Assessment bank</w:t>
              <w:br/>
              <w:t>/studio/items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Create and govern items by outcome, edition, age band and exposure state.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/>
          <w:color w:val="6D7282"/>
          <w:sz w:val="16"/>
        </w:rPr>
        <w:t>Annotation contract: 1 shell/identity · 2 orientation/context · 3 primary task · 4 supporting state · 5 next action.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Board 20 — Content review, release and rights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21" name="Picture 21" descr="Wireframe board 20: Content review, release and rights, showing Review and sign-off, Release manager, Rights ledg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2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556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Screen / route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Primary decision or outcome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CNT-07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Review and sign-off</w:t>
              <w:br/>
              <w:t>/studio/review/:id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Capture scholarly, pedagogical, language, accessibility and rights approvals.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CNT-08</w:t>
            </w:r>
          </w:p>
        </w:tc>
        <w:tc>
          <w:tcPr>
            <w:tcW w:type="dxa" w:w="2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Release manager</w:t>
              <w:br/>
              <w:t>/studio/releases</w:t>
            </w:r>
          </w:p>
        </w:tc>
        <w:tc>
          <w:tcPr>
            <w:tcW w:type="dxa" w:w="55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Publish immutable versions to named tenants, languages and audiences.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CNT-09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Rights ledger</w:t>
              <w:br/>
              <w:t>/studio/rights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Enforce media and text rights by territory, channel, audience, language and time.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/>
          <w:color w:val="6D7282"/>
          <w:sz w:val="16"/>
        </w:rPr>
        <w:t>Annotation contract: 1 shell/identity · 2 orientation/context · 3 primary task · 4 supporting state · 5 next action.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Board 21 — Tenant administration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22" name="Picture 22" descr="Wireframe board 21: Tenant administration, showing Tenant overview, Brand and domain, Users and ro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2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556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Screen / route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Primary decision or outcome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ADM-01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Tenant overview</w:t>
              <w:br/>
              <w:t>/admin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See organisation health, programmes, editions, users, integrations and alerts.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ADM-02</w:t>
            </w:r>
          </w:p>
        </w:tc>
        <w:tc>
          <w:tcPr>
            <w:tcW w:type="dxa" w:w="2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Brand and domain</w:t>
              <w:br/>
              <w:t>/admin/brand</w:t>
            </w:r>
          </w:p>
        </w:tc>
        <w:tc>
          <w:tcPr>
            <w:tcW w:type="dxa" w:w="55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Configure approved logo, colours, domain, app skin and communication templates.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ADM-03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Users and roles</w:t>
              <w:br/>
              <w:t>/admin/users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Invite, import and govern staff and learners with scoped roles.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/>
          <w:color w:val="6D7282"/>
          <w:sz w:val="16"/>
        </w:rPr>
        <w:t>Annotation contract: 1 shell/identity · 2 orientation/context · 3 primary task · 4 supporting state · 5 next action.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Board 22 — Programmes and integrations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23" name="Picture 23" descr="Wireframe board 22: Programmes and integrations, showing Programme and cohorts, SSO, LTI and SIS, Policies and reten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2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556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Screen / route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Primary decision or outcome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ADM-04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Programme and cohorts</w:t>
              <w:br/>
              <w:t>/admin/programmes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Configure edition, course, age band, schedule, pass rules and certificate.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ADM-05</w:t>
            </w:r>
          </w:p>
        </w:tc>
        <w:tc>
          <w:tcPr>
            <w:tcW w:type="dxa" w:w="2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SSO, LTI and SIS</w:t>
              <w:br/>
              <w:t>/admin/integrations</w:t>
            </w:r>
          </w:p>
        </w:tc>
        <w:tc>
          <w:tcPr>
            <w:tcW w:type="dxa" w:w="55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Configure identity and school integrations with test and health evidence.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ADM-06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Policies and retention</w:t>
              <w:br/>
              <w:t>/admin/policies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Version consent, privacy, retention, notification and safeguarding rules.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/>
          <w:color w:val="6D7282"/>
          <w:sz w:val="16"/>
        </w:rPr>
        <w:t>Annotation contract: 1 shell/identity · 2 orientation/context · 3 primary task · 4 supporting state · 5 next action.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Board 23 — Certificates, analytics and audit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24" name="Picture 24" descr="Wireframe board 23: Certificates, analytics and audit, showing Certificate configuration, Tenant analytics, Audit and sup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2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556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Screen / route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Primary decision or outcome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ADM-07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Certificate configuration</w:t>
              <w:br/>
              <w:t>/admin/certificates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Configure issuer, wording, signatures, verification and revocation rights.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ADM-08</w:t>
            </w:r>
          </w:p>
        </w:tc>
        <w:tc>
          <w:tcPr>
            <w:tcW w:type="dxa" w:w="2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Tenant analytics</w:t>
              <w:br/>
              <w:t>/admin/analytics</w:t>
            </w:r>
          </w:p>
        </w:tc>
        <w:tc>
          <w:tcPr>
            <w:tcW w:type="dxa" w:w="55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Measure reach, activation, mastery, inclusion and service health within scope.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ADM-09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Audit and support</w:t>
              <w:br/>
              <w:t>/admin/audit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Investigate privileged actions, data exports, content releases and incidents.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/>
          <w:color w:val="6D7282"/>
          <w:sz w:val="16"/>
        </w:rPr>
        <w:t>Annotation contract: 1 shell/identity · 2 orientation/context · 3 primary task · 4 supporting state · 5 next action.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Board 24 — Platform operations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25" name="Picture 25" descr="Wireframe board 24: Platform operations, showing Tenant registry, Feature flags and releases, System health and inciden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2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556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Screen / route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Primary decision or outcome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OPS-01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Tenant registry</w:t>
              <w:br/>
              <w:t>/ops/tenants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Operate tenant lifecycle, regions, tiers, ownership and data boundaries.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OPS-02</w:t>
            </w:r>
          </w:p>
        </w:tc>
        <w:tc>
          <w:tcPr>
            <w:tcW w:type="dxa" w:w="2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Feature flags and releases</w:t>
              <w:br/>
              <w:t>/ops/releases</w:t>
            </w:r>
          </w:p>
        </w:tc>
        <w:tc>
          <w:tcPr>
            <w:tcW w:type="dxa" w:w="55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Stage capabilities by tenant, cohort, app version and region with rollback.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OPS-03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System health and incidents</w:t>
              <w:br/>
              <w:t>/ops/health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Monitor service objectives, jobs, sync, media, integrations and active incidents.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/>
          <w:color w:val="6D7282"/>
          <w:sz w:val="16"/>
        </w:rPr>
        <w:t>Annotation contract: 1 shell/identity · 2 orientation/context · 3 primary task · 4 supporting state · 5 next action.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Board 25 — Platform trust and support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26" name="Picture 26" descr="Wireframe board 25: Platform trust and support, showing Content distribution, Support elevation, Security and aud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2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5560"/>
      </w:tblGrid>
      <w:tr>
        <w:trPr>
          <w:tblHeader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Screen / route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Primary decision or outcome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OPS-04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Content distribution</w:t>
              <w:br/>
              <w:t>/ops/distribution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Trace edition packages, tenant entitlement, CDN state and retractions.</w:t>
            </w:r>
          </w:p>
        </w:tc>
      </w:tr>
      <w:tr>
        <w:tc>
          <w:tcPr>
            <w:tcW w:type="dxa" w:w="10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OPS-05</w:t>
            </w:r>
          </w:p>
        </w:tc>
        <w:tc>
          <w:tcPr>
            <w:tcW w:type="dxa" w:w="2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Support elevation</w:t>
              <w:br/>
              <w:t>/ops/support</w:t>
            </w:r>
          </w:p>
        </w:tc>
        <w:tc>
          <w:tcPr>
            <w:tcW w:type="dxa" w:w="55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Troubleshoot with time-bound, approved, audited access and privacy masks.</w:t>
            </w:r>
          </w:p>
        </w:tc>
      </w:tr>
      <w:tr>
        <w:tc>
          <w:tcPr>
            <w:tcW w:type="dxa" w:w="10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OPS-06</w:t>
            </w:r>
          </w:p>
        </w:tc>
        <w:tc>
          <w:tcPr>
            <w:tcW w:type="dxa" w:w="2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Security and audit</w:t>
              <w:br/>
              <w:t>/ops/security</w:t>
            </w:r>
          </w:p>
        </w:tc>
        <w:tc>
          <w:tcPr>
            <w:tcW w:type="dxa" w:w="5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5"/>
              </w:rPr>
              <w:t>Review privileged activity, threats, vulnerabilities, backups and tenant-isolation evidence.</w:t>
            </w:r>
          </w:p>
        </w:tc>
      </w:tr>
    </w:tbl>
    <w:p>
      <w:pPr>
        <w:spacing w:before="0" w:after="0"/>
      </w:pPr>
      <w:r>
        <w:rPr>
          <w:rFonts w:ascii="Arial" w:hAnsi="Arial"/>
          <w:b w:val="0"/>
          <w:i/>
          <w:color w:val="6D7282"/>
          <w:sz w:val="16"/>
        </w:rPr>
        <w:t>Annotation contract: 1 shell/identity · 2 orientation/context · 3 primary task · 4 supporting state · 5 next action.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6. Interaction and state model</w:t>
      </w:r>
    </w:p>
    <w:p>
      <w:pPr>
        <w:pStyle w:val="Heading2"/>
      </w:pPr>
      <w:r>
        <w:t>Critical end-to-end journeys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450"/>
        <w:gridCol w:w="3160"/>
      </w:tblGrid>
      <w:tr>
        <w:trPr>
          <w:tblHeader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Journey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Screen sequence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Completion evidence</w:t>
            </w:r>
          </w:p>
        </w:tc>
      </w:tr>
      <w:tr>
        <w:tc>
          <w:tcPr>
            <w:tcW w:type="dxa" w:w="1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Independent learner</w:t>
            </w:r>
          </w:p>
        </w:tc>
        <w:tc>
          <w:tcPr>
            <w:tcW w:type="dxa" w:w="44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PUB-01 → PUB-02 → PUB-05 → ID-02/03 → LRN-02/03 → LRN-04–15 → LRN-19</w:t>
            </w:r>
          </w:p>
        </w:tc>
        <w:tc>
          <w:tcPr>
            <w:tcW w:type="dxa" w:w="31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Readiness resolved; 18 chapters; capstone; verifiable certificate.</w:t>
            </w:r>
          </w:p>
        </w:tc>
      </w:tr>
      <w:tr>
        <w:tc>
          <w:tcPr>
            <w:tcW w:type="dxa" w:w="1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School learner</w:t>
            </w:r>
          </w:p>
        </w:tc>
        <w:tc>
          <w:tcPr>
            <w:tcW w:type="dxa" w:w="44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LMS launch → GUA-01/02 if required → LRN-01 → LRN-04–15</w:t>
            </w:r>
          </w:p>
        </w:tc>
        <w:tc>
          <w:tcPr>
            <w:tcW w:type="dxa" w:w="31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Roster and consent applied; results returned only as authorised.</w:t>
            </w:r>
          </w:p>
        </w:tc>
      </w:tr>
      <w:tr>
        <w:tc>
          <w:tcPr>
            <w:tcW w:type="dxa" w:w="1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Teacher delivery</w:t>
            </w:r>
          </w:p>
        </w:tc>
        <w:tc>
          <w:tcPr>
            <w:tcW w:type="dxa" w:w="44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TCH-01 → TCH-02/03 → TCH-04/05 → TCH-07/08</w:t>
            </w:r>
          </w:p>
        </w:tc>
        <w:tc>
          <w:tcPr>
            <w:tcW w:type="dxa" w:w="31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Approved plan assigned; feedback and outcome report produced.</w:t>
            </w:r>
          </w:p>
        </w:tc>
      </w:tr>
      <w:tr>
        <w:tc>
          <w:tcPr>
            <w:tcW w:type="dxa" w:w="1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Organisation onboarding</w:t>
            </w:r>
          </w:p>
        </w:tc>
        <w:tc>
          <w:tcPr>
            <w:tcW w:type="dxa" w:w="44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ADM-01–09 + CNT-04/05/07–09</w:t>
            </w:r>
          </w:p>
        </w:tc>
        <w:tc>
          <w:tcPr>
            <w:tcW w:type="dxa" w:w="31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Brand, domain, identity, policies, rights and edition approved before launch.</w:t>
            </w:r>
          </w:p>
        </w:tc>
      </w:tr>
      <w:tr>
        <w:tc>
          <w:tcPr>
            <w:tcW w:type="dxa" w:w="1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Content release</w:t>
            </w:r>
          </w:p>
        </w:tc>
        <w:tc>
          <w:tcPr>
            <w:tcW w:type="dxa" w:w="44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CNT-01 → CNT-02/03/04 → CNT-07 → CNT-08 → OPS-04</w:t>
            </w:r>
          </w:p>
        </w:tc>
        <w:tc>
          <w:tcPr>
            <w:tcW w:type="dxa" w:w="31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Immutable authorised version published to named tenants and audiences.</w:t>
            </w:r>
          </w:p>
        </w:tc>
      </w:tr>
      <w:tr>
        <w:tc>
          <w:tcPr>
            <w:tcW w:type="dxa" w:w="1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Support incident</w:t>
            </w:r>
          </w:p>
        </w:tc>
        <w:tc>
          <w:tcPr>
            <w:tcW w:type="dxa" w:w="44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LRN-21/TCH-01 → OPS-05 → OPS-03/06</w:t>
            </w:r>
          </w:p>
        </w:tc>
        <w:tc>
          <w:tcPr>
            <w:tcW w:type="dxa" w:w="31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Approved elevation, masked diagnostics, audit evidence and closure.</w:t>
            </w:r>
          </w:p>
        </w:tc>
      </w:tr>
    </w:tbl>
    <w:p>
      <w:pPr>
        <w:pStyle w:val="Heading2"/>
      </w:pPr>
      <w:r>
        <w:t>Destructive and high-trust actions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Delete account/data, retract content, revoke certificate, remove tenant and end support elevation require confirmation, scope summary and audit evidence.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Publish, approve, release, export and role assignment show the exact tenant, edition, audience and version affected before commitment.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A user must never infer success from navigation alone; save, submit, sync, publish and certificate actions require explicit status feedback.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7. Technical interface contracts</w:t>
      </w:r>
    </w:p>
    <w:p>
      <w:pPr>
        <w:pStyle w:val="Heading2"/>
      </w:pPr>
      <w:r>
        <w:t>Front-end application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900"/>
        <w:gridCol w:w="3860"/>
      </w:tblGrid>
      <w:tr>
        <w:trPr>
          <w:tblHeader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Client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Responsibilities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Must not own</w:t>
            </w:r>
          </w:p>
        </w:tc>
      </w:tr>
      <w:tr>
        <w:tc>
          <w:tcPr>
            <w:tcW w:type="dxa" w:w="160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Responsive web</w:t>
            </w:r>
          </w:p>
        </w:tc>
        <w:tc>
          <w:tcPr>
            <w:tcW w:type="dxa" w:w="390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Public discovery, learner, teacher, studio, admin and ops shells; SSR/PWA where valuable.</w:t>
            </w:r>
          </w:p>
        </w:tc>
        <w:tc>
          <w:tcPr>
            <w:tcW w:type="dxa" w:w="38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Authoritative entitlement, policy or certificate decisions.</w:t>
            </w:r>
          </w:p>
        </w:tc>
      </w:tr>
      <w:tr>
        <w:tc>
          <w:tcPr>
            <w:tcW w:type="dxa" w:w="160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iOS / Android</w:t>
            </w:r>
          </w:p>
        </w:tc>
        <w:tc>
          <w:tcPr>
            <w:tcW w:type="dxa" w:w="390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Native-quality playback, downloads, notifications, secure storage and offline sync.</w:t>
            </w:r>
          </w:p>
        </w:tc>
        <w:tc>
          <w:tcPr>
            <w:tcW w:type="dxa" w:w="38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A separate curriculum or tenant administration model.</w:t>
            </w:r>
          </w:p>
        </w:tc>
      </w:tr>
      <w:tr>
        <w:tc>
          <w:tcPr>
            <w:tcW w:type="dxa" w:w="160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Design system</w:t>
            </w:r>
          </w:p>
        </w:tc>
        <w:tc>
          <w:tcPr>
            <w:tcW w:type="dxa" w:w="390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Tokens, components, interaction states, content patterns and accessibility semantics.</w:t>
            </w:r>
          </w:p>
        </w:tc>
        <w:tc>
          <w:tcPr>
            <w:tcW w:type="dxa" w:w="38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Tenant-specific components that cannot be upgraded centrally.</w:t>
            </w:r>
          </w:p>
        </w:tc>
      </w:tr>
      <w:tr>
        <w:tc>
          <w:tcPr>
            <w:tcW w:type="dxa" w:w="160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BFF / API gateway</w:t>
            </w:r>
          </w:p>
        </w:tc>
        <w:tc>
          <w:tcPr>
            <w:tcW w:type="dxa" w:w="390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Resolve context, aggregate view models, enforce scopes and mobile compatibility.</w:t>
            </w:r>
          </w:p>
        </w:tc>
        <w:tc>
          <w:tcPr>
            <w:tcW w:type="dxa" w:w="38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Silent cross-tenant joins or UI-derived authorisation.</w:t>
            </w:r>
          </w:p>
        </w:tc>
      </w:tr>
    </w:tbl>
    <w:p>
      <w:pPr>
        <w:pStyle w:val="Heading2"/>
      </w:pPr>
      <w:r>
        <w:t>Required view-model fields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context: tenantId, programmeId, editionId, language, agePolicy, roleScopes and entitlement.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resource: stable ID, version, publication status, effective date, source/edition lineage and rights state.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learning: activity state, mastery evidence, attempt policy, sync state, next action and revision reason.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UI: accessible name, status text, permitted actions, empty/error/offline variants and support reference.</w:t>
      </w:r>
    </w:p>
    <w:p>
      <w:pPr>
        <w:pStyle w:val="Heading2"/>
      </w:pPr>
      <w:r>
        <w:t>Navigation and API guarantees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All routes use stable identifiers; human-readable slugs are aliases, not database keys.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Mutations are idempotent where retried by mobile/offline clients and return the resulting version and sync token.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Every privileged mutation includes tenant scope, actor, reason where required, correlation ID and audit event.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8. Accessibility, localisation and analytics</w:t>
      </w:r>
    </w:p>
    <w:p>
      <w:pPr>
        <w:pStyle w:val="Heading2"/>
      </w:pPr>
      <w:r>
        <w:t>Accessibility acceptance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Target WCAG 2.2 Level AA for web and relevant mobile guidance, including keyboard, switch, screen reader, text reflow, reduced motion and accessible authentication.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Test scripture scripts, diacritics, transliteration, dynamic type, audio controls, assessments and error states with target assistive technologies.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Do not rely on colour, shape or position alone for edition, status, correctness, approval or risk.</w:t>
      </w:r>
    </w:p>
    <w:p>
      <w:pPr>
        <w:pStyle w:val="Heading2"/>
      </w:pPr>
      <w:r>
        <w:t>Localisation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Layer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80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Interface</w:t>
            </w:r>
          </w:p>
        </w:tc>
        <w:tc>
          <w:tcPr>
            <w:tcW w:type="dxa" w:w="7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Externalised strings, pluralisation, directionality, locale formats and translated validation.</w:t>
            </w:r>
          </w:p>
        </w:tc>
      </w:tr>
      <w:tr>
        <w:tc>
          <w:tcPr>
            <w:tcW w:type="dxa" w:w="180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Scripture</w:t>
            </w:r>
          </w:p>
        </w:tc>
        <w:tc>
          <w:tcPr>
            <w:tcW w:type="dxa" w:w="75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Independent script, source text, transliteration, translation and commentary layers.</w:t>
            </w:r>
          </w:p>
        </w:tc>
      </w:tr>
      <w:tr>
        <w:tc>
          <w:tcPr>
            <w:tcW w:type="dxa" w:w="180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Media</w:t>
            </w:r>
          </w:p>
        </w:tc>
        <w:tc>
          <w:tcPr>
            <w:tcW w:type="dxa" w:w="7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Per-language audio, captions, transcripts, description and rights.</w:t>
            </w:r>
          </w:p>
        </w:tc>
      </w:tr>
      <w:tr>
        <w:tc>
          <w:tcPr>
            <w:tcW w:type="dxa" w:w="180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Programme</w:t>
            </w:r>
          </w:p>
        </w:tc>
        <w:tc>
          <w:tcPr>
            <w:tcW w:type="dxa" w:w="756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Local schedule, age band, policy, curriculum terms and certificate wording.</w:t>
            </w:r>
          </w:p>
        </w:tc>
      </w:tr>
      <w:tr>
        <w:tc>
          <w:tcPr>
            <w:tcW w:type="dxa" w:w="180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Operations</w:t>
            </w:r>
          </w:p>
        </w:tc>
        <w:tc>
          <w:tcPr>
            <w:tcW w:type="dxa" w:w="756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7"/>
              </w:rPr>
              <w:t>Per-language release state, reviewers, support coverage and fallbacks.</w:t>
            </w:r>
          </w:p>
        </w:tc>
      </w:tr>
    </w:tbl>
    <w:p>
      <w:pPr>
        <w:pStyle w:val="Heading2"/>
      </w:pPr>
      <w:r>
        <w:t>Analytics event principles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Events are purpose-bound and exclude private reflections, free-text notes and sensitive religious inferences.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Recommended core events: context_resolved, course_started, activity_completed, outcome_demonstrated, revision_started, assessment_submitted, certificate_issued, offline_sync_completed and content_issue_reported.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Every event carries tenant, programme, edition, language, resource version and consent classification as permitted.</w:t>
      </w:r>
    </w:p>
    <w:p>
      <w:pPr>
        <w:sectPr>
          <w:pgSz w:w="12240" w:h="15840"/>
          <w:pgMar w:top="1037" w:right="1440" w:bottom="979" w:left="1440" w:header="461" w:footer="490" w:gutter="0"/>
          <w:cols w:space="720"/>
          <w:docGrid w:linePitch="360"/>
        </w:sectPr>
      </w:pPr>
    </w:p>
    <w:p>
      <w:pPr>
        <w:pStyle w:val="Heading1"/>
      </w:pPr>
      <w:r>
        <w:t>9. Delivery and acceptance requirements</w:t>
      </w:r>
    </w:p>
    <w:p>
      <w:pPr>
        <w:pStyle w:val="Heading2"/>
      </w:pPr>
      <w:r>
        <w:t>Design deliverables expected from the development organisation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Validated information architecture and route map for all 75 screens.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Clickable desktop, tablet and mobile prototypes for all critical journeys and high-risk states.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Living Bliss multi-brand design system with tokens, components, content patterns and accessibility annotations.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Screen-by-screen specification including data, actions, permissions, events, empty/error/offline states and acceptance criteria.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Usability findings from learners, teachers, content reviewers, administrators and disabled participants.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17213A"/>
          <w:sz w:val="19"/>
        </w:rPr>
        <w:t>Traceability from this screen inventory to backlog stories, APIs, tests and release evidence.</w:t>
      </w:r>
    </w:p>
    <w:p>
      <w:pPr>
        <w:pStyle w:val="Heading2"/>
      </w:pPr>
      <w:r>
        <w:t>UI definition of done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rPr>
          <w:tblHeader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Gate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264F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Evidence required</w:t>
            </w:r>
          </w:p>
        </w:tc>
      </w:tr>
      <w:tr>
        <w:tc>
          <w:tcPr>
            <w:tcW w:type="dxa" w:w="1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Functional</w:t>
            </w:r>
          </w:p>
        </w:tc>
        <w:tc>
          <w:tcPr>
            <w:tcW w:type="dxa" w:w="76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All permitted actions, validation, persistence, status and recovery paths work.</w:t>
            </w:r>
          </w:p>
        </w:tc>
      </w:tr>
      <w:tr>
        <w:tc>
          <w:tcPr>
            <w:tcW w:type="dxa" w:w="1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Responsive</w:t>
            </w:r>
          </w:p>
        </w:tc>
        <w:tc>
          <w:tcPr>
            <w:tcW w:type="dxa" w:w="76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Approved breakpoints and supported devices pass visual regression.</w:t>
            </w:r>
          </w:p>
        </w:tc>
      </w:tr>
      <w:tr>
        <w:tc>
          <w:tcPr>
            <w:tcW w:type="dxa" w:w="1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Accessibility</w:t>
            </w:r>
          </w:p>
        </w:tc>
        <w:tc>
          <w:tcPr>
            <w:tcW w:type="dxa" w:w="76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Automated and manual tests pass; critical journeys tested with assistive technology.</w:t>
            </w:r>
          </w:p>
        </w:tc>
      </w:tr>
      <w:tr>
        <w:tc>
          <w:tcPr>
            <w:tcW w:type="dxa" w:w="1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Tenant integrity</w:t>
            </w:r>
          </w:p>
        </w:tc>
        <w:tc>
          <w:tcPr>
            <w:tcW w:type="dxa" w:w="76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Brand and content change by configuration; no cross-tenant data or unapproved edition leakage.</w:t>
            </w:r>
          </w:p>
        </w:tc>
      </w:tr>
      <w:tr>
        <w:tc>
          <w:tcPr>
            <w:tcW w:type="dxa" w:w="1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Content integrity</w:t>
            </w:r>
          </w:p>
        </w:tc>
        <w:tc>
          <w:tcPr>
            <w:tcW w:type="dxa" w:w="76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Source layers, version, authority, rights and approval remain visible and traceable.</w:t>
            </w:r>
          </w:p>
        </w:tc>
      </w:tr>
      <w:tr>
        <w:tc>
          <w:tcPr>
            <w:tcW w:type="dxa" w:w="175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Offline</w:t>
            </w:r>
          </w:p>
        </w:tc>
        <w:tc>
          <w:tcPr>
            <w:tcW w:type="dxa" w:w="7610"/>
            <w:shd w:fill="F5EFE2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Downloads, queued events, conflicts, expiry and retraction behave as specified.</w:t>
            </w:r>
          </w:p>
        </w:tc>
      </w:tr>
      <w:tr>
        <w:tc>
          <w:tcPr>
            <w:tcW w:type="dxa" w:w="175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Operational</w:t>
            </w:r>
          </w:p>
        </w:tc>
        <w:tc>
          <w:tcPr>
            <w:tcW w:type="dxa" w:w="7610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7213A"/>
                <w:sz w:val="16"/>
              </w:rPr>
              <w:t>Analytics, audit, support references, feature flags and rollback are present.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3F1E8"/>
            <w:tcBorders>
              <w:top w:val="single" w:sz="4" w:color="34805B"/>
              <w:left w:val="single" w:sz="12" w:color="34805B"/>
              <w:bottom w:val="single" w:sz="4" w:color="34805B"/>
              <w:right w:val="single" w:sz="4" w:color="34805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4805B"/>
                <w:sz w:val="19"/>
              </w:rPr>
              <w:t xml:space="preserve">RECOMMENDED NEXT STEP: </w:t>
            </w:r>
            <w:r>
              <w:rPr>
                <w:rFonts w:ascii="Arial" w:hAnsi="Arial"/>
                <w:b w:val="0"/>
                <w:i w:val="0"/>
                <w:color w:val="17213A"/>
                <w:sz w:val="19"/>
              </w:rPr>
              <w:t>Commission a six-week paid discovery and UX validation phase. Require the vendor to return clickable prototypes for these wireframes, a production design system, API/view-model contracts, a prioritised backlog and a fixed-assumption delivery plan.</w:t>
            </w:r>
          </w:p>
        </w:tc>
      </w:tr>
    </w:tbl>
    <w:sectPr w:rsidR="00FC693F" w:rsidRPr="0006063C" w:rsidSect="00034616">
      <w:pgSz w:w="12240" w:h="15840"/>
      <w:pgMar w:top="1037" w:right="1440" w:bottom="979" w:left="1440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D7282"/>
        <w:sz w:val="16"/>
      </w:rPr>
      <w:t xml:space="preserve">Living Bliss · 31 August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i w:val="0"/>
        <w:color w:val="18264F"/>
        <w:sz w:val="17"/>
      </w:rPr>
      <w:t>LIVING BLISS  |  UI WIREFRAMES &amp; TECHNICAL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8264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43B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E746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Living Bliss Bhagavad Gita Learning Platform — UI Wireframes and Technical Design</dc:title>
  <dc:subject>Complete interface inventory and functional wireframes for web, mobile and institutional workspaces</dc:subject>
  <dc:creator>Living Bliss</dc:creator>
  <cp:keywords>Bhagavad Gita, wireframes, UX, technical design, web, mobile, teacher, content studio, multi-tenant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