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440"/>
        <w:jc w:val="center"/>
      </w:pPr>
      <w:r>
        <w:drawing>
          <wp:inline xmlns:a="http://schemas.openxmlformats.org/drawingml/2006/main" xmlns:pic="http://schemas.openxmlformats.org/drawingml/2006/picture">
            <wp:extent cx="2148840" cy="955040"/>
            <wp:docPr id="1" name="Picture 1" descr="Living Bliss logo with the words Awakening Inner Bliss"/>
            <wp:cNvGraphicFramePr>
              <a:graphicFrameLocks noChangeAspect="1"/>
            </wp:cNvGraphicFramePr>
            <a:graphic>
              <a:graphicData uri="http://schemas.openxmlformats.org/drawingml/2006/picture">
                <pic:pic>
                  <pic:nvPicPr>
                    <pic:cNvPr id="0" name="living-bliss-logo-2026.png"/>
                    <pic:cNvPicPr/>
                  </pic:nvPicPr>
                  <pic:blipFill>
                    <a:blip r:embed="rId11"/>
                    <a:stretch>
                      <a:fillRect/>
                    </a:stretch>
                  </pic:blipFill>
                  <pic:spPr>
                    <a:xfrm>
                      <a:off x="0" y="0"/>
                      <a:ext cx="2148840" cy="955040"/>
                    </a:xfrm>
                    <a:prstGeom prst="rect"/>
                  </pic:spPr>
                </pic:pic>
              </a:graphicData>
            </a:graphic>
          </wp:inline>
        </w:drawing>
      </w:r>
    </w:p>
    <w:p>
      <w:pPr>
        <w:spacing w:before="0" w:after="200"/>
        <w:jc w:val="center"/>
      </w:pPr>
      <w:r>
        <w:rPr>
          <w:rFonts w:ascii="Arial" w:hAnsi="Arial"/>
          <w:b/>
          <w:i w:val="0"/>
          <w:color w:val="D9832E"/>
          <w:sz w:val="20"/>
        </w:rPr>
        <w:t>TECHNICAL DESIGN SPECIFICATION</w:t>
      </w:r>
    </w:p>
    <w:p>
      <w:pPr>
        <w:spacing w:before="0" w:after="40"/>
        <w:jc w:val="center"/>
      </w:pPr>
      <w:r>
        <w:rPr>
          <w:rFonts w:ascii="Arial" w:hAnsi="Arial"/>
          <w:b/>
          <w:i w:val="0"/>
          <w:color w:val="18264F"/>
          <w:sz w:val="58"/>
        </w:rPr>
        <w:t>Bhagavad Gita Learning Platform</w:t>
      </w:r>
    </w:p>
    <w:p>
      <w:pPr>
        <w:spacing w:before="0" w:after="240"/>
        <w:jc w:val="center"/>
      </w:pPr>
      <w:r>
        <w:rPr>
          <w:rFonts w:ascii="Arial" w:hAnsi="Arial"/>
          <w:b/>
          <w:i w:val="0"/>
          <w:color w:val="243B78"/>
          <w:sz w:val="46"/>
        </w:rPr>
        <w:t>Complete User Interface Wireframes</w:t>
      </w:r>
    </w:p>
    <w:p>
      <w:pPr>
        <w:spacing w:before="0" w:after="560"/>
        <w:jc w:val="center"/>
      </w:pPr>
      <w:r>
        <w:rPr>
          <w:rFonts w:ascii="Arial" w:hAnsi="Arial"/>
          <w:b w:val="0"/>
          <w:i w:val="0"/>
          <w:color w:val="6D7282"/>
          <w:sz w:val="22"/>
        </w:rPr>
        <w:t>Web · iOS · Android · Teacher · Content · Tenant Administration · Platform Operations</w:t>
      </w:r>
    </w:p>
    <w:p>
      <w:pPr>
        <w:spacing w:before="100" w:after="140"/>
        <w:ind w:left="115" w:right="29"/>
        <w:shd w:fill="F5EFE2"/>
        <w:pBdr>
          <w:top w:val="single" w:sz="3" w:color="D9832E" w:space="7"/>
          <w:left w:val="single" w:sz="14" w:color="D9832E" w:space="7"/>
          <w:bottom w:val="single" w:sz="3" w:color="D9832E" w:space="7"/>
          <w:right w:val="single" w:sz="3" w:color="D9832E" w:space="7"/>
        </w:pBdr>
      </w:pPr>
      <w:r>
        <w:rPr>
          <w:rFonts w:ascii="Arial" w:hAnsi="Arial"/>
          <w:b/>
          <w:i w:val="0"/>
          <w:color w:val="D9832E"/>
          <w:sz w:val="19"/>
        </w:rPr>
        <w:t xml:space="preserve">DESIGN INTENT: </w:t>
      </w:r>
      <w:r>
        <w:rPr>
          <w:rFonts w:ascii="Arial" w:hAnsi="Arial"/>
          <w:b w:val="0"/>
          <w:i w:val="0"/>
          <w:color w:val="17213A"/>
          <w:sz w:val="19"/>
        </w:rPr>
        <w:t>Preserve the calm, scripture-first Living Bliss experience while extending it into one configurable, multi-organisation learning platform. Structure, source integrity and acceptance obligations in this document are implementation requirements; the wireframes remain intentionally low fidelity.</w:t>
      </w:r>
    </w:p>
    <w:tbl>
      <w:tblPr>
        <w:tblStyle w:val="TableGrid"/>
        <w:tblW w:type="dxa" w:w="9360"/>
        <w:tblLayout w:type="fixed"/>
        <w:tblLook w:firstColumn="1" w:firstRow="1" w:lastColumn="0" w:lastRow="0" w:noHBand="0" w:noVBand="1" w:val="04A0"/>
        <w:jc w:val="left"/>
        <w:tblInd w:w="120" w:type="dxa"/>
      </w:tblPr>
      <w:tblGrid>
        <w:gridCol w:w="3450"/>
        <w:gridCol w:w="1800"/>
        <w:gridCol w:w="4110"/>
      </w:tblGrid>
      <w:tr>
        <w:trPr>
          <w:tblHeader/>
        </w:trPr>
        <w:tc>
          <w:tcPr>
            <w:tcW w:type="dxa" w:w="3450"/>
            <w:tcMar>
              <w:top w:w="80" w:type="dxa"/>
              <w:start w:w="120" w:type="dxa"/>
              <w:bottom w:w="80" w:type="dxa"/>
              <w:end w:w="120" w:type="dxa"/>
            </w:tcMar>
            <w:vAlign w:val="center"/>
            <w:shd w:fill="18264F"/>
          </w:tcPr>
          <w:p>
            <w:pPr>
              <w:spacing w:after="0"/>
            </w:pPr>
            <w:r>
              <w:rPr>
                <w:rFonts w:ascii="Arial" w:hAnsi="Arial"/>
                <w:b/>
                <w:i w:val="0"/>
                <w:color w:val="FFFFFF"/>
                <w:sz w:val="17"/>
              </w:rPr>
              <w:t>Document</w:t>
            </w:r>
          </w:p>
        </w:tc>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7"/>
              </w:rPr>
              <w:t>Version</w:t>
            </w:r>
          </w:p>
        </w:tc>
        <w:tc>
          <w:tcPr>
            <w:tcW w:type="dxa" w:w="4110"/>
            <w:tcMar>
              <w:top w:w="80" w:type="dxa"/>
              <w:start w:w="120" w:type="dxa"/>
              <w:bottom w:w="80" w:type="dxa"/>
              <w:end w:w="120" w:type="dxa"/>
            </w:tcMar>
            <w:vAlign w:val="center"/>
            <w:shd w:fill="18264F"/>
          </w:tcPr>
          <w:p>
            <w:pPr>
              <w:spacing w:after="0"/>
            </w:pPr>
            <w:r>
              <w:rPr>
                <w:rFonts w:ascii="Arial" w:hAnsi="Arial"/>
                <w:b/>
                <w:i w:val="0"/>
                <w:color w:val="FFFFFF"/>
                <w:sz w:val="17"/>
              </w:rPr>
              <w:t>Status</w:t>
            </w:r>
          </w:p>
        </w:tc>
      </w:tr>
      <w:tr>
        <w:trPr>
          <w:cantSplit/>
        </w:trPr>
        <w:tc>
          <w:tcPr>
            <w:tcW w:type="dxa" w:w="3450"/>
            <w:tcMar>
              <w:top w:w="80" w:type="dxa"/>
              <w:start w:w="120" w:type="dxa"/>
              <w:bottom w:w="80" w:type="dxa"/>
              <w:end w:w="120" w:type="dxa"/>
            </w:tcMar>
            <w:vAlign w:val="center"/>
          </w:tcPr>
          <w:p>
            <w:pPr>
              <w:spacing w:after="0" w:line="245" w:lineRule="auto"/>
            </w:pPr>
            <w:r>
              <w:rPr>
                <w:rFonts w:ascii="Arial" w:hAnsi="Arial"/>
                <w:b w:val="0"/>
                <w:i w:val="0"/>
                <w:color w:val="17213A"/>
                <w:sz w:val="17"/>
              </w:rPr>
              <w:t>UI wireframes and technical design</w:t>
            </w:r>
          </w:p>
        </w:tc>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7"/>
              </w:rPr>
              <w:t>2.0 Professional</w:t>
            </w:r>
          </w:p>
        </w:tc>
        <w:tc>
          <w:tcPr>
            <w:tcW w:type="dxa" w:w="4110"/>
            <w:tcMar>
              <w:top w:w="80" w:type="dxa"/>
              <w:start w:w="120" w:type="dxa"/>
              <w:bottom w:w="80" w:type="dxa"/>
              <w:end w:w="120" w:type="dxa"/>
            </w:tcMar>
            <w:vAlign w:val="center"/>
          </w:tcPr>
          <w:p>
            <w:pPr>
              <w:spacing w:after="0" w:line="245" w:lineRule="auto"/>
            </w:pPr>
            <w:r>
              <w:rPr>
                <w:rFonts w:ascii="Arial" w:hAnsi="Arial"/>
                <w:b w:val="0"/>
                <w:i w:val="0"/>
                <w:color w:val="17213A"/>
                <w:sz w:val="17"/>
              </w:rPr>
              <w:t>Vendor discovery and implementation baseline</w:t>
            </w:r>
          </w:p>
        </w:tc>
      </w:tr>
    </w:tbl>
    <w:p>
      <w:pPr>
        <w:spacing w:before="300" w:after="0"/>
        <w:jc w:val="center"/>
      </w:pPr>
      <w:r>
        <w:rPr>
          <w:rFonts w:ascii="Arial" w:hAnsi="Arial"/>
          <w:b w:val="0"/>
          <w:i/>
          <w:color w:val="6D7282"/>
          <w:sz w:val="19"/>
        </w:rPr>
        <w:t>Prepared for Living Bliss and the selected product-development organisation · 31 August 2026</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Document purpose and use</w:t>
      </w:r>
    </w:p>
    <w:p>
      <w:pPr>
        <w:spacing w:before="0" w:after="100"/>
      </w:pPr>
      <w:r>
        <w:rPr>
          <w:rFonts w:ascii="Arial" w:hAnsi="Arial"/>
          <w:b w:val="0"/>
          <w:i w:val="0"/>
          <w:color w:val="17213A"/>
          <w:sz w:val="21"/>
        </w:rPr>
        <w:t>This specification converts the product blueprint into a complete interface inventory, 25-board wireframe set and testable implementation contract for an external development organisation. It supports discovery, UX design, solution architecture, estimation, backlog creation, build, verification and release acceptance.</w:t>
      </w:r>
    </w:p>
    <w:p>
      <w:pPr>
        <w:spacing w:before="100" w:after="140"/>
        <w:ind w:left="115" w:right="29"/>
        <w:shd w:fill="EDF1F8"/>
        <w:pBdr>
          <w:top w:val="single" w:sz="3" w:color="18264F" w:space="7"/>
          <w:left w:val="single" w:sz="14" w:color="18264F" w:space="7"/>
          <w:bottom w:val="single" w:sz="3" w:color="18264F" w:space="7"/>
          <w:right w:val="single" w:sz="3" w:color="18264F" w:space="7"/>
        </w:pBdr>
      </w:pPr>
      <w:r>
        <w:rPr>
          <w:rFonts w:ascii="Arial" w:hAnsi="Arial"/>
          <w:b/>
          <w:i w:val="0"/>
          <w:color w:val="18264F"/>
          <w:sz w:val="19"/>
        </w:rPr>
        <w:t xml:space="preserve">CONTROLLED SCOPE: </w:t>
      </w:r>
      <w:r>
        <w:rPr>
          <w:rFonts w:ascii="Arial" w:hAnsi="Arial"/>
          <w:b w:val="0"/>
          <w:i w:val="0"/>
          <w:color w:val="17213A"/>
          <w:sz w:val="19"/>
        </w:rPr>
        <w:t>Exactly 75 screens are defined across nine interface families and consolidated into six authenticated role-based workspaces. Public discovery and identity are entry surfaces; learner web and learner mobile are separate interface families for one learner workspace.</w:t>
      </w:r>
    </w:p>
    <w:p>
      <w:pPr>
        <w:pStyle w:val="Heading2"/>
      </w:pPr>
      <w:r>
        <w:t>Authority and interpretation</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7"/>
              </w:rPr>
              <w:t>Classification</w:t>
            </w:r>
          </w:p>
        </w:tc>
        <w:tc>
          <w:tcPr>
            <w:tcW w:type="dxa" w:w="7560"/>
            <w:tcMar>
              <w:top w:w="80" w:type="dxa"/>
              <w:start w:w="120" w:type="dxa"/>
              <w:bottom w:w="80" w:type="dxa"/>
              <w:end w:w="120" w:type="dxa"/>
            </w:tcMar>
            <w:vAlign w:val="center"/>
            <w:shd w:fill="18264F"/>
          </w:tcPr>
          <w:p>
            <w:pPr>
              <w:spacing w:after="0"/>
            </w:pPr>
            <w:r>
              <w:rPr>
                <w:rFonts w:ascii="Arial" w:hAnsi="Arial"/>
                <w:b/>
                <w:i w:val="0"/>
                <w:color w:val="FFFFFF"/>
                <w:sz w:val="17"/>
              </w:rPr>
              <w:t>Meaning</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7"/>
              </w:rPr>
              <w:t>Requirement</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7"/>
              </w:rPr>
              <w:t>Must be implemented or formally varied through agreed change control.</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Wireframe intent</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Information hierarchy, context, actions and states are authoritative; pixel treatment is refined in the design-system phase.</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7"/>
              </w:rPr>
              <w:t>Example</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7"/>
              </w:rPr>
              <w:t>Illustrative organisation, route or API name; the vendor validates the production form without weakening the requirement.</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Decision in discovery</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A bounded open point that must be resolved, recorded and traceable before solution design is accepted.</w:t>
            </w:r>
          </w:p>
        </w:tc>
      </w:tr>
    </w:tbl>
    <w:p>
      <w:pPr>
        <w:pStyle w:val="Heading2"/>
      </w:pPr>
      <w:r>
        <w:t>How to read the wireframes</w:t>
      </w:r>
    </w:p>
    <w:tbl>
      <w:tblPr>
        <w:tblStyle w:val="TableGrid"/>
        <w:tblW w:type="dxa" w:w="9360"/>
        <w:tblLayout w:type="fixed"/>
        <w:tblLook w:firstColumn="1" w:firstRow="1" w:lastColumn="0" w:lastRow="0" w:noHBand="0" w:noVBand="1" w:val="04A0"/>
        <w:jc w:val="left"/>
        <w:tblInd w:w="120" w:type="dxa"/>
      </w:tblPr>
      <w:tblGrid>
        <w:gridCol w:w="1300"/>
        <w:gridCol w:w="8060"/>
      </w:tblGrid>
      <w:tr>
        <w:trPr>
          <w:tblHeader/>
        </w:trPr>
        <w:tc>
          <w:tcPr>
            <w:tcW w:type="dxa" w:w="1300"/>
            <w:tcMar>
              <w:top w:w="80" w:type="dxa"/>
              <w:start w:w="120" w:type="dxa"/>
              <w:bottom w:w="80" w:type="dxa"/>
              <w:end w:w="120" w:type="dxa"/>
            </w:tcMar>
            <w:vAlign w:val="center"/>
            <w:shd w:fill="18264F"/>
          </w:tcPr>
          <w:p>
            <w:pPr>
              <w:spacing w:after="0"/>
            </w:pPr>
            <w:r>
              <w:rPr>
                <w:rFonts w:ascii="Arial" w:hAnsi="Arial"/>
                <w:b/>
                <w:i w:val="0"/>
                <w:color w:val="FFFFFF"/>
                <w:sz w:val="18"/>
              </w:rPr>
              <w:t>Marker</w:t>
            </w:r>
          </w:p>
        </w:tc>
        <w:tc>
          <w:tcPr>
            <w:tcW w:type="dxa" w:w="8060"/>
            <w:tcMar>
              <w:top w:w="80" w:type="dxa"/>
              <w:start w:w="120" w:type="dxa"/>
              <w:bottom w:w="80" w:type="dxa"/>
              <w:end w:w="120" w:type="dxa"/>
            </w:tcMar>
            <w:vAlign w:val="center"/>
            <w:shd w:fill="18264F"/>
          </w:tcPr>
          <w:p>
            <w:pPr>
              <w:spacing w:after="0"/>
            </w:pPr>
            <w:r>
              <w:rPr>
                <w:rFonts w:ascii="Arial" w:hAnsi="Arial"/>
                <w:b/>
                <w:i w:val="0"/>
                <w:color w:val="FFFFFF"/>
                <w:sz w:val="18"/>
              </w:rPr>
              <w:t>Meaning</w:t>
            </w:r>
          </w:p>
        </w:tc>
      </w:tr>
      <w:tr>
        <w:trPr>
          <w:cantSplit/>
        </w:trPr>
        <w:tc>
          <w:tcPr>
            <w:tcW w:type="dxa" w:w="1300"/>
            <w:tcMar>
              <w:top w:w="80" w:type="dxa"/>
              <w:start w:w="120" w:type="dxa"/>
              <w:bottom w:w="80" w:type="dxa"/>
              <w:end w:w="120" w:type="dxa"/>
            </w:tcMar>
            <w:vAlign w:val="center"/>
          </w:tcPr>
          <w:p>
            <w:pPr>
              <w:spacing w:after="0" w:line="245" w:lineRule="auto"/>
            </w:pPr>
            <w:r>
              <w:rPr>
                <w:rFonts w:ascii="Arial" w:hAnsi="Arial"/>
                <w:b w:val="0"/>
                <w:i w:val="0"/>
                <w:color w:val="17213A"/>
                <w:sz w:val="18"/>
              </w:rPr>
              <w:t>1</w:t>
            </w:r>
          </w:p>
        </w:tc>
        <w:tc>
          <w:tcPr>
            <w:tcW w:type="dxa" w:w="8060"/>
            <w:tcMar>
              <w:top w:w="80" w:type="dxa"/>
              <w:start w:w="120" w:type="dxa"/>
              <w:bottom w:w="80" w:type="dxa"/>
              <w:end w:w="120" w:type="dxa"/>
            </w:tcMar>
            <w:vAlign w:val="center"/>
          </w:tcPr>
          <w:p>
            <w:pPr>
              <w:spacing w:after="0" w:line="245" w:lineRule="auto"/>
            </w:pPr>
            <w:r>
              <w:rPr>
                <w:rFonts w:ascii="Arial" w:hAnsi="Arial"/>
                <w:b w:val="0"/>
                <w:i w:val="0"/>
                <w:color w:val="17213A"/>
                <w:sz w:val="18"/>
              </w:rPr>
              <w:t>Global identity, tenant context and workspace navigation.</w:t>
            </w:r>
          </w:p>
        </w:tc>
      </w:tr>
      <w:tr>
        <w:trPr>
          <w:cantSplit/>
        </w:trPr>
        <w:tc>
          <w:tcPr>
            <w:tcW w:type="dxa" w:w="1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8"/>
              </w:rPr>
              <w:t>2</w:t>
            </w:r>
          </w:p>
        </w:tc>
        <w:tc>
          <w:tcPr>
            <w:tcW w:type="dxa" w:w="80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8"/>
              </w:rPr>
              <w:t>Page title, source/edition context or learner orientation.</w:t>
            </w:r>
          </w:p>
        </w:tc>
      </w:tr>
      <w:tr>
        <w:trPr>
          <w:cantSplit/>
        </w:trPr>
        <w:tc>
          <w:tcPr>
            <w:tcW w:type="dxa" w:w="1300"/>
            <w:tcMar>
              <w:top w:w="80" w:type="dxa"/>
              <w:start w:w="120" w:type="dxa"/>
              <w:bottom w:w="80" w:type="dxa"/>
              <w:end w:w="120" w:type="dxa"/>
            </w:tcMar>
            <w:vAlign w:val="center"/>
          </w:tcPr>
          <w:p>
            <w:pPr>
              <w:spacing w:after="0" w:line="245" w:lineRule="auto"/>
            </w:pPr>
            <w:r>
              <w:rPr>
                <w:rFonts w:ascii="Arial" w:hAnsi="Arial"/>
                <w:b w:val="0"/>
                <w:i w:val="0"/>
                <w:color w:val="17213A"/>
                <w:sz w:val="18"/>
              </w:rPr>
              <w:t>3</w:t>
            </w:r>
          </w:p>
        </w:tc>
        <w:tc>
          <w:tcPr>
            <w:tcW w:type="dxa" w:w="8060"/>
            <w:tcMar>
              <w:top w:w="80" w:type="dxa"/>
              <w:start w:w="120" w:type="dxa"/>
              <w:bottom w:w="80" w:type="dxa"/>
              <w:end w:w="120" w:type="dxa"/>
            </w:tcMar>
            <w:vAlign w:val="center"/>
          </w:tcPr>
          <w:p>
            <w:pPr>
              <w:spacing w:after="0" w:line="245" w:lineRule="auto"/>
            </w:pPr>
            <w:r>
              <w:rPr>
                <w:rFonts w:ascii="Arial" w:hAnsi="Arial"/>
                <w:b w:val="0"/>
                <w:i w:val="0"/>
                <w:color w:val="17213A"/>
                <w:sz w:val="18"/>
              </w:rPr>
              <w:t>Primary task surface, search, editor or learning content.</w:t>
            </w:r>
          </w:p>
        </w:tc>
      </w:tr>
      <w:tr>
        <w:trPr>
          <w:cantSplit/>
        </w:trPr>
        <w:tc>
          <w:tcPr>
            <w:tcW w:type="dxa" w:w="1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8"/>
              </w:rPr>
              <w:t>4</w:t>
            </w:r>
          </w:p>
        </w:tc>
        <w:tc>
          <w:tcPr>
            <w:tcW w:type="dxa" w:w="80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8"/>
              </w:rPr>
              <w:t>Supporting state, progress, metadata or secondary action.</w:t>
            </w:r>
          </w:p>
        </w:tc>
      </w:tr>
      <w:tr>
        <w:trPr>
          <w:cantSplit/>
        </w:trPr>
        <w:tc>
          <w:tcPr>
            <w:tcW w:type="dxa" w:w="1300"/>
            <w:tcMar>
              <w:top w:w="80" w:type="dxa"/>
              <w:start w:w="120" w:type="dxa"/>
              <w:bottom w:w="80" w:type="dxa"/>
              <w:end w:w="120" w:type="dxa"/>
            </w:tcMar>
            <w:vAlign w:val="center"/>
          </w:tcPr>
          <w:p>
            <w:pPr>
              <w:spacing w:after="0" w:line="245" w:lineRule="auto"/>
            </w:pPr>
            <w:r>
              <w:rPr>
                <w:rFonts w:ascii="Arial" w:hAnsi="Arial"/>
                <w:b w:val="0"/>
                <w:i w:val="0"/>
                <w:color w:val="17213A"/>
                <w:sz w:val="18"/>
              </w:rPr>
              <w:t>5</w:t>
            </w:r>
          </w:p>
        </w:tc>
        <w:tc>
          <w:tcPr>
            <w:tcW w:type="dxa" w:w="8060"/>
            <w:tcMar>
              <w:top w:w="80" w:type="dxa"/>
              <w:start w:w="120" w:type="dxa"/>
              <w:bottom w:w="80" w:type="dxa"/>
              <w:end w:w="120" w:type="dxa"/>
            </w:tcMar>
            <w:vAlign w:val="center"/>
          </w:tcPr>
          <w:p>
            <w:pPr>
              <w:spacing w:after="0" w:line="245" w:lineRule="auto"/>
            </w:pPr>
            <w:r>
              <w:rPr>
                <w:rFonts w:ascii="Arial" w:hAnsi="Arial"/>
                <w:b w:val="0"/>
                <w:i w:val="0"/>
                <w:color w:val="17213A"/>
                <w:sz w:val="18"/>
              </w:rPr>
              <w:t>Primary completion, publish, submit or create action.</w:t>
            </w:r>
          </w:p>
        </w:tc>
      </w:tr>
    </w:tbl>
    <w:p>
      <w:pPr>
        <w:pStyle w:val="Heading2"/>
      </w:pPr>
      <w:r>
        <w:t>Design authority</w:t>
      </w:r>
    </w:p>
    <w:p>
      <w:pPr>
        <w:pStyle w:val="ListBullet"/>
      </w:pPr>
      <w:r>
        <w:rPr>
          <w:rFonts w:ascii="Arial" w:hAnsi="Arial"/>
          <w:b w:val="0"/>
          <w:i w:val="0"/>
          <w:color w:val="17213A"/>
          <w:sz w:val="20"/>
        </w:rPr>
        <w:t>Visual authority is the current library.livingbliss.org experience; scope authority is the product blueprint covering multi-tenant editions, schools, teacher tools, content governance, rights, mobile/offline and platform operations.</w:t>
      </w:r>
    </w:p>
    <w:p>
      <w:pPr>
        <w:pStyle w:val="ListBullet"/>
      </w:pPr>
      <w:r>
        <w:rPr>
          <w:rFonts w:ascii="Arial" w:hAnsi="Arial"/>
          <w:b w:val="0"/>
          <w:i w:val="0"/>
          <w:color w:val="17213A"/>
          <w:sz w:val="20"/>
        </w:rPr>
        <w:t>Scripture, translation, commentary and learning explanation must stay visibly distinct. ISKCON, Chinmaya Mission, BAPS, schools, governments and other organisations are configuration examples—not claims of affiliation or approval—and must not be hard-coded.</w:t>
      </w:r>
    </w:p>
    <w:p>
      <w:pPr>
        <w:sectPr>
          <w:pgSz w:w="12240" w:h="15840"/>
          <w:pgMar w:top="1440" w:right="1440" w:bottom="1440" w:left="1440" w:header="708" w:footer="708" w:gutter="0"/>
          <w:cols w:space="720"/>
          <w:docGrid w:linePitch="360"/>
        </w:sectPr>
      </w:pPr>
    </w:p>
    <w:p>
      <w:pPr>
        <w:pStyle w:val="Heading1"/>
      </w:pPr>
      <w:r>
        <w:t>Contents</w:t>
      </w:r>
    </w:p>
    <w:p>
      <w:pPr>
        <w:pStyle w:val="ListBullet"/>
      </w:pPr>
      <w:r>
        <w:rPr>
          <w:rFonts w:ascii="Arial" w:hAnsi="Arial"/>
          <w:b w:val="0"/>
          <w:i w:val="0"/>
          <w:color w:val="17213A"/>
          <w:sz w:val="20"/>
        </w:rPr>
        <w:t>1. Design baseline and interface principles</w:t>
      </w:r>
    </w:p>
    <w:p>
      <w:pPr>
        <w:pStyle w:val="ListBullet"/>
      </w:pPr>
      <w:r>
        <w:rPr>
          <w:rFonts w:ascii="Arial" w:hAnsi="Arial"/>
          <w:b w:val="0"/>
          <w:i w:val="0"/>
          <w:color w:val="17213A"/>
          <w:sz w:val="20"/>
        </w:rPr>
        <w:t>2. Information architecture and role workspaces</w:t>
      </w:r>
    </w:p>
    <w:p>
      <w:pPr>
        <w:pStyle w:val="ListBullet"/>
      </w:pPr>
      <w:r>
        <w:rPr>
          <w:rFonts w:ascii="Arial" w:hAnsi="Arial"/>
          <w:b w:val="0"/>
          <w:i w:val="0"/>
          <w:color w:val="17213A"/>
          <w:sz w:val="20"/>
        </w:rPr>
        <w:t>3. Learning journey and 18-chapter curriculum spine</w:t>
      </w:r>
    </w:p>
    <w:p>
      <w:pPr>
        <w:pStyle w:val="ListBullet"/>
      </w:pPr>
      <w:r>
        <w:rPr>
          <w:rFonts w:ascii="Arial" w:hAnsi="Arial"/>
          <w:b w:val="0"/>
          <w:i w:val="0"/>
          <w:color w:val="17213A"/>
          <w:sz w:val="20"/>
        </w:rPr>
        <w:t>4. Responsive shell, shared components and key states</w:t>
      </w:r>
    </w:p>
    <w:p>
      <w:pPr>
        <w:pStyle w:val="ListBullet"/>
      </w:pPr>
      <w:r>
        <w:rPr>
          <w:rFonts w:ascii="Arial" w:hAnsi="Arial"/>
          <w:b w:val="0"/>
          <w:i w:val="0"/>
          <w:color w:val="17213A"/>
          <w:sz w:val="20"/>
        </w:rPr>
        <w:t>5. Complete screen inventory (75 screens)</w:t>
      </w:r>
    </w:p>
    <w:p>
      <w:pPr>
        <w:pStyle w:val="ListBullet"/>
      </w:pPr>
      <w:r>
        <w:rPr>
          <w:rFonts w:ascii="Arial" w:hAnsi="Arial"/>
          <w:b w:val="0"/>
          <w:i w:val="0"/>
          <w:color w:val="17213A"/>
          <w:sz w:val="20"/>
        </w:rPr>
        <w:t>6. Wireframe boards 01–25</w:t>
      </w:r>
    </w:p>
    <w:p>
      <w:pPr>
        <w:pStyle w:val="ListBullet"/>
      </w:pPr>
      <w:r>
        <w:rPr>
          <w:rFonts w:ascii="Arial" w:hAnsi="Arial"/>
          <w:b w:val="0"/>
          <w:i w:val="0"/>
          <w:color w:val="17213A"/>
          <w:sz w:val="20"/>
        </w:rPr>
        <w:t>7. Screen-level implementation register</w:t>
      </w:r>
    </w:p>
    <w:p>
      <w:pPr>
        <w:pStyle w:val="ListBullet"/>
      </w:pPr>
      <w:r>
        <w:rPr>
          <w:rFonts w:ascii="Arial" w:hAnsi="Arial"/>
          <w:b w:val="0"/>
          <w:i w:val="0"/>
          <w:color w:val="17213A"/>
          <w:sz w:val="20"/>
        </w:rPr>
        <w:t>8. End-to-end workflows and state transitions</w:t>
      </w:r>
    </w:p>
    <w:p>
      <w:pPr>
        <w:pStyle w:val="ListBullet"/>
      </w:pPr>
      <w:r>
        <w:rPr>
          <w:rFonts w:ascii="Arial" w:hAnsi="Arial"/>
          <w:b w:val="0"/>
          <w:i w:val="0"/>
          <w:color w:val="17213A"/>
          <w:sz w:val="20"/>
        </w:rPr>
        <w:t>9. Technical, API and data contracts</w:t>
      </w:r>
    </w:p>
    <w:p>
      <w:pPr>
        <w:pStyle w:val="ListBullet"/>
      </w:pPr>
      <w:r>
        <w:rPr>
          <w:rFonts w:ascii="Arial" w:hAnsi="Arial"/>
          <w:b w:val="0"/>
          <w:i w:val="0"/>
          <w:color w:val="17213A"/>
          <w:sz w:val="20"/>
        </w:rPr>
        <w:t>10. Accessibility, localisation and responsible analytics</w:t>
      </w:r>
    </w:p>
    <w:p>
      <w:pPr>
        <w:pStyle w:val="ListBullet"/>
      </w:pPr>
      <w:r>
        <w:rPr>
          <w:rFonts w:ascii="Arial" w:hAnsi="Arial"/>
          <w:b w:val="0"/>
          <w:i w:val="0"/>
          <w:color w:val="17213A"/>
          <w:sz w:val="20"/>
        </w:rPr>
        <w:t>11. Vendor delivery, evidence and acceptance criteria</w:t>
      </w:r>
    </w:p>
    <w:p>
      <w:pPr>
        <w:pStyle w:val="ListBullet"/>
      </w:pPr>
      <w:r>
        <w:rPr>
          <w:rFonts w:ascii="Arial" w:hAnsi="Arial"/>
          <w:b w:val="0"/>
          <w:i w:val="0"/>
          <w:color w:val="17213A"/>
          <w:sz w:val="20"/>
        </w:rPr>
        <w:t>Appendix A. Traceability, decisions and glossary</w:t>
      </w:r>
    </w:p>
    <w:p>
      <w:pPr>
        <w:pStyle w:val="Heading2"/>
      </w:pPr>
      <w:r>
        <w:t>Key product decision</w:t>
      </w:r>
    </w:p>
    <w:p>
      <w:pPr>
        <w:spacing w:before="100" w:after="140"/>
        <w:ind w:left="115" w:right="29"/>
        <w:shd w:fill="E3F1E8"/>
        <w:pBdr>
          <w:top w:val="single" w:sz="3" w:color="34805B" w:space="7"/>
          <w:left w:val="single" w:sz="14" w:color="34805B" w:space="7"/>
          <w:bottom w:val="single" w:sz="3" w:color="34805B" w:space="7"/>
          <w:right w:val="single" w:sz="3" w:color="34805B" w:space="7"/>
        </w:pBdr>
      </w:pPr>
      <w:r>
        <w:rPr>
          <w:rFonts w:ascii="Arial" w:hAnsi="Arial"/>
          <w:b/>
          <w:i w:val="0"/>
          <w:color w:val="34805B"/>
          <w:sz w:val="19"/>
        </w:rPr>
        <w:t xml:space="preserve">ONE DESIGN SYSTEM, MANY TRUSTED EDITIONS: </w:t>
      </w:r>
      <w:r>
        <w:rPr>
          <w:rFonts w:ascii="Arial" w:hAnsi="Arial"/>
          <w:b w:val="0"/>
          <w:i w:val="0"/>
          <w:color w:val="17213A"/>
          <w:sz w:val="19"/>
        </w:rPr>
        <w:t>Tenant branding changes tokens, identity, approved content, policies and programme configuration. It must not create divergent navigation models or unsupported code forks.</w:t>
      </w:r>
    </w:p>
    <w:p>
      <w:pPr>
        <w:pStyle w:val="Heading2"/>
      </w:pPr>
      <w:r>
        <w:t>Vendor response rule</w:t>
      </w:r>
    </w:p>
    <w:p>
      <w:pPr>
        <w:spacing w:before="0" w:after="100"/>
      </w:pPr>
      <w:r>
        <w:rPr>
          <w:rFonts w:ascii="Arial" w:hAnsi="Arial"/>
          <w:b w:val="0"/>
          <w:i w:val="0"/>
          <w:color w:val="17213A"/>
          <w:sz w:val="21"/>
        </w:rPr>
        <w:t>The vendor must preserve the 75 screen identifiers in its backlog and prototype. Proposed consolidation is permitted only with a traceability matrix showing that every named route, role, state, action and acceptance obligation remains testable.</w:t>
      </w:r>
    </w:p>
    <w:p>
      <w:pPr>
        <w:sectPr>
          <w:pgSz w:w="12240" w:h="15840"/>
          <w:pgMar w:top="1440" w:right="1440" w:bottom="1440" w:left="1440" w:header="708" w:footer="708" w:gutter="0"/>
          <w:cols w:space="720"/>
          <w:docGrid w:linePitch="360"/>
        </w:sectPr>
      </w:pPr>
    </w:p>
    <w:p>
      <w:pPr>
        <w:pStyle w:val="Heading1"/>
      </w:pPr>
      <w:r>
        <w:t>1. Design baseline and interface principles</w:t>
      </w:r>
    </w:p>
    <w:p>
      <w:pPr>
        <w:pStyle w:val="Heading2"/>
      </w:pPr>
      <w:r>
        <w:t>Brand-aligned token baseline</w:t>
      </w:r>
    </w:p>
    <w:tbl>
      <w:tblPr>
        <w:tblStyle w:val="TableGrid"/>
        <w:tblW w:type="dxa" w:w="9360"/>
        <w:tblLayout w:type="fixed"/>
        <w:tblLook w:firstColumn="1" w:firstRow="1" w:lastColumn="0" w:lastRow="0" w:noHBand="0" w:noVBand="1" w:val="04A0"/>
        <w:jc w:val="left"/>
        <w:tblInd w:w="120" w:type="dxa"/>
      </w:tblPr>
      <w:tblGrid>
        <w:gridCol w:w="1700"/>
        <w:gridCol w:w="1500"/>
        <w:gridCol w:w="6160"/>
      </w:tblGrid>
      <w:tr>
        <w:trPr>
          <w:tblHeader/>
        </w:trPr>
        <w:tc>
          <w:tcPr>
            <w:tcW w:type="dxa" w:w="1700"/>
            <w:tcMar>
              <w:top w:w="80" w:type="dxa"/>
              <w:start w:w="120" w:type="dxa"/>
              <w:bottom w:w="80" w:type="dxa"/>
              <w:end w:w="120" w:type="dxa"/>
            </w:tcMar>
            <w:vAlign w:val="center"/>
            <w:shd w:fill="18264F"/>
          </w:tcPr>
          <w:p>
            <w:pPr>
              <w:spacing w:after="0"/>
            </w:pPr>
            <w:r>
              <w:rPr>
                <w:rFonts w:ascii="Arial" w:hAnsi="Arial"/>
                <w:b/>
                <w:i w:val="0"/>
                <w:color w:val="FFFFFF"/>
                <w:sz w:val="17"/>
              </w:rPr>
              <w:t>Token</w:t>
            </w:r>
          </w:p>
        </w:tc>
        <w:tc>
          <w:tcPr>
            <w:tcW w:type="dxa" w:w="1500"/>
            <w:tcMar>
              <w:top w:w="80" w:type="dxa"/>
              <w:start w:w="120" w:type="dxa"/>
              <w:bottom w:w="80" w:type="dxa"/>
              <w:end w:w="120" w:type="dxa"/>
            </w:tcMar>
            <w:vAlign w:val="center"/>
            <w:shd w:fill="18264F"/>
          </w:tcPr>
          <w:p>
            <w:pPr>
              <w:spacing w:after="0"/>
            </w:pPr>
            <w:r>
              <w:rPr>
                <w:rFonts w:ascii="Arial" w:hAnsi="Arial"/>
                <w:b/>
                <w:i w:val="0"/>
                <w:color w:val="FFFFFF"/>
                <w:sz w:val="17"/>
              </w:rPr>
              <w:t>Value</w:t>
            </w:r>
          </w:p>
        </w:tc>
        <w:tc>
          <w:tcPr>
            <w:tcW w:type="dxa" w:w="6160"/>
            <w:tcMar>
              <w:top w:w="80" w:type="dxa"/>
              <w:start w:w="120" w:type="dxa"/>
              <w:bottom w:w="80" w:type="dxa"/>
              <w:end w:w="120" w:type="dxa"/>
            </w:tcMar>
            <w:vAlign w:val="center"/>
            <w:shd w:fill="18264F"/>
          </w:tcPr>
          <w:p>
            <w:pPr>
              <w:spacing w:after="0"/>
            </w:pPr>
            <w:r>
              <w:rPr>
                <w:rFonts w:ascii="Arial" w:hAnsi="Arial"/>
                <w:b/>
                <w:i w:val="0"/>
                <w:color w:val="FFFFFF"/>
                <w:sz w:val="17"/>
              </w:rPr>
              <w:t>Primary use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7"/>
              </w:rPr>
              <w:t>Ivory</w:t>
            </w:r>
          </w:p>
        </w:tc>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7"/>
              </w:rPr>
              <w:t>#FBF8F1</w:t>
            </w:r>
          </w:p>
        </w:tc>
        <w:tc>
          <w:tcPr>
            <w:tcW w:type="dxa" w:w="6160"/>
            <w:tcMar>
              <w:top w:w="80" w:type="dxa"/>
              <w:start w:w="120" w:type="dxa"/>
              <w:bottom w:w="80" w:type="dxa"/>
              <w:end w:w="120" w:type="dxa"/>
            </w:tcMar>
            <w:vAlign w:val="center"/>
          </w:tcPr>
          <w:p>
            <w:pPr>
              <w:spacing w:after="0" w:line="245" w:lineRule="auto"/>
            </w:pPr>
            <w:r>
              <w:rPr>
                <w:rFonts w:ascii="Arial" w:hAnsi="Arial"/>
                <w:b w:val="0"/>
                <w:i w:val="0"/>
                <w:color w:val="17213A"/>
                <w:sz w:val="17"/>
              </w:rPr>
              <w:t>Application canvas and calm reading surface</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Paper</w:t>
            </w:r>
          </w:p>
        </w:tc>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#FFFDF8</w:t>
            </w:r>
          </w:p>
        </w:tc>
        <w:tc>
          <w:tcPr>
            <w:tcW w:type="dxa" w:w="6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Cards, forms and scripture panels</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7"/>
              </w:rPr>
              <w:t>Indigo</w:t>
            </w:r>
          </w:p>
        </w:tc>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7"/>
              </w:rPr>
              <w:t>#18264F</w:t>
            </w:r>
          </w:p>
        </w:tc>
        <w:tc>
          <w:tcPr>
            <w:tcW w:type="dxa" w:w="6160"/>
            <w:tcMar>
              <w:top w:w="80" w:type="dxa"/>
              <w:start w:w="120" w:type="dxa"/>
              <w:bottom w:w="80" w:type="dxa"/>
              <w:end w:w="120" w:type="dxa"/>
            </w:tcMar>
            <w:vAlign w:val="center"/>
          </w:tcPr>
          <w:p>
            <w:pPr>
              <w:spacing w:after="0" w:line="245" w:lineRule="auto"/>
            </w:pPr>
            <w:r>
              <w:rPr>
                <w:rFonts w:ascii="Arial" w:hAnsi="Arial"/>
                <w:b w:val="0"/>
                <w:i w:val="0"/>
                <w:color w:val="17213A"/>
                <w:sz w:val="17"/>
              </w:rPr>
              <w:t>Navigation, primary actions and headings</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Saffron</w:t>
            </w:r>
          </w:p>
        </w:tc>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#D9832E</w:t>
            </w:r>
          </w:p>
        </w:tc>
        <w:tc>
          <w:tcPr>
            <w:tcW w:type="dxa" w:w="6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Active state, focus accent and spiritual warmth</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7"/>
              </w:rPr>
              <w:t>Gold</w:t>
            </w:r>
          </w:p>
        </w:tc>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7"/>
              </w:rPr>
              <w:t>#B68C3B</w:t>
            </w:r>
          </w:p>
        </w:tc>
        <w:tc>
          <w:tcPr>
            <w:tcW w:type="dxa" w:w="6160"/>
            <w:tcMar>
              <w:top w:w="80" w:type="dxa"/>
              <w:start w:w="120" w:type="dxa"/>
              <w:bottom w:w="80" w:type="dxa"/>
              <w:end w:w="120" w:type="dxa"/>
            </w:tcMar>
            <w:vAlign w:val="center"/>
          </w:tcPr>
          <w:p>
            <w:pPr>
              <w:spacing w:after="0" w:line="245" w:lineRule="auto"/>
            </w:pPr>
            <w:r>
              <w:rPr>
                <w:rFonts w:ascii="Arial" w:hAnsi="Arial"/>
                <w:b w:val="0"/>
                <w:i w:val="0"/>
                <w:color w:val="17213A"/>
                <w:sz w:val="17"/>
              </w:rPr>
              <w:t>Source details, ornament and secondary emphasis</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Teal</w:t>
            </w:r>
          </w:p>
        </w:tc>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#2E746D</w:t>
            </w:r>
          </w:p>
        </w:tc>
        <w:tc>
          <w:tcPr>
            <w:tcW w:type="dxa" w:w="6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Progress, links and structured learning state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7"/>
              </w:rPr>
              <w:t>Green</w:t>
            </w:r>
          </w:p>
        </w:tc>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7"/>
              </w:rPr>
              <w:t>#34805B</w:t>
            </w:r>
          </w:p>
        </w:tc>
        <w:tc>
          <w:tcPr>
            <w:tcW w:type="dxa" w:w="6160"/>
            <w:tcMar>
              <w:top w:w="80" w:type="dxa"/>
              <w:start w:w="120" w:type="dxa"/>
              <w:bottom w:w="80" w:type="dxa"/>
              <w:end w:w="120" w:type="dxa"/>
            </w:tcMar>
            <w:vAlign w:val="center"/>
          </w:tcPr>
          <w:p>
            <w:pPr>
              <w:spacing w:after="0" w:line="245" w:lineRule="auto"/>
            </w:pPr>
            <w:r>
              <w:rPr>
                <w:rFonts w:ascii="Arial" w:hAnsi="Arial"/>
                <w:b w:val="0"/>
                <w:i w:val="0"/>
                <w:color w:val="17213A"/>
                <w:sz w:val="17"/>
              </w:rPr>
              <w:t>Success, approval and verified status</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Line</w:t>
            </w:r>
          </w:p>
        </w:tc>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#DDD3C1</w:t>
            </w:r>
          </w:p>
        </w:tc>
        <w:tc>
          <w:tcPr>
            <w:tcW w:type="dxa" w:w="6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7"/>
              </w:rPr>
              <w:t>Quiet borders and separators</w:t>
            </w:r>
          </w:p>
        </w:tc>
      </w:tr>
    </w:tbl>
    <w:p>
      <w:pPr>
        <w:pStyle w:val="Heading2"/>
      </w:pPr>
      <w:r>
        <w:t>Non-negotiable interface principles</w:t>
      </w:r>
    </w:p>
    <w:p>
      <w:pPr>
        <w:pStyle w:val="ListBullet"/>
      </w:pPr>
      <w:r>
        <w:rPr>
          <w:rFonts w:ascii="Arial" w:hAnsi="Arial"/>
          <w:b w:val="0"/>
          <w:i w:val="0"/>
          <w:color w:val="17213A"/>
          <w:sz w:val="20"/>
        </w:rPr>
        <w:t>Source before interpretation: every content layer is labeled and traceable.</w:t>
      </w:r>
    </w:p>
    <w:p>
      <w:pPr>
        <w:pStyle w:val="ListBullet"/>
      </w:pPr>
      <w:r>
        <w:rPr>
          <w:rFonts w:ascii="Arial" w:hAnsi="Arial"/>
          <w:b w:val="0"/>
          <w:i w:val="0"/>
          <w:color w:val="17213A"/>
          <w:sz w:val="20"/>
        </w:rPr>
        <w:t>Learning, not scrolling: each screen has an explicit orientation, task and next action.</w:t>
      </w:r>
    </w:p>
    <w:p>
      <w:pPr>
        <w:pStyle w:val="ListBullet"/>
      </w:pPr>
      <w:r>
        <w:rPr>
          <w:rFonts w:ascii="Arial" w:hAnsi="Arial"/>
          <w:b w:val="0"/>
          <w:i w:val="0"/>
          <w:color w:val="17213A"/>
          <w:sz w:val="20"/>
        </w:rPr>
        <w:t>Progress without pressure: no public ranking, streak anxiety or spiritual gamification.</w:t>
      </w:r>
    </w:p>
    <w:p>
      <w:pPr>
        <w:pStyle w:val="ListBullet"/>
      </w:pPr>
      <w:r>
        <w:rPr>
          <w:rFonts w:ascii="Arial" w:hAnsi="Arial"/>
          <w:b w:val="0"/>
          <w:i w:val="0"/>
          <w:color w:val="17213A"/>
          <w:sz w:val="20"/>
        </w:rPr>
        <w:t>Private by default: reflections and private notes remain outside teacher/admin analytics.</w:t>
      </w:r>
    </w:p>
    <w:p>
      <w:pPr>
        <w:pStyle w:val="ListBullet"/>
      </w:pPr>
      <w:r>
        <w:rPr>
          <w:rFonts w:ascii="Arial" w:hAnsi="Arial"/>
          <w:b w:val="0"/>
          <w:i w:val="0"/>
          <w:color w:val="17213A"/>
          <w:sz w:val="20"/>
        </w:rPr>
        <w:t>Configuration over forks: shells and components are shared; tenants change governed tokens and data.</w:t>
      </w:r>
    </w:p>
    <w:p>
      <w:pPr>
        <w:pStyle w:val="ListBullet"/>
      </w:pPr>
      <w:r>
        <w:rPr>
          <w:rFonts w:ascii="Arial" w:hAnsi="Arial"/>
          <w:b w:val="0"/>
          <w:i w:val="0"/>
          <w:color w:val="17213A"/>
          <w:sz w:val="20"/>
        </w:rPr>
        <w:t>Accessible and multilingual by architecture: scripts, captions, dynamic type and keyboard use are core states.</w:t>
      </w:r>
    </w:p>
    <w:p>
      <w:pPr>
        <w:sectPr>
          <w:pgSz w:w="12240" w:h="15840"/>
          <w:pgMar w:top="1440" w:right="1440" w:bottom="1440" w:left="1440" w:header="708" w:footer="708" w:gutter="0"/>
          <w:cols w:space="720"/>
          <w:docGrid w:linePitch="360"/>
        </w:sectPr>
      </w:pPr>
    </w:p>
    <w:p>
      <w:pPr>
        <w:pStyle w:val="Heading1"/>
      </w:pPr>
      <w:r>
        <w:t>2. Information architecture and role workspaces</w:t>
      </w:r>
    </w:p>
    <w:p>
      <w:pPr>
        <w:pStyle w:val="Heading2"/>
      </w:pPr>
      <w:r>
        <w:t>Nine interface families</w:t>
      </w:r>
    </w:p>
    <w:tbl>
      <w:tblPr>
        <w:tblStyle w:val="TableGrid"/>
        <w:tblW w:type="dxa" w:w="9360"/>
        <w:tblLayout w:type="fixed"/>
        <w:tblLook w:firstColumn="1" w:firstRow="1" w:lastColumn="0" w:lastRow="0" w:noHBand="0" w:noVBand="1" w:val="04A0"/>
        <w:jc w:val="left"/>
        <w:tblInd w:w="120" w:type="dxa"/>
      </w:tblPr>
      <w:tblGrid>
        <w:gridCol w:w="1650"/>
        <w:gridCol w:w="1400"/>
        <w:gridCol w:w="2450"/>
        <w:gridCol w:w="3860"/>
      </w:tblGrid>
      <w:tr>
        <w:trPr>
          <w:tblHeader/>
        </w:trPr>
        <w:tc>
          <w:tcPr>
            <w:tcW w:type="dxa" w:w="1650"/>
            <w:tcMar>
              <w:top w:w="80" w:type="dxa"/>
              <w:start w:w="120" w:type="dxa"/>
              <w:bottom w:w="80" w:type="dxa"/>
              <w:end w:w="120" w:type="dxa"/>
            </w:tcMar>
            <w:vAlign w:val="center"/>
            <w:shd w:fill="18264F"/>
          </w:tcPr>
          <w:p>
            <w:pPr>
              <w:spacing w:after="0"/>
            </w:pPr>
            <w:r>
              <w:rPr>
                <w:rFonts w:ascii="Arial" w:hAnsi="Arial"/>
                <w:b/>
                <w:i w:val="0"/>
                <w:color w:val="FFFFFF"/>
                <w:sz w:val="15"/>
              </w:rPr>
              <w:t>Family</w:t>
            </w:r>
          </w:p>
        </w:tc>
        <w:tc>
          <w:tcPr>
            <w:tcW w:type="dxa" w:w="1400"/>
            <w:tcMar>
              <w:top w:w="80" w:type="dxa"/>
              <w:start w:w="120" w:type="dxa"/>
              <w:bottom w:w="80" w:type="dxa"/>
              <w:end w:w="120" w:type="dxa"/>
            </w:tcMar>
            <w:vAlign w:val="center"/>
            <w:shd w:fill="18264F"/>
          </w:tcPr>
          <w:p>
            <w:pPr>
              <w:spacing w:after="0"/>
            </w:pPr>
            <w:r>
              <w:rPr>
                <w:rFonts w:ascii="Arial" w:hAnsi="Arial"/>
                <w:b/>
                <w:i w:val="0"/>
                <w:color w:val="FFFFFF"/>
                <w:sz w:val="15"/>
              </w:rPr>
              <w:t>Screen range</w:t>
            </w:r>
          </w:p>
        </w:tc>
        <w:tc>
          <w:tcPr>
            <w:tcW w:type="dxa" w:w="2450"/>
            <w:tcMar>
              <w:top w:w="80" w:type="dxa"/>
              <w:start w:w="120" w:type="dxa"/>
              <w:bottom w:w="80" w:type="dxa"/>
              <w:end w:w="120" w:type="dxa"/>
            </w:tcMar>
            <w:vAlign w:val="center"/>
            <w:shd w:fill="18264F"/>
          </w:tcPr>
          <w:p>
            <w:pPr>
              <w:spacing w:after="0"/>
            </w:pPr>
            <w:r>
              <w:rPr>
                <w:rFonts w:ascii="Arial" w:hAnsi="Arial"/>
                <w:b/>
                <w:i w:val="0"/>
                <w:color w:val="FFFFFF"/>
                <w:sz w:val="15"/>
              </w:rPr>
              <w:t>Surface</w:t>
            </w:r>
          </w:p>
        </w:tc>
        <w:tc>
          <w:tcPr>
            <w:tcW w:type="dxa" w:w="3860"/>
            <w:tcMar>
              <w:top w:w="80" w:type="dxa"/>
              <w:start w:w="120" w:type="dxa"/>
              <w:bottom w:w="80" w:type="dxa"/>
              <w:end w:w="120" w:type="dxa"/>
            </w:tcMar>
            <w:vAlign w:val="center"/>
            <w:shd w:fill="18264F"/>
          </w:tcPr>
          <w:p>
            <w:pPr>
              <w:spacing w:after="0"/>
            </w:pPr>
            <w:r>
              <w:rPr>
                <w:rFonts w:ascii="Arial" w:hAnsi="Arial"/>
                <w:b/>
                <w:i w:val="0"/>
                <w:color w:val="FFFFFF"/>
                <w:sz w:val="15"/>
              </w:rPr>
              <w:t>Relationship to workspace</w:t>
            </w:r>
          </w:p>
        </w:tc>
      </w:tr>
      <w:tr>
        <w:trPr>
          <w:cantSplit/>
        </w:trPr>
        <w:tc>
          <w:tcPr>
            <w:tcW w:type="dxa" w:w="1650"/>
            <w:tcMar>
              <w:top w:w="80" w:type="dxa"/>
              <w:start w:w="120" w:type="dxa"/>
              <w:bottom w:w="80" w:type="dxa"/>
              <w:end w:w="120" w:type="dxa"/>
            </w:tcMar>
            <w:vAlign w:val="center"/>
          </w:tcPr>
          <w:p>
            <w:pPr>
              <w:spacing w:after="0" w:line="245" w:lineRule="auto"/>
            </w:pPr>
            <w:r>
              <w:rPr>
                <w:rFonts w:ascii="Arial" w:hAnsi="Arial"/>
                <w:b w:val="0"/>
                <w:i w:val="0"/>
                <w:color w:val="17213A"/>
                <w:sz w:val="15"/>
              </w:rPr>
              <w:t>Public discovery</w:t>
            </w:r>
          </w:p>
        </w:tc>
        <w:tc>
          <w:tcPr>
            <w:tcW w:type="dxa" w:w="1400"/>
            <w:tcMar>
              <w:top w:w="80" w:type="dxa"/>
              <w:start w:w="120" w:type="dxa"/>
              <w:bottom w:w="80" w:type="dxa"/>
              <w:end w:w="120" w:type="dxa"/>
            </w:tcMar>
            <w:vAlign w:val="center"/>
          </w:tcPr>
          <w:p>
            <w:pPr>
              <w:spacing w:after="0" w:line="245" w:lineRule="auto"/>
            </w:pPr>
            <w:r>
              <w:rPr>
                <w:rFonts w:ascii="Arial" w:hAnsi="Arial"/>
                <w:b w:val="0"/>
                <w:i w:val="0"/>
                <w:color w:val="17213A"/>
                <w:sz w:val="15"/>
              </w:rPr>
              <w:t>PUB-01–06</w:t>
            </w:r>
          </w:p>
        </w:tc>
        <w:tc>
          <w:tcPr>
            <w:tcW w:type="dxa" w:w="2450"/>
            <w:tcMar>
              <w:top w:w="80" w:type="dxa"/>
              <w:start w:w="120" w:type="dxa"/>
              <w:bottom w:w="80" w:type="dxa"/>
              <w:end w:w="120" w:type="dxa"/>
            </w:tcMar>
            <w:vAlign w:val="center"/>
          </w:tcPr>
          <w:p>
            <w:pPr>
              <w:spacing w:after="0" w:line="245" w:lineRule="auto"/>
            </w:pPr>
            <w:r>
              <w:rPr>
                <w:rFonts w:ascii="Arial" w:hAnsi="Arial"/>
                <w:b w:val="0"/>
                <w:i w:val="0"/>
                <w:color w:val="17213A"/>
                <w:sz w:val="15"/>
              </w:rPr>
              <w:t>Responsive web</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5"/>
              </w:rPr>
              <w:t>Unauthenticated entry; resolves tenant, edition and programme.</w:t>
            </w:r>
          </w:p>
        </w:tc>
      </w:tr>
      <w:tr>
        <w:trPr>
          <w:cantSplit/>
        </w:trPr>
        <w:tc>
          <w:tcPr>
            <w:tcW w:type="dxa" w:w="16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Identity</w:t>
            </w:r>
          </w:p>
        </w:tc>
        <w:tc>
          <w:tcPr>
            <w:tcW w:type="dxa" w:w="14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ID-01–03</w:t>
            </w:r>
          </w:p>
        </w:tc>
        <w:tc>
          <w:tcPr>
            <w:tcW w:type="dxa" w:w="2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Responsive web / native hand-off</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Entry surface shared by all authenticated roles.</w:t>
            </w:r>
          </w:p>
        </w:tc>
      </w:tr>
      <w:tr>
        <w:trPr>
          <w:cantSplit/>
        </w:trPr>
        <w:tc>
          <w:tcPr>
            <w:tcW w:type="dxa" w:w="1650"/>
            <w:tcMar>
              <w:top w:w="80" w:type="dxa"/>
              <w:start w:w="120" w:type="dxa"/>
              <w:bottom w:w="80" w:type="dxa"/>
              <w:end w:w="120" w:type="dxa"/>
            </w:tcMar>
            <w:vAlign w:val="center"/>
          </w:tcPr>
          <w:p>
            <w:pPr>
              <w:spacing w:after="0" w:line="245" w:lineRule="auto"/>
            </w:pPr>
            <w:r>
              <w:rPr>
                <w:rFonts w:ascii="Arial" w:hAnsi="Arial"/>
                <w:b w:val="0"/>
                <w:i w:val="0"/>
                <w:color w:val="17213A"/>
                <w:sz w:val="15"/>
              </w:rPr>
              <w:t>Guardian</w:t>
            </w:r>
          </w:p>
        </w:tc>
        <w:tc>
          <w:tcPr>
            <w:tcW w:type="dxa" w:w="1400"/>
            <w:tcMar>
              <w:top w:w="80" w:type="dxa"/>
              <w:start w:w="120" w:type="dxa"/>
              <w:bottom w:w="80" w:type="dxa"/>
              <w:end w:w="120" w:type="dxa"/>
            </w:tcMar>
            <w:vAlign w:val="center"/>
          </w:tcPr>
          <w:p>
            <w:pPr>
              <w:spacing w:after="0" w:line="245" w:lineRule="auto"/>
            </w:pPr>
            <w:r>
              <w:rPr>
                <w:rFonts w:ascii="Arial" w:hAnsi="Arial"/>
                <w:b w:val="0"/>
                <w:i w:val="0"/>
                <w:color w:val="17213A"/>
                <w:sz w:val="15"/>
              </w:rPr>
              <w:t>GUA-01–03</w:t>
            </w:r>
          </w:p>
        </w:tc>
        <w:tc>
          <w:tcPr>
            <w:tcW w:type="dxa" w:w="2450"/>
            <w:tcMar>
              <w:top w:w="80" w:type="dxa"/>
              <w:start w:w="120" w:type="dxa"/>
              <w:bottom w:w="80" w:type="dxa"/>
              <w:end w:w="120" w:type="dxa"/>
            </w:tcMar>
            <w:vAlign w:val="center"/>
          </w:tcPr>
          <w:p>
            <w:pPr>
              <w:spacing w:after="0" w:line="245" w:lineRule="auto"/>
            </w:pPr>
            <w:r>
              <w:rPr>
                <w:rFonts w:ascii="Arial" w:hAnsi="Arial"/>
                <w:b w:val="0"/>
                <w:i w:val="0"/>
                <w:color w:val="17213A"/>
                <w:sz w:val="15"/>
              </w:rPr>
              <w:t>Responsive web</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5"/>
              </w:rPr>
              <w:t>Guardian workspace plus consent routing.</w:t>
            </w:r>
          </w:p>
        </w:tc>
      </w:tr>
      <w:tr>
        <w:trPr>
          <w:cantSplit/>
        </w:trPr>
        <w:tc>
          <w:tcPr>
            <w:tcW w:type="dxa" w:w="16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Learner web</w:t>
            </w:r>
          </w:p>
        </w:tc>
        <w:tc>
          <w:tcPr>
            <w:tcW w:type="dxa" w:w="14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LRN-01–21</w:t>
            </w:r>
          </w:p>
        </w:tc>
        <w:tc>
          <w:tcPr>
            <w:tcW w:type="dxa" w:w="2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Responsive web / PWA</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Learner workspace on browser-capable devices.</w:t>
            </w:r>
          </w:p>
        </w:tc>
      </w:tr>
      <w:tr>
        <w:trPr>
          <w:cantSplit/>
        </w:trPr>
        <w:tc>
          <w:tcPr>
            <w:tcW w:type="dxa" w:w="1650"/>
            <w:tcMar>
              <w:top w:w="80" w:type="dxa"/>
              <w:start w:w="120" w:type="dxa"/>
              <w:bottom w:w="80" w:type="dxa"/>
              <w:end w:w="120" w:type="dxa"/>
            </w:tcMar>
            <w:vAlign w:val="center"/>
          </w:tcPr>
          <w:p>
            <w:pPr>
              <w:spacing w:after="0" w:line="245" w:lineRule="auto"/>
            </w:pPr>
            <w:r>
              <w:rPr>
                <w:rFonts w:ascii="Arial" w:hAnsi="Arial"/>
                <w:b w:val="0"/>
                <w:i w:val="0"/>
                <w:color w:val="17213A"/>
                <w:sz w:val="15"/>
              </w:rPr>
              <w:t>Learner mobile</w:t>
            </w:r>
          </w:p>
        </w:tc>
        <w:tc>
          <w:tcPr>
            <w:tcW w:type="dxa" w:w="1400"/>
            <w:tcMar>
              <w:top w:w="80" w:type="dxa"/>
              <w:start w:w="120" w:type="dxa"/>
              <w:bottom w:w="80" w:type="dxa"/>
              <w:end w:w="120" w:type="dxa"/>
            </w:tcMar>
            <w:vAlign w:val="center"/>
          </w:tcPr>
          <w:p>
            <w:pPr>
              <w:spacing w:after="0" w:line="245" w:lineRule="auto"/>
            </w:pPr>
            <w:r>
              <w:rPr>
                <w:rFonts w:ascii="Arial" w:hAnsi="Arial"/>
                <w:b w:val="0"/>
                <w:i w:val="0"/>
                <w:color w:val="17213A"/>
                <w:sz w:val="15"/>
              </w:rPr>
              <w:t>MOB-01–09</w:t>
            </w:r>
          </w:p>
        </w:tc>
        <w:tc>
          <w:tcPr>
            <w:tcW w:type="dxa" w:w="2450"/>
            <w:tcMar>
              <w:top w:w="80" w:type="dxa"/>
              <w:start w:w="120" w:type="dxa"/>
              <w:bottom w:w="80" w:type="dxa"/>
              <w:end w:w="120" w:type="dxa"/>
            </w:tcMar>
            <w:vAlign w:val="center"/>
          </w:tcPr>
          <w:p>
            <w:pPr>
              <w:spacing w:after="0" w:line="245" w:lineRule="auto"/>
            </w:pPr>
            <w:r>
              <w:rPr>
                <w:rFonts w:ascii="Arial" w:hAnsi="Arial"/>
                <w:b w:val="0"/>
                <w:i w:val="0"/>
                <w:color w:val="17213A"/>
                <w:sz w:val="15"/>
              </w:rPr>
              <w:t>iOS and Android</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5"/>
              </w:rPr>
              <w:t>Native expression of the same learner domain and curriculum.</w:t>
            </w:r>
          </w:p>
        </w:tc>
      </w:tr>
      <w:tr>
        <w:trPr>
          <w:cantSplit/>
        </w:trPr>
        <w:tc>
          <w:tcPr>
            <w:tcW w:type="dxa" w:w="16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Teacher</w:t>
            </w:r>
          </w:p>
        </w:tc>
        <w:tc>
          <w:tcPr>
            <w:tcW w:type="dxa" w:w="14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TCH-01–09</w:t>
            </w:r>
          </w:p>
        </w:tc>
        <w:tc>
          <w:tcPr>
            <w:tcW w:type="dxa" w:w="2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Responsive web / tablet</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Teacher workspace.</w:t>
            </w:r>
          </w:p>
        </w:tc>
      </w:tr>
      <w:tr>
        <w:trPr>
          <w:cantSplit/>
        </w:trPr>
        <w:tc>
          <w:tcPr>
            <w:tcW w:type="dxa" w:w="1650"/>
            <w:tcMar>
              <w:top w:w="80" w:type="dxa"/>
              <w:start w:w="120" w:type="dxa"/>
              <w:bottom w:w="80" w:type="dxa"/>
              <w:end w:w="120" w:type="dxa"/>
            </w:tcMar>
            <w:vAlign w:val="center"/>
          </w:tcPr>
          <w:p>
            <w:pPr>
              <w:spacing w:after="0" w:line="245" w:lineRule="auto"/>
            </w:pPr>
            <w:r>
              <w:rPr>
                <w:rFonts w:ascii="Arial" w:hAnsi="Arial"/>
                <w:b w:val="0"/>
                <w:i w:val="0"/>
                <w:color w:val="17213A"/>
                <w:sz w:val="15"/>
              </w:rPr>
              <w:t>Content Studio</w:t>
            </w:r>
          </w:p>
        </w:tc>
        <w:tc>
          <w:tcPr>
            <w:tcW w:type="dxa" w:w="1400"/>
            <w:tcMar>
              <w:top w:w="80" w:type="dxa"/>
              <w:start w:w="120" w:type="dxa"/>
              <w:bottom w:w="80" w:type="dxa"/>
              <w:end w:w="120" w:type="dxa"/>
            </w:tcMar>
            <w:vAlign w:val="center"/>
          </w:tcPr>
          <w:p>
            <w:pPr>
              <w:spacing w:after="0" w:line="245" w:lineRule="auto"/>
            </w:pPr>
            <w:r>
              <w:rPr>
                <w:rFonts w:ascii="Arial" w:hAnsi="Arial"/>
                <w:b w:val="0"/>
                <w:i w:val="0"/>
                <w:color w:val="17213A"/>
                <w:sz w:val="15"/>
              </w:rPr>
              <w:t>CNT-01–09</w:t>
            </w:r>
          </w:p>
        </w:tc>
        <w:tc>
          <w:tcPr>
            <w:tcW w:type="dxa" w:w="2450"/>
            <w:tcMar>
              <w:top w:w="80" w:type="dxa"/>
              <w:start w:w="120" w:type="dxa"/>
              <w:bottom w:w="80" w:type="dxa"/>
              <w:end w:w="120" w:type="dxa"/>
            </w:tcMar>
            <w:vAlign w:val="center"/>
          </w:tcPr>
          <w:p>
            <w:pPr>
              <w:spacing w:after="0" w:line="245" w:lineRule="auto"/>
            </w:pPr>
            <w:r>
              <w:rPr>
                <w:rFonts w:ascii="Arial" w:hAnsi="Arial"/>
                <w:b w:val="0"/>
                <w:i w:val="0"/>
                <w:color w:val="17213A"/>
                <w:sz w:val="15"/>
              </w:rPr>
              <w:t>Desktop-first responsive web</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5"/>
              </w:rPr>
              <w:t>Content Studio workspace.</w:t>
            </w:r>
          </w:p>
        </w:tc>
      </w:tr>
      <w:tr>
        <w:trPr>
          <w:cantSplit/>
        </w:trPr>
        <w:tc>
          <w:tcPr>
            <w:tcW w:type="dxa" w:w="16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Tenant administration</w:t>
            </w:r>
          </w:p>
        </w:tc>
        <w:tc>
          <w:tcPr>
            <w:tcW w:type="dxa" w:w="14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ADM-01–09</w:t>
            </w:r>
          </w:p>
        </w:tc>
        <w:tc>
          <w:tcPr>
            <w:tcW w:type="dxa" w:w="2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Desktop-first responsive web</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Tenant Administration workspace.</w:t>
            </w:r>
          </w:p>
        </w:tc>
      </w:tr>
      <w:tr>
        <w:trPr>
          <w:cantSplit/>
        </w:trPr>
        <w:tc>
          <w:tcPr>
            <w:tcW w:type="dxa" w:w="1650"/>
            <w:tcMar>
              <w:top w:w="80" w:type="dxa"/>
              <w:start w:w="120" w:type="dxa"/>
              <w:bottom w:w="80" w:type="dxa"/>
              <w:end w:w="120" w:type="dxa"/>
            </w:tcMar>
            <w:vAlign w:val="center"/>
          </w:tcPr>
          <w:p>
            <w:pPr>
              <w:spacing w:after="0" w:line="245" w:lineRule="auto"/>
            </w:pPr>
            <w:r>
              <w:rPr>
                <w:rFonts w:ascii="Arial" w:hAnsi="Arial"/>
                <w:b w:val="0"/>
                <w:i w:val="0"/>
                <w:color w:val="17213A"/>
                <w:sz w:val="15"/>
              </w:rPr>
              <w:t>Platform operations</w:t>
            </w:r>
          </w:p>
        </w:tc>
        <w:tc>
          <w:tcPr>
            <w:tcW w:type="dxa" w:w="1400"/>
            <w:tcMar>
              <w:top w:w="80" w:type="dxa"/>
              <w:start w:w="120" w:type="dxa"/>
              <w:bottom w:w="80" w:type="dxa"/>
              <w:end w:w="120" w:type="dxa"/>
            </w:tcMar>
            <w:vAlign w:val="center"/>
          </w:tcPr>
          <w:p>
            <w:pPr>
              <w:spacing w:after="0" w:line="245" w:lineRule="auto"/>
            </w:pPr>
            <w:r>
              <w:rPr>
                <w:rFonts w:ascii="Arial" w:hAnsi="Arial"/>
                <w:b w:val="0"/>
                <w:i w:val="0"/>
                <w:color w:val="17213A"/>
                <w:sz w:val="15"/>
              </w:rPr>
              <w:t>OPS-01–06</w:t>
            </w:r>
          </w:p>
        </w:tc>
        <w:tc>
          <w:tcPr>
            <w:tcW w:type="dxa" w:w="2450"/>
            <w:tcMar>
              <w:top w:w="80" w:type="dxa"/>
              <w:start w:w="120" w:type="dxa"/>
              <w:bottom w:w="80" w:type="dxa"/>
              <w:end w:w="120" w:type="dxa"/>
            </w:tcMar>
            <w:vAlign w:val="center"/>
          </w:tcPr>
          <w:p>
            <w:pPr>
              <w:spacing w:after="0" w:line="245" w:lineRule="auto"/>
            </w:pPr>
            <w:r>
              <w:rPr>
                <w:rFonts w:ascii="Arial" w:hAnsi="Arial"/>
                <w:b w:val="0"/>
                <w:i w:val="0"/>
                <w:color w:val="17213A"/>
                <w:sz w:val="15"/>
              </w:rPr>
              <w:t>Desktop-first responsive web</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5"/>
              </w:rPr>
              <w:t>Platform Operations workspace.</w:t>
            </w:r>
          </w:p>
        </w:tc>
      </w:tr>
    </w:tbl>
    <w:p>
      <w:pPr>
        <w:spacing w:before="100" w:after="140"/>
        <w:ind w:left="115" w:right="29"/>
        <w:shd w:fill="E3F1E8"/>
        <w:pBdr>
          <w:top w:val="single" w:sz="3" w:color="34805B" w:space="7"/>
          <w:left w:val="single" w:sz="14" w:color="34805B" w:space="7"/>
          <w:bottom w:val="single" w:sz="3" w:color="34805B" w:space="7"/>
          <w:right w:val="single" w:sz="3" w:color="34805B" w:space="7"/>
        </w:pBdr>
      </w:pPr>
      <w:r>
        <w:rPr>
          <w:rFonts w:ascii="Arial" w:hAnsi="Arial"/>
          <w:b/>
          <w:i w:val="0"/>
          <w:color w:val="34805B"/>
          <w:sz w:val="19"/>
        </w:rPr>
        <w:t xml:space="preserve">COUNT RECONCILIATION: </w:t>
      </w:r>
      <w:r>
        <w:rPr>
          <w:rFonts w:ascii="Arial" w:hAnsi="Arial"/>
          <w:b w:val="0"/>
          <w:i w:val="0"/>
          <w:color w:val="17213A"/>
          <w:sz w:val="19"/>
        </w:rPr>
        <w:t>Nine interface families are not nine role workspaces. Public discovery and identity are entry surfaces; learner web and learner mobile share the Learner role. The six authenticated role-based workspaces are Learner, Guardian, Teacher, Content Studio, Tenant Administration and Platform Operations.</w:t>
      </w:r>
    </w:p>
    <w:p>
      <w:pPr>
        <w:sectPr>
          <w:pgSz w:w="12240" w:h="15840"/>
          <w:pgMar w:top="1440" w:right="1440" w:bottom="1440" w:left="1440" w:header="708" w:footer="708" w:gutter="0"/>
          <w:cols w:space="720"/>
          <w:docGrid w:linePitch="360"/>
        </w:sectPr>
      </w:pPr>
    </w:p>
    <w:p>
      <w:pPr>
        <w:pStyle w:val="Heading1"/>
      </w:pPr>
      <w:r>
        <w:t>Six authenticated role-based workspaces</w:t>
      </w:r>
    </w:p>
    <w:tbl>
      <w:tblPr>
        <w:tblStyle w:val="TableGrid"/>
        <w:tblW w:type="dxa" w:w="9360"/>
        <w:tblLayout w:type="fixed"/>
        <w:tblLook w:firstColumn="1" w:firstRow="1" w:lastColumn="0" w:lastRow="0" w:noHBand="0" w:noVBand="1" w:val="04A0"/>
        <w:jc w:val="left"/>
        <w:tblInd w:w="120" w:type="dxa"/>
      </w:tblPr>
      <w:tblGrid>
        <w:gridCol w:w="1750"/>
        <w:gridCol w:w="1800"/>
        <w:gridCol w:w="2500"/>
        <w:gridCol w:w="3310"/>
      </w:tblGrid>
      <w:tr>
        <w:trPr>
          <w:tblHeader/>
        </w:trPr>
        <w:tc>
          <w:tcPr>
            <w:tcW w:type="dxa" w:w="1750"/>
            <w:tcMar>
              <w:top w:w="80" w:type="dxa"/>
              <w:start w:w="120" w:type="dxa"/>
              <w:bottom w:w="80" w:type="dxa"/>
              <w:end w:w="120" w:type="dxa"/>
            </w:tcMar>
            <w:vAlign w:val="center"/>
            <w:shd w:fill="18264F"/>
          </w:tcPr>
          <w:p>
            <w:pPr>
              <w:spacing w:after="0"/>
            </w:pPr>
            <w:r>
              <w:rPr>
                <w:rFonts w:ascii="Arial" w:hAnsi="Arial"/>
                <w:b/>
                <w:i w:val="0"/>
                <w:color w:val="FFFFFF"/>
                <w:sz w:val="16"/>
              </w:rPr>
              <w:t>Workspace</w:t>
            </w:r>
          </w:p>
        </w:tc>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6"/>
              </w:rPr>
              <w:t>Primary roles</w:t>
            </w:r>
          </w:p>
        </w:tc>
        <w:tc>
          <w:tcPr>
            <w:tcW w:type="dxa" w:w="2500"/>
            <w:tcMar>
              <w:top w:w="80" w:type="dxa"/>
              <w:start w:w="120" w:type="dxa"/>
              <w:bottom w:w="80" w:type="dxa"/>
              <w:end w:w="120" w:type="dxa"/>
            </w:tcMar>
            <w:vAlign w:val="center"/>
            <w:shd w:fill="18264F"/>
          </w:tcPr>
          <w:p>
            <w:pPr>
              <w:spacing w:after="0"/>
            </w:pPr>
            <w:r>
              <w:rPr>
                <w:rFonts w:ascii="Arial" w:hAnsi="Arial"/>
                <w:b/>
                <w:i w:val="0"/>
                <w:color w:val="FFFFFF"/>
                <w:sz w:val="16"/>
              </w:rPr>
              <w:t>Navigation model</w:t>
            </w:r>
          </w:p>
        </w:tc>
        <w:tc>
          <w:tcPr>
            <w:tcW w:type="dxa" w:w="3310"/>
            <w:tcMar>
              <w:top w:w="80" w:type="dxa"/>
              <w:start w:w="120" w:type="dxa"/>
              <w:bottom w:w="80" w:type="dxa"/>
              <w:end w:w="120" w:type="dxa"/>
            </w:tcMar>
            <w:vAlign w:val="center"/>
            <w:shd w:fill="18264F"/>
          </w:tcPr>
          <w:p>
            <w:pPr>
              <w:spacing w:after="0"/>
            </w:pPr>
            <w:r>
              <w:rPr>
                <w:rFonts w:ascii="Arial" w:hAnsi="Arial"/>
                <w:b/>
                <w:i w:val="0"/>
                <w:color w:val="FFFFFF"/>
                <w:sz w:val="16"/>
              </w:rPr>
              <w:t>Authorisation boundary</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6"/>
              </w:rPr>
              <w:t>Learner</w:t>
            </w:r>
          </w:p>
        </w:tc>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Learner</w:t>
            </w:r>
          </w:p>
        </w:tc>
        <w:tc>
          <w:tcPr>
            <w:tcW w:type="dxa" w:w="2500"/>
            <w:tcMar>
              <w:top w:w="80" w:type="dxa"/>
              <w:start w:w="120" w:type="dxa"/>
              <w:bottom w:w="80" w:type="dxa"/>
              <w:end w:w="120" w:type="dxa"/>
            </w:tcMar>
            <w:vAlign w:val="center"/>
          </w:tcPr>
          <w:p>
            <w:pPr>
              <w:spacing w:after="0" w:line="245" w:lineRule="auto"/>
            </w:pPr>
            <w:r>
              <w:rPr>
                <w:rFonts w:ascii="Arial" w:hAnsi="Arial"/>
                <w:b w:val="0"/>
                <w:i w:val="0"/>
                <w:color w:val="17213A"/>
                <w:sz w:val="16"/>
              </w:rPr>
              <w:t>Top navigation + chapter rail; native bottom navigation</w:t>
            </w:r>
          </w:p>
        </w:tc>
        <w:tc>
          <w:tcPr>
            <w:tcW w:type="dxa" w:w="3310"/>
            <w:tcMar>
              <w:top w:w="80" w:type="dxa"/>
              <w:start w:w="120" w:type="dxa"/>
              <w:bottom w:w="80" w:type="dxa"/>
              <w:end w:w="120" w:type="dxa"/>
            </w:tcMar>
            <w:vAlign w:val="center"/>
          </w:tcPr>
          <w:p>
            <w:pPr>
              <w:spacing w:after="0" w:line="245" w:lineRule="auto"/>
            </w:pPr>
            <w:r>
              <w:rPr>
                <w:rFonts w:ascii="Arial" w:hAnsi="Arial"/>
                <w:b w:val="0"/>
                <w:i w:val="0"/>
                <w:color w:val="17213A"/>
                <w:sz w:val="16"/>
              </w:rPr>
              <w:t>Own learning, permitted programme and private data.</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Guardian</w:t>
            </w:r>
          </w:p>
        </w:tc>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Verified guardian</w:t>
            </w:r>
          </w:p>
        </w:tc>
        <w:tc>
          <w:tcPr>
            <w:tcW w:type="dxa" w:w="2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Simple top navigation</w:t>
            </w:r>
          </w:p>
        </w:tc>
        <w:tc>
          <w:tcPr>
            <w:tcW w:type="dxa" w:w="33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Linked minors and explicitly permitted consent/progress fields only.</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6"/>
              </w:rPr>
              <w:t>Teacher</w:t>
            </w:r>
          </w:p>
        </w:tc>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Teacher, facilitator</w:t>
            </w:r>
          </w:p>
        </w:tc>
        <w:tc>
          <w:tcPr>
            <w:tcW w:type="dxa" w:w="2500"/>
            <w:tcMar>
              <w:top w:w="80" w:type="dxa"/>
              <w:start w:w="120" w:type="dxa"/>
              <w:bottom w:w="80" w:type="dxa"/>
              <w:end w:w="120" w:type="dxa"/>
            </w:tcMar>
            <w:vAlign w:val="center"/>
          </w:tcPr>
          <w:p>
            <w:pPr>
              <w:spacing w:after="0" w:line="245" w:lineRule="auto"/>
            </w:pPr>
            <w:r>
              <w:rPr>
                <w:rFonts w:ascii="Arial" w:hAnsi="Arial"/>
                <w:b w:val="0"/>
                <w:i w:val="0"/>
                <w:color w:val="17213A"/>
                <w:sz w:val="16"/>
              </w:rPr>
              <w:t>Workspace rail + cohort context</w:t>
            </w:r>
          </w:p>
        </w:tc>
        <w:tc>
          <w:tcPr>
            <w:tcW w:type="dxa" w:w="3310"/>
            <w:tcMar>
              <w:top w:w="80" w:type="dxa"/>
              <w:start w:w="120" w:type="dxa"/>
              <w:bottom w:w="80" w:type="dxa"/>
              <w:end w:w="120" w:type="dxa"/>
            </w:tcMar>
            <w:vAlign w:val="center"/>
          </w:tcPr>
          <w:p>
            <w:pPr>
              <w:spacing w:after="0" w:line="245" w:lineRule="auto"/>
            </w:pPr>
            <w:r>
              <w:rPr>
                <w:rFonts w:ascii="Arial" w:hAnsi="Arial"/>
                <w:b w:val="0"/>
                <w:i w:val="0"/>
                <w:color w:val="17213A"/>
                <w:sz w:val="16"/>
              </w:rPr>
              <w:t>Assigned cohorts, approved programmes and allowed accommodations.</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Content Studio</w:t>
            </w:r>
          </w:p>
        </w:tc>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Author, translator, reviewer, publisher</w:t>
            </w:r>
          </w:p>
        </w:tc>
        <w:tc>
          <w:tcPr>
            <w:tcW w:type="dxa" w:w="2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Workspace rail + edition/release context</w:t>
            </w:r>
          </w:p>
        </w:tc>
        <w:tc>
          <w:tcPr>
            <w:tcW w:type="dxa" w:w="33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Named editions, languages, rights grants and review tasks.</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6"/>
              </w:rPr>
              <w:t>Tenant Administration</w:t>
            </w:r>
          </w:p>
        </w:tc>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Organisation administrator</w:t>
            </w:r>
          </w:p>
        </w:tc>
        <w:tc>
          <w:tcPr>
            <w:tcW w:type="dxa" w:w="2500"/>
            <w:tcMar>
              <w:top w:w="80" w:type="dxa"/>
              <w:start w:w="120" w:type="dxa"/>
              <w:bottom w:w="80" w:type="dxa"/>
              <w:end w:w="120" w:type="dxa"/>
            </w:tcMar>
            <w:vAlign w:val="center"/>
          </w:tcPr>
          <w:p>
            <w:pPr>
              <w:spacing w:after="0" w:line="245" w:lineRule="auto"/>
            </w:pPr>
            <w:r>
              <w:rPr>
                <w:rFonts w:ascii="Arial" w:hAnsi="Arial"/>
                <w:b w:val="0"/>
                <w:i w:val="0"/>
                <w:color w:val="17213A"/>
                <w:sz w:val="16"/>
              </w:rPr>
              <w:t>Workspace rail + tenant context</w:t>
            </w:r>
          </w:p>
        </w:tc>
        <w:tc>
          <w:tcPr>
            <w:tcW w:type="dxa" w:w="3310"/>
            <w:tcMar>
              <w:top w:w="80" w:type="dxa"/>
              <w:start w:w="120" w:type="dxa"/>
              <w:bottom w:w="80" w:type="dxa"/>
              <w:end w:w="120" w:type="dxa"/>
            </w:tcMar>
            <w:vAlign w:val="center"/>
          </w:tcPr>
          <w:p>
            <w:pPr>
              <w:spacing w:after="0" w:line="245" w:lineRule="auto"/>
            </w:pPr>
            <w:r>
              <w:rPr>
                <w:rFonts w:ascii="Arial" w:hAnsi="Arial"/>
                <w:b w:val="0"/>
                <w:i w:val="0"/>
                <w:color w:val="17213A"/>
                <w:sz w:val="16"/>
              </w:rPr>
              <w:t>One tenant and delegated organisational units.</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Platform Operations</w:t>
            </w:r>
          </w:p>
        </w:tc>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Operator, support, security</w:t>
            </w:r>
          </w:p>
        </w:tc>
        <w:tc>
          <w:tcPr>
            <w:tcW w:type="dxa" w:w="2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Ops rail + region/tenant selector</w:t>
            </w:r>
          </w:p>
        </w:tc>
        <w:tc>
          <w:tcPr>
            <w:tcW w:type="dxa" w:w="33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Controlled, time-bound and audited elevation.</w:t>
            </w:r>
          </w:p>
        </w:tc>
      </w:tr>
    </w:tbl>
    <w:p>
      <w:pPr>
        <w:pStyle w:val="Heading2"/>
      </w:pPr>
      <w:r>
        <w:t>Context resolution order</w:t>
      </w:r>
    </w:p>
    <w:p>
      <w:pPr>
        <w:pStyle w:val="ListBullet"/>
      </w:pPr>
      <w:r>
        <w:rPr>
          <w:rFonts w:ascii="Arial" w:hAnsi="Arial"/>
          <w:b w:val="0"/>
          <w:i w:val="0"/>
          <w:color w:val="17213A"/>
          <w:sz w:val="20"/>
        </w:rPr>
        <w:t>Domain or invitation → tenant → identity → role and scope → programme/cohort → authorised edition → language → age/guardian policy → accessibility preferences → entitlement.</w:t>
      </w:r>
    </w:p>
    <w:p>
      <w:pPr>
        <w:pStyle w:val="ListBullet"/>
      </w:pPr>
      <w:r>
        <w:rPr>
          <w:rFonts w:ascii="Arial" w:hAnsi="Arial"/>
          <w:b w:val="0"/>
          <w:i w:val="0"/>
          <w:color w:val="17213A"/>
          <w:sz w:val="20"/>
        </w:rPr>
        <w:t>Every deep link must preserve resolved context or return a human-readable denial with recovery. A missing or conflicting tenant is never guessed from a resource identifier.</w:t>
      </w:r>
    </w:p>
    <w:p>
      <w:pPr>
        <w:pStyle w:val="ListBullet"/>
      </w:pPr>
      <w:r>
        <w:rPr>
          <w:rFonts w:ascii="Arial" w:hAnsi="Arial"/>
          <w:b w:val="0"/>
          <w:i w:val="0"/>
          <w:color w:val="17213A"/>
          <w:sz w:val="20"/>
        </w:rPr>
        <w:t>The active tenant, programme, edition, language and role are visible wherever their absence could lead to a consequential action.</w:t>
      </w:r>
    </w:p>
    <w:p>
      <w:pPr>
        <w:pStyle w:val="ListBullet"/>
      </w:pPr>
      <w:r>
        <w:rPr>
          <w:rFonts w:ascii="Arial" w:hAnsi="Arial"/>
          <w:b w:val="0"/>
          <w:i w:val="0"/>
          <w:color w:val="17213A"/>
          <w:sz w:val="20"/>
        </w:rPr>
        <w:t>Workspace switching preserves the user identity but re-resolves permission, policy, edition and data scope before any cached view is shown.</w:t>
      </w:r>
    </w:p>
    <w:p>
      <w:pPr>
        <w:pStyle w:val="Heading2"/>
      </w:pPr>
      <w:r>
        <w:t>Navigation invariants</w:t>
      </w:r>
    </w:p>
    <w:p>
      <w:pPr>
        <w:pStyle w:val="ListBullet"/>
      </w:pPr>
      <w:r>
        <w:rPr>
          <w:rFonts w:ascii="Arial" w:hAnsi="Arial"/>
          <w:b w:val="0"/>
          <w:i w:val="0"/>
          <w:color w:val="17213A"/>
          <w:sz w:val="20"/>
        </w:rPr>
        <w:t>One canonical route registry supplies web navigation, native deep links, breadcrumbs, analytics screen names and authorisation checks.</w:t>
      </w:r>
    </w:p>
    <w:p>
      <w:pPr>
        <w:pStyle w:val="ListBullet"/>
      </w:pPr>
      <w:r>
        <w:rPr>
          <w:rFonts w:ascii="Arial" w:hAnsi="Arial"/>
          <w:b w:val="0"/>
          <w:i w:val="0"/>
          <w:color w:val="17213A"/>
          <w:sz w:val="20"/>
        </w:rPr>
        <w:t>Back, refresh, sign-in return and app relaunch must restore a valid state without repeating a committed assessment or mutation.</w:t>
      </w:r>
    </w:p>
    <w:p>
      <w:pPr>
        <w:pStyle w:val="ListBullet"/>
      </w:pPr>
      <w:r>
        <w:rPr>
          <w:rFonts w:ascii="Arial" w:hAnsi="Arial"/>
          <w:b w:val="0"/>
          <w:i w:val="0"/>
          <w:color w:val="17213A"/>
          <w:sz w:val="20"/>
        </w:rPr>
        <w:t>Unavailable items remain explainable: locked by prerequisite, outside entitlement, unpublished, retracted, expired, region-limited or permission denied.</w:t>
      </w:r>
    </w:p>
    <w:p>
      <w:pPr>
        <w:sectPr>
          <w:pgSz w:w="12240" w:h="15840"/>
          <w:pgMar w:top="1440" w:right="1440" w:bottom="1440" w:left="1440" w:header="708" w:footer="708" w:gutter="0"/>
          <w:cols w:space="720"/>
          <w:docGrid w:linePitch="360"/>
        </w:sectPr>
      </w:pPr>
    </w:p>
    <w:p>
      <w:pPr>
        <w:pStyle w:val="Heading1"/>
      </w:pPr>
      <w:r>
        <w:t>Multi-tenant and edition context</w:t>
      </w:r>
    </w:p>
    <w:tbl>
      <w:tblPr>
        <w:tblStyle w:val="TableGrid"/>
        <w:tblW w:type="dxa" w:w="9360"/>
        <w:tblLayout w:type="fixed"/>
        <w:tblLook w:firstColumn="1" w:firstRow="1" w:lastColumn="0" w:lastRow="0" w:noHBand="0" w:noVBand="1" w:val="04A0"/>
        <w:jc w:val="left"/>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18264F"/>
          </w:tcPr>
          <w:p>
            <w:pPr>
              <w:spacing w:after="0"/>
            </w:pPr>
            <w:r>
              <w:rPr>
                <w:rFonts w:ascii="Arial" w:hAnsi="Arial"/>
                <w:b/>
                <w:i w:val="0"/>
                <w:color w:val="FFFFFF"/>
                <w:sz w:val="16"/>
              </w:rPr>
              <w:t>Configuration level</w:t>
            </w:r>
          </w:p>
        </w:tc>
        <w:tc>
          <w:tcPr>
            <w:tcW w:type="dxa" w:w="3000"/>
            <w:tcMar>
              <w:top w:w="80" w:type="dxa"/>
              <w:start w:w="120" w:type="dxa"/>
              <w:bottom w:w="80" w:type="dxa"/>
              <w:end w:w="120" w:type="dxa"/>
            </w:tcMar>
            <w:vAlign w:val="center"/>
            <w:shd w:fill="18264F"/>
          </w:tcPr>
          <w:p>
            <w:pPr>
              <w:spacing w:after="0"/>
            </w:pPr>
            <w:r>
              <w:rPr>
                <w:rFonts w:ascii="Arial" w:hAnsi="Arial"/>
                <w:b/>
                <w:i w:val="0"/>
                <w:color w:val="FFFFFF"/>
                <w:sz w:val="16"/>
              </w:rPr>
              <w:t>Examples</w:t>
            </w:r>
          </w:p>
        </w:tc>
        <w:tc>
          <w:tcPr>
            <w:tcW w:type="dxa" w:w="4660"/>
            <w:tcMar>
              <w:top w:w="80" w:type="dxa"/>
              <w:start w:w="120" w:type="dxa"/>
              <w:bottom w:w="80" w:type="dxa"/>
              <w:end w:w="120" w:type="dxa"/>
            </w:tcMar>
            <w:vAlign w:val="center"/>
            <w:shd w:fill="18264F"/>
          </w:tcPr>
          <w:p>
            <w:pPr>
              <w:spacing w:after="0"/>
            </w:pPr>
            <w:r>
              <w:rPr>
                <w:rFonts w:ascii="Arial" w:hAnsi="Arial"/>
                <w:b/>
                <w:i w:val="0"/>
                <w:color w:val="FFFFFF"/>
                <w:sz w:val="16"/>
              </w:rPr>
              <w:t>Inheritance / override rule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Platform</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Core navigation, security baseline, shared design tokens</w:t>
            </w:r>
          </w:p>
        </w:tc>
        <w:tc>
          <w:tcPr>
            <w:tcW w:type="dxa" w:w="4660"/>
            <w:tcMar>
              <w:top w:w="80" w:type="dxa"/>
              <w:start w:w="120" w:type="dxa"/>
              <w:bottom w:w="80" w:type="dxa"/>
              <w:end w:w="120" w:type="dxa"/>
            </w:tcMar>
            <w:vAlign w:val="center"/>
          </w:tcPr>
          <w:p>
            <w:pPr>
              <w:spacing w:after="0" w:line="245" w:lineRule="auto"/>
            </w:pPr>
            <w:r>
              <w:rPr>
                <w:rFonts w:ascii="Arial" w:hAnsi="Arial"/>
                <w:b w:val="0"/>
                <w:i w:val="0"/>
                <w:color w:val="17213A"/>
                <w:sz w:val="16"/>
              </w:rPr>
              <w:t>Mandatory baseline; tenants cannot weaken security or accessibility.</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Tenant / organisation</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Domain, logo, palette, support, policies, data region</w:t>
            </w:r>
          </w:p>
        </w:tc>
        <w:tc>
          <w:tcPr>
            <w:tcW w:type="dxa" w:w="4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Configuration only; no tenant-specific application fork.</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Programme</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Audience, edition, learning path, pass rules, certificate</w:t>
            </w:r>
          </w:p>
        </w:tc>
        <w:tc>
          <w:tcPr>
            <w:tcW w:type="dxa" w:w="4660"/>
            <w:tcMar>
              <w:top w:w="80" w:type="dxa"/>
              <w:start w:w="120" w:type="dxa"/>
              <w:bottom w:w="80" w:type="dxa"/>
              <w:end w:w="120" w:type="dxa"/>
            </w:tcMar>
            <w:vAlign w:val="center"/>
          </w:tcPr>
          <w:p>
            <w:pPr>
              <w:spacing w:after="0" w:line="245" w:lineRule="auto"/>
            </w:pPr>
            <w:r>
              <w:rPr>
                <w:rFonts w:ascii="Arial" w:hAnsi="Arial"/>
                <w:b w:val="0"/>
                <w:i w:val="0"/>
                <w:color w:val="17213A"/>
                <w:sz w:val="16"/>
              </w:rPr>
              <w:t>Versioned and effective-dated; approved before learner assignment.</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Cohort / unit</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Schedule, teacher, local due dates, roster</w:t>
            </w:r>
          </w:p>
        </w:tc>
        <w:tc>
          <w:tcPr>
            <w:tcW w:type="dxa" w:w="4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May narrow programme rules but not silently replace edition content.</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User</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Language, accessibility, notifications, lawful consent state</w:t>
            </w:r>
          </w:p>
        </w:tc>
        <w:tc>
          <w:tcPr>
            <w:tcW w:type="dxa" w:w="4660"/>
            <w:tcMar>
              <w:top w:w="80" w:type="dxa"/>
              <w:start w:w="120" w:type="dxa"/>
              <w:bottom w:w="80" w:type="dxa"/>
              <w:end w:w="120" w:type="dxa"/>
            </w:tcMar>
            <w:vAlign w:val="center"/>
          </w:tcPr>
          <w:p>
            <w:pPr>
              <w:spacing w:after="0" w:line="245" w:lineRule="auto"/>
            </w:pPr>
            <w:r>
              <w:rPr>
                <w:rFonts w:ascii="Arial" w:hAnsi="Arial"/>
                <w:b w:val="0"/>
                <w:i w:val="0"/>
                <w:color w:val="17213A"/>
                <w:sz w:val="16"/>
              </w:rPr>
              <w:t>Portable preferences constrained by tenant policy and role.</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Edition release</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Tradition, authority, translation/commentary, language, rights</w:t>
            </w:r>
          </w:p>
        </w:tc>
        <w:tc>
          <w:tcPr>
            <w:tcW w:type="dxa" w:w="4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Immutable published release; correction creates a new version.</w:t>
            </w:r>
          </w:p>
        </w:tc>
      </w:tr>
    </w:tbl>
    <w:p>
      <w:pPr>
        <w:pStyle w:val="Heading2"/>
      </w:pPr>
      <w:r>
        <w:t>Edition descriptor shown in the interface</w:t>
      </w:r>
    </w:p>
    <w:p>
      <w:pPr>
        <w:spacing w:before="0" w:after="100"/>
      </w:pPr>
      <w:r>
        <w:rPr>
          <w:rFonts w:ascii="Arial" w:hAnsi="Arial"/>
          <w:b w:val="0"/>
          <w:i w:val="0"/>
          <w:color w:val="17213A"/>
          <w:sz w:val="21"/>
        </w:rPr>
        <w:t>Every scripture-bearing and edition-sensitive screen must be able to disclose: edition name and ID; tradition or lineage; translator and/or guru/commentator; approving authority; canonical reference; interface/content language; release version and effective date; publication state; territory/channel/audience rights; source provenance; and any approved progress-equivalence map.</w:t>
      </w:r>
    </w:p>
    <w:p>
      <w:pPr>
        <w:pStyle w:val="Heading2"/>
      </w:pPr>
      <w:r>
        <w:t>Edition switching rules</w:t>
      </w:r>
    </w:p>
    <w:p>
      <w:pPr>
        <w:pStyle w:val="ListBullet"/>
      </w:pPr>
      <w:r>
        <w:rPr>
          <w:rFonts w:ascii="Arial" w:hAnsi="Arial"/>
          <w:b w:val="0"/>
          <w:i w:val="0"/>
          <w:color w:val="17213A"/>
          <w:sz w:val="20"/>
        </w:rPr>
        <w:t>A switch preview explains which translation, commentary, lessons, assessments, progress and certificates will change before commitment.</w:t>
      </w:r>
    </w:p>
    <w:p>
      <w:pPr>
        <w:pStyle w:val="ListBullet"/>
      </w:pPr>
      <w:r>
        <w:rPr>
          <w:rFonts w:ascii="Arial" w:hAnsi="Arial"/>
          <w:b w:val="0"/>
          <w:i w:val="0"/>
          <w:color w:val="17213A"/>
          <w:sz w:val="20"/>
        </w:rPr>
        <w:t>Progress carries across editions only through an explicit, versioned equivalence map approved at outcome and assessment level. Otherwise the UI retains history and marks the new path as not yet demonstrated.</w:t>
      </w:r>
    </w:p>
    <w:p>
      <w:pPr>
        <w:pStyle w:val="ListBullet"/>
      </w:pPr>
      <w:r>
        <w:rPr>
          <w:rFonts w:ascii="Arial" w:hAnsi="Arial"/>
          <w:b w:val="0"/>
          <w:i w:val="0"/>
          <w:color w:val="17213A"/>
          <w:sz w:val="20"/>
        </w:rPr>
        <w:t>Content from different traditions or organisations—such as configurable editions for ISKCON, Chinmaya Mission or BAPS—must never be silently merged. Labels and provenance stay adjacent to the content they qualify.</w:t>
      </w:r>
    </w:p>
    <w:p>
      <w:pPr>
        <w:pStyle w:val="ListBullet"/>
      </w:pPr>
      <w:r>
        <w:rPr>
          <w:rFonts w:ascii="Arial" w:hAnsi="Arial"/>
          <w:b w:val="0"/>
          <w:i w:val="0"/>
          <w:color w:val="17213A"/>
          <w:sz w:val="20"/>
        </w:rPr>
        <w:t>Rights expiry or retraction invalidates future access and offline packages without deleting lawful learning evidence; the user receives a clear reason and support path.</w:t>
      </w:r>
    </w:p>
    <w:p>
      <w:pPr>
        <w:sectPr>
          <w:pgSz w:w="12240" w:h="15840"/>
          <w:pgMar w:top="1440" w:right="1440" w:bottom="1440" w:left="1440" w:header="708" w:footer="708" w:gutter="0"/>
          <w:cols w:space="720"/>
          <w:docGrid w:linePitch="360"/>
        </w:sectPr>
      </w:pPr>
    </w:p>
    <w:p>
      <w:pPr>
        <w:pStyle w:val="Heading1"/>
      </w:pPr>
      <w:r>
        <w:t>3. Learning journey and 18-chapter curriculum spine</w:t>
      </w:r>
    </w:p>
    <w:p>
      <w:pPr>
        <w:pStyle w:val="Heading2"/>
      </w:pPr>
      <w:r>
        <w:t>Prerequisite-to-completion journey</w:t>
      </w:r>
    </w:p>
    <w:tbl>
      <w:tblPr>
        <w:tblStyle w:val="TableGrid"/>
        <w:tblW w:type="dxa" w:w="9360"/>
        <w:tblLayout w:type="fixed"/>
        <w:tblLook w:firstColumn="1" w:firstRow="1" w:lastColumn="0" w:lastRow="0" w:noHBand="0" w:noVBand="1" w:val="04A0"/>
        <w:jc w:val="left"/>
        <w:tblInd w:w="120" w:type="dxa"/>
      </w:tblPr>
      <w:tblGrid>
        <w:gridCol w:w="1800"/>
        <w:gridCol w:w="2480"/>
        <w:gridCol w:w="508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6"/>
              </w:rPr>
              <w:t>Stage</w:t>
            </w:r>
          </w:p>
        </w:tc>
        <w:tc>
          <w:tcPr>
            <w:tcW w:type="dxa" w:w="2480"/>
            <w:tcMar>
              <w:top w:w="80" w:type="dxa"/>
              <w:start w:w="120" w:type="dxa"/>
              <w:bottom w:w="80" w:type="dxa"/>
              <w:end w:w="120" w:type="dxa"/>
            </w:tcMar>
            <w:vAlign w:val="center"/>
            <w:shd w:fill="18264F"/>
          </w:tcPr>
          <w:p>
            <w:pPr>
              <w:spacing w:after="0"/>
            </w:pPr>
            <w:r>
              <w:rPr>
                <w:rFonts w:ascii="Arial" w:hAnsi="Arial"/>
                <w:b/>
                <w:i w:val="0"/>
                <w:color w:val="FFFFFF"/>
                <w:sz w:val="16"/>
              </w:rPr>
              <w:t>Primary screens</w:t>
            </w:r>
          </w:p>
        </w:tc>
        <w:tc>
          <w:tcPr>
            <w:tcW w:type="dxa" w:w="5080"/>
            <w:tcMar>
              <w:top w:w="80" w:type="dxa"/>
              <w:start w:w="120" w:type="dxa"/>
              <w:bottom w:w="80" w:type="dxa"/>
              <w:end w:w="120" w:type="dxa"/>
            </w:tcMar>
            <w:vAlign w:val="center"/>
            <w:shd w:fill="18264F"/>
          </w:tcPr>
          <w:p>
            <w:pPr>
              <w:spacing w:after="0"/>
            </w:pPr>
            <w:r>
              <w:rPr>
                <w:rFonts w:ascii="Arial" w:hAnsi="Arial"/>
                <w:b/>
                <w:i w:val="0"/>
                <w:color w:val="FFFFFF"/>
                <w:sz w:val="16"/>
              </w:rPr>
              <w:t>Entry / exit contract</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1. Resolve context</w:t>
            </w:r>
          </w:p>
        </w:tc>
        <w:tc>
          <w:tcPr>
            <w:tcW w:type="dxa" w:w="2480"/>
            <w:tcMar>
              <w:top w:w="80" w:type="dxa"/>
              <w:start w:w="120" w:type="dxa"/>
              <w:bottom w:w="80" w:type="dxa"/>
              <w:end w:w="120" w:type="dxa"/>
            </w:tcMar>
            <w:vAlign w:val="center"/>
          </w:tcPr>
          <w:p>
            <w:pPr>
              <w:spacing w:after="0" w:line="245" w:lineRule="auto"/>
            </w:pPr>
            <w:r>
              <w:rPr>
                <w:rFonts w:ascii="Arial" w:hAnsi="Arial"/>
                <w:b w:val="0"/>
                <w:i w:val="0"/>
                <w:color w:val="17213A"/>
                <w:sz w:val="16"/>
              </w:rPr>
              <w:t>PUB-01–06</w:t>
            </w:r>
          </w:p>
        </w:tc>
        <w:tc>
          <w:tcPr>
            <w:tcW w:type="dxa" w:w="5080"/>
            <w:tcMar>
              <w:top w:w="80" w:type="dxa"/>
              <w:start w:w="120" w:type="dxa"/>
              <w:bottom w:w="80" w:type="dxa"/>
              <w:end w:w="120" w:type="dxa"/>
            </w:tcMar>
            <w:vAlign w:val="center"/>
          </w:tcPr>
          <w:p>
            <w:pPr>
              <w:spacing w:after="0" w:line="245" w:lineRule="auto"/>
            </w:pPr>
            <w:r>
              <w:rPr>
                <w:rFonts w:ascii="Arial" w:hAnsi="Arial"/>
                <w:b w:val="0"/>
                <w:i w:val="0"/>
                <w:color w:val="17213A"/>
                <w:sz w:val="16"/>
              </w:rPr>
              <w:t>Exit with valid tenant, programme, edition, language and entitlement choice.</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2. Establish identity</w:t>
            </w:r>
          </w:p>
        </w:tc>
        <w:tc>
          <w:tcPr>
            <w:tcW w:type="dxa" w:w="24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ID-01–03; GUA-01–03</w:t>
            </w:r>
          </w:p>
        </w:tc>
        <w:tc>
          <w:tcPr>
            <w:tcW w:type="dxa" w:w="50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Exit with authenticated role, preferences and required consent evidence.</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3. Build foundations</w:t>
            </w:r>
          </w:p>
        </w:tc>
        <w:tc>
          <w:tcPr>
            <w:tcW w:type="dxa" w:w="2480"/>
            <w:tcMar>
              <w:top w:w="80" w:type="dxa"/>
              <w:start w:w="120" w:type="dxa"/>
              <w:bottom w:w="80" w:type="dxa"/>
              <w:end w:w="120" w:type="dxa"/>
            </w:tcMar>
            <w:vAlign w:val="center"/>
          </w:tcPr>
          <w:p>
            <w:pPr>
              <w:spacing w:after="0" w:line="245" w:lineRule="auto"/>
            </w:pPr>
            <w:r>
              <w:rPr>
                <w:rFonts w:ascii="Arial" w:hAnsi="Arial"/>
                <w:b w:val="0"/>
                <w:i w:val="0"/>
                <w:color w:val="17213A"/>
                <w:sz w:val="16"/>
              </w:rPr>
              <w:t>LRN-02</w:t>
            </w:r>
          </w:p>
        </w:tc>
        <w:tc>
          <w:tcPr>
            <w:tcW w:type="dxa" w:w="5080"/>
            <w:tcMar>
              <w:top w:w="80" w:type="dxa"/>
              <w:start w:w="120" w:type="dxa"/>
              <w:bottom w:w="80" w:type="dxa"/>
              <w:end w:w="120" w:type="dxa"/>
            </w:tcMar>
            <w:vAlign w:val="center"/>
          </w:tcPr>
          <w:p>
            <w:pPr>
              <w:spacing w:after="0" w:line="245" w:lineRule="auto"/>
            </w:pPr>
            <w:r>
              <w:rPr>
                <w:rFonts w:ascii="Arial" w:hAnsi="Arial"/>
                <w:b w:val="0"/>
                <w:i w:val="0"/>
                <w:color w:val="17213A"/>
                <w:sz w:val="16"/>
              </w:rPr>
              <w:t>Complete orientation, Gita context, key concepts and how to study a verse.</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4. Determine readiness</w:t>
            </w:r>
          </w:p>
        </w:tc>
        <w:tc>
          <w:tcPr>
            <w:tcW w:type="dxa" w:w="24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LRN-03</w:t>
            </w:r>
          </w:p>
        </w:tc>
        <w:tc>
          <w:tcPr>
            <w:tcW w:type="dxa" w:w="50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Produce explainable placement: bridge activity, recommended start or approved bypass.</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5. Navigate the course</w:t>
            </w:r>
          </w:p>
        </w:tc>
        <w:tc>
          <w:tcPr>
            <w:tcW w:type="dxa" w:w="2480"/>
            <w:tcMar>
              <w:top w:w="80" w:type="dxa"/>
              <w:start w:w="120" w:type="dxa"/>
              <w:bottom w:w="80" w:type="dxa"/>
              <w:end w:w="120" w:type="dxa"/>
            </w:tcMar>
            <w:vAlign w:val="center"/>
          </w:tcPr>
          <w:p>
            <w:pPr>
              <w:spacing w:after="0" w:line="245" w:lineRule="auto"/>
            </w:pPr>
            <w:r>
              <w:rPr>
                <w:rFonts w:ascii="Arial" w:hAnsi="Arial"/>
                <w:b w:val="0"/>
                <w:i w:val="0"/>
                <w:color w:val="17213A"/>
                <w:sz w:val="16"/>
              </w:rPr>
              <w:t>LRN-01; LRN-04–05</w:t>
            </w:r>
          </w:p>
        </w:tc>
        <w:tc>
          <w:tcPr>
            <w:tcW w:type="dxa" w:w="5080"/>
            <w:tcMar>
              <w:top w:w="80" w:type="dxa"/>
              <w:start w:w="120" w:type="dxa"/>
              <w:bottom w:w="80" w:type="dxa"/>
              <w:end w:w="120" w:type="dxa"/>
            </w:tcMar>
            <w:vAlign w:val="center"/>
          </w:tcPr>
          <w:p>
            <w:pPr>
              <w:spacing w:after="0" w:line="245" w:lineRule="auto"/>
            </w:pPr>
            <w:r>
              <w:rPr>
                <w:rFonts w:ascii="Arial" w:hAnsi="Arial"/>
                <w:b w:val="0"/>
                <w:i w:val="0"/>
                <w:color w:val="17213A"/>
                <w:sz w:val="16"/>
              </w:rPr>
              <w:t>Show all 18 chapters, gating reason, evidence state, effort and next action.</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6. Repeat chapter loop</w:t>
            </w:r>
          </w:p>
        </w:tc>
        <w:tc>
          <w:tcPr>
            <w:tcW w:type="dxa" w:w="24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LRN-06–15</w:t>
            </w:r>
          </w:p>
        </w:tc>
        <w:tc>
          <w:tcPr>
            <w:tcW w:type="dxa" w:w="50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Learn → verse study → reflect/practise → assess → result → remediate/revise.</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7. Complete programme</w:t>
            </w:r>
          </w:p>
        </w:tc>
        <w:tc>
          <w:tcPr>
            <w:tcW w:type="dxa" w:w="2480"/>
            <w:tcMar>
              <w:top w:w="80" w:type="dxa"/>
              <w:start w:w="120" w:type="dxa"/>
              <w:bottom w:w="80" w:type="dxa"/>
              <w:end w:w="120" w:type="dxa"/>
            </w:tcMar>
            <w:vAlign w:val="center"/>
          </w:tcPr>
          <w:p>
            <w:pPr>
              <w:spacing w:after="0" w:line="245" w:lineRule="auto"/>
            </w:pPr>
            <w:r>
              <w:rPr>
                <w:rFonts w:ascii="Arial" w:hAnsi="Arial"/>
                <w:b w:val="0"/>
                <w:i w:val="0"/>
                <w:color w:val="17213A"/>
                <w:sz w:val="16"/>
              </w:rPr>
              <w:t>LRN-13; LRN-19</w:t>
            </w:r>
          </w:p>
        </w:tc>
        <w:tc>
          <w:tcPr>
            <w:tcW w:type="dxa" w:w="5080"/>
            <w:tcMar>
              <w:top w:w="80" w:type="dxa"/>
              <w:start w:w="120" w:type="dxa"/>
              <w:bottom w:w="80" w:type="dxa"/>
              <w:end w:w="120" w:type="dxa"/>
            </w:tcMar>
            <w:vAlign w:val="center"/>
          </w:tcPr>
          <w:p>
            <w:pPr>
              <w:spacing w:after="0" w:line="245" w:lineRule="auto"/>
            </w:pPr>
            <w:r>
              <w:rPr>
                <w:rFonts w:ascii="Arial" w:hAnsi="Arial"/>
                <w:b w:val="0"/>
                <w:i w:val="0"/>
                <w:color w:val="17213A"/>
                <w:sz w:val="16"/>
              </w:rPr>
              <w:t>Apply versioned completion rules and issue a verifiable, revocable certificate.</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8. Continue learning</w:t>
            </w:r>
          </w:p>
        </w:tc>
        <w:tc>
          <w:tcPr>
            <w:tcW w:type="dxa" w:w="24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LRN-15–18; LRN-20–21</w:t>
            </w:r>
          </w:p>
        </w:tc>
        <w:tc>
          <w:tcPr>
            <w:tcW w:type="dxa" w:w="50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Support revision, saved content, privacy choices and help.</w:t>
            </w:r>
          </w:p>
        </w:tc>
      </w:tr>
    </w:tbl>
    <w:p>
      <w:pPr>
        <w:spacing w:before="100" w:after="140"/>
        <w:ind w:left="115" w:right="29"/>
        <w:shd w:fill="FFF0DF"/>
        <w:pBdr>
          <w:top w:val="single" w:sz="3" w:color="D9832E" w:space="7"/>
          <w:left w:val="single" w:sz="14" w:color="D9832E" w:space="7"/>
          <w:bottom w:val="single" w:sz="3" w:color="D9832E" w:space="7"/>
          <w:right w:val="single" w:sz="3" w:color="D9832E" w:space="7"/>
        </w:pBdr>
      </w:pPr>
      <w:r>
        <w:rPr>
          <w:rFonts w:ascii="Arial" w:hAnsi="Arial"/>
          <w:b/>
          <w:i w:val="0"/>
          <w:color w:val="D9832E"/>
          <w:sz w:val="19"/>
        </w:rPr>
        <w:t xml:space="preserve">NO HIDDEN GATES: </w:t>
      </w:r>
      <w:r>
        <w:rPr>
          <w:rFonts w:ascii="Arial" w:hAnsi="Arial"/>
          <w:b w:val="0"/>
          <w:i w:val="0"/>
          <w:color w:val="17213A"/>
          <w:sz w:val="19"/>
        </w:rPr>
        <w:t>Every lock has a visible reason, the evidence needed to unlock it, and an accessible next action. Experienced learners may bypass only where the programme policy explicitly allows it.</w:t>
      </w:r>
    </w:p>
    <w:p>
      <w:pPr>
        <w:sectPr>
          <w:pgSz w:w="12240" w:h="15840"/>
          <w:pgMar w:top="1440" w:right="1440" w:bottom="1440" w:left="1440" w:header="708" w:footer="708" w:gutter="0"/>
          <w:cols w:space="720"/>
          <w:docGrid w:linePitch="360"/>
        </w:sectPr>
      </w:pPr>
    </w:p>
    <w:p>
      <w:pPr>
        <w:pStyle w:val="Heading1"/>
      </w:pPr>
      <w:r>
        <w:t>Recommended 18-chapter spine — chapters 1–9</w:t>
      </w:r>
    </w:p>
    <w:p>
      <w:pPr>
        <w:spacing w:before="0" w:after="100"/>
      </w:pPr>
      <w:r>
        <w:rPr>
          <w:rFonts w:ascii="Arial" w:hAnsi="Arial"/>
          <w:b w:val="0"/>
          <w:i/>
          <w:color w:val="6D7282"/>
          <w:sz w:val="18"/>
        </w:rPr>
        <w:t>Chapter titles are reference labels; the active edition controls the approved Sanskrit title, transliteration, translation, ordering labels and learning interpretation.</w:t>
      </w:r>
    </w:p>
    <w:tbl>
      <w:tblPr>
        <w:tblStyle w:val="TableGrid"/>
        <w:tblW w:type="dxa" w:w="9360"/>
        <w:tblLayout w:type="fixed"/>
        <w:tblLook w:firstColumn="1" w:firstRow="1" w:lastColumn="0" w:lastRow="0" w:noHBand="0" w:noVBand="1" w:val="04A0"/>
        <w:jc w:val="left"/>
        <w:tblInd w:w="120" w:type="dxa"/>
      </w:tblPr>
      <w:tblGrid>
        <w:gridCol w:w="700"/>
        <w:gridCol w:w="3000"/>
        <w:gridCol w:w="5660"/>
      </w:tblGrid>
      <w:tr>
        <w:trPr>
          <w:tblHeader/>
        </w:trPr>
        <w:tc>
          <w:tcPr>
            <w:tcW w:type="dxa" w:w="700"/>
            <w:tcMar>
              <w:top w:w="80" w:type="dxa"/>
              <w:start w:w="120" w:type="dxa"/>
              <w:bottom w:w="80" w:type="dxa"/>
              <w:end w:w="120" w:type="dxa"/>
            </w:tcMar>
            <w:vAlign w:val="center"/>
            <w:shd w:fill="18264F"/>
          </w:tcPr>
          <w:p>
            <w:pPr>
              <w:spacing w:after="0"/>
            </w:pPr>
            <w:r>
              <w:rPr>
                <w:rFonts w:ascii="Arial" w:hAnsi="Arial"/>
                <w:b/>
                <w:i w:val="0"/>
                <w:color w:val="FFFFFF"/>
                <w:sz w:val="16"/>
              </w:rPr>
              <w:t>Ch.</w:t>
            </w:r>
          </w:p>
        </w:tc>
        <w:tc>
          <w:tcPr>
            <w:tcW w:type="dxa" w:w="3000"/>
            <w:tcMar>
              <w:top w:w="80" w:type="dxa"/>
              <w:start w:w="120" w:type="dxa"/>
              <w:bottom w:w="80" w:type="dxa"/>
              <w:end w:w="120" w:type="dxa"/>
            </w:tcMar>
            <w:vAlign w:val="center"/>
            <w:shd w:fill="18264F"/>
          </w:tcPr>
          <w:p>
            <w:pPr>
              <w:spacing w:after="0"/>
            </w:pPr>
            <w:r>
              <w:rPr>
                <w:rFonts w:ascii="Arial" w:hAnsi="Arial"/>
                <w:b/>
                <w:i w:val="0"/>
                <w:color w:val="FFFFFF"/>
                <w:sz w:val="16"/>
              </w:rPr>
              <w:t>Reference label</w:t>
            </w:r>
          </w:p>
        </w:tc>
        <w:tc>
          <w:tcPr>
            <w:tcW w:type="dxa" w:w="5660"/>
            <w:tcMar>
              <w:top w:w="80" w:type="dxa"/>
              <w:start w:w="120" w:type="dxa"/>
              <w:bottom w:w="80" w:type="dxa"/>
              <w:end w:w="120" w:type="dxa"/>
            </w:tcMar>
            <w:vAlign w:val="center"/>
            <w:shd w:fill="18264F"/>
          </w:tcPr>
          <w:p>
            <w:pPr>
              <w:spacing w:after="0"/>
            </w:pPr>
            <w:r>
              <w:rPr>
                <w:rFonts w:ascii="Arial" w:hAnsi="Arial"/>
                <w:b/>
                <w:i w:val="0"/>
                <w:color w:val="FFFFFF"/>
                <w:sz w:val="16"/>
              </w:rPr>
              <w:t>Learning emphasis</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1</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Arjuna Viṣāda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Context, moral conflict and the learner’s central question.</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2</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Sāṅkhya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Self, right understanding, disciplined action and steady wisdom.</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3</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Karma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Selfless action, responsibility and freedom from attachment to results.</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4</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Jñāna Karma Sannyāsa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Knowledge, action, teaching lineage and transformative understanding.</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5</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Karma Sannyāsa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Renunciation, service and the relationship between knowledge and action.</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6</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Dhyāna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Meditation, self-mastery, balance and compassionate practice.</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7</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Jñāna Vijñāna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Knowledge and realised understanding of the divine.</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8</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Akṣara Brahma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The imperishable, remembrance and the direction of a life.</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9</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Rāja Vidyā Rāja Guhya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The most confidential knowledge, devotion and divine presence.</w:t>
            </w:r>
          </w:p>
        </w:tc>
      </w:tr>
    </w:tbl>
    <w:p>
      <w:pPr>
        <w:pStyle w:val="Heading2"/>
      </w:pPr>
      <w:r>
        <w:t>Chapter delivery contract</w:t>
      </w:r>
    </w:p>
    <w:p>
      <w:pPr>
        <w:pStyle w:val="ListBullet"/>
      </w:pPr>
      <w:r>
        <w:rPr>
          <w:rFonts w:ascii="Arial" w:hAnsi="Arial"/>
          <w:b w:val="0"/>
          <w:i w:val="0"/>
          <w:color w:val="17213A"/>
          <w:sz w:val="20"/>
        </w:rPr>
        <w:t>Each chapter is a configurable module with orientation, outcomes, essential verses, multimodal lessons, glossary concepts, private reflection, practice, assessment, remediation and completion evidence.</w:t>
      </w:r>
    </w:p>
    <w:p>
      <w:pPr>
        <w:pStyle w:val="ListBullet"/>
      </w:pPr>
      <w:r>
        <w:rPr>
          <w:rFonts w:ascii="Arial" w:hAnsi="Arial"/>
          <w:b w:val="0"/>
          <w:i w:val="0"/>
          <w:color w:val="17213A"/>
          <w:sz w:val="20"/>
        </w:rPr>
        <w:t>The shell must support the same loop across all chapters while allowing edition- and audience-specific content, activity mix, time estimate, pass rule and teaching support.</w:t>
      </w:r>
    </w:p>
    <w:p>
      <w:pPr>
        <w:sectPr>
          <w:pgSz w:w="12240" w:h="15840"/>
          <w:pgMar w:top="1440" w:right="1440" w:bottom="1440" w:left="1440" w:header="708" w:footer="708" w:gutter="0"/>
          <w:cols w:space="720"/>
          <w:docGrid w:linePitch="360"/>
        </w:sectPr>
      </w:pPr>
    </w:p>
    <w:p>
      <w:pPr>
        <w:pStyle w:val="Heading1"/>
      </w:pPr>
      <w:r>
        <w:t>Recommended 18-chapter spine — chapters 10–18</w:t>
      </w:r>
    </w:p>
    <w:tbl>
      <w:tblPr>
        <w:tblStyle w:val="TableGrid"/>
        <w:tblW w:type="dxa" w:w="9360"/>
        <w:tblLayout w:type="fixed"/>
        <w:tblLook w:firstColumn="1" w:firstRow="1" w:lastColumn="0" w:lastRow="0" w:noHBand="0" w:noVBand="1" w:val="04A0"/>
        <w:jc w:val="left"/>
        <w:tblInd w:w="120" w:type="dxa"/>
      </w:tblPr>
      <w:tblGrid>
        <w:gridCol w:w="700"/>
        <w:gridCol w:w="3000"/>
        <w:gridCol w:w="5660"/>
      </w:tblGrid>
      <w:tr>
        <w:trPr>
          <w:tblHeader/>
        </w:trPr>
        <w:tc>
          <w:tcPr>
            <w:tcW w:type="dxa" w:w="700"/>
            <w:tcMar>
              <w:top w:w="80" w:type="dxa"/>
              <w:start w:w="120" w:type="dxa"/>
              <w:bottom w:w="80" w:type="dxa"/>
              <w:end w:w="120" w:type="dxa"/>
            </w:tcMar>
            <w:vAlign w:val="center"/>
            <w:shd w:fill="18264F"/>
          </w:tcPr>
          <w:p>
            <w:pPr>
              <w:spacing w:after="0"/>
            </w:pPr>
            <w:r>
              <w:rPr>
                <w:rFonts w:ascii="Arial" w:hAnsi="Arial"/>
                <w:b/>
                <w:i w:val="0"/>
                <w:color w:val="FFFFFF"/>
                <w:sz w:val="16"/>
              </w:rPr>
              <w:t>Ch.</w:t>
            </w:r>
          </w:p>
        </w:tc>
        <w:tc>
          <w:tcPr>
            <w:tcW w:type="dxa" w:w="3000"/>
            <w:tcMar>
              <w:top w:w="80" w:type="dxa"/>
              <w:start w:w="120" w:type="dxa"/>
              <w:bottom w:w="80" w:type="dxa"/>
              <w:end w:w="120" w:type="dxa"/>
            </w:tcMar>
            <w:vAlign w:val="center"/>
            <w:shd w:fill="18264F"/>
          </w:tcPr>
          <w:p>
            <w:pPr>
              <w:spacing w:after="0"/>
            </w:pPr>
            <w:r>
              <w:rPr>
                <w:rFonts w:ascii="Arial" w:hAnsi="Arial"/>
                <w:b/>
                <w:i w:val="0"/>
                <w:color w:val="FFFFFF"/>
                <w:sz w:val="16"/>
              </w:rPr>
              <w:t>Reference label</w:t>
            </w:r>
          </w:p>
        </w:tc>
        <w:tc>
          <w:tcPr>
            <w:tcW w:type="dxa" w:w="5660"/>
            <w:tcMar>
              <w:top w:w="80" w:type="dxa"/>
              <w:start w:w="120" w:type="dxa"/>
              <w:bottom w:w="80" w:type="dxa"/>
              <w:end w:w="120" w:type="dxa"/>
            </w:tcMar>
            <w:vAlign w:val="center"/>
            <w:shd w:fill="18264F"/>
          </w:tcPr>
          <w:p>
            <w:pPr>
              <w:spacing w:after="0"/>
            </w:pPr>
            <w:r>
              <w:rPr>
                <w:rFonts w:ascii="Arial" w:hAnsi="Arial"/>
                <w:b/>
                <w:i w:val="0"/>
                <w:color w:val="FFFFFF"/>
                <w:sz w:val="16"/>
              </w:rPr>
              <w:t>Learning emphasis</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10</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Vibhūti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Recognising divine manifestations and cultivating attentive perception.</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11</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Viśvarūpa Darśana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The universal form, awe, duty and transformed understanding.</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12</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Bhakti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Devotion, relationship and qualities of a devoted practitioner.</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13</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Kṣetra Kṣetrajña Vibhāga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The field, the knower and discriminating knowledge.</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14</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Guṇatraya Vibhāga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The three guṇas, observable patterns and transcendence.</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15</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Puruṣottama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The cosmic tree, the self and the Supreme Person.</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16</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Daivāsura Sampad Vibhāga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Constructive and destructive qualities; ethical self-reflection.</w:t>
            </w:r>
          </w:p>
        </w:tc>
      </w:tr>
      <w:tr>
        <w:trPr>
          <w:cantSplit/>
        </w:trPr>
        <w:tc>
          <w:tcPr>
            <w:tcW w:type="dxa" w:w="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17</w:t>
            </w:r>
          </w:p>
        </w:tc>
        <w:tc>
          <w:tcPr>
            <w:tcW w:type="dxa" w:w="3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Śraddhātraya Vibhāga Yoga</w:t>
            </w:r>
          </w:p>
        </w:tc>
        <w:tc>
          <w:tcPr>
            <w:tcW w:type="dxa" w:w="5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Threefold faith, intention and the qualities shaping practice.</w:t>
            </w:r>
          </w:p>
        </w:tc>
      </w:tr>
      <w:tr>
        <w:trPr>
          <w:cantSplit/>
        </w:trPr>
        <w:tc>
          <w:tcPr>
            <w:tcW w:type="dxa" w:w="700"/>
            <w:tcMar>
              <w:top w:w="80" w:type="dxa"/>
              <w:start w:w="120" w:type="dxa"/>
              <w:bottom w:w="80" w:type="dxa"/>
              <w:end w:w="120" w:type="dxa"/>
            </w:tcMar>
            <w:vAlign w:val="center"/>
          </w:tcPr>
          <w:p>
            <w:pPr>
              <w:spacing w:after="0" w:line="245" w:lineRule="auto"/>
            </w:pPr>
            <w:r>
              <w:rPr>
                <w:rFonts w:ascii="Arial" w:hAnsi="Arial"/>
                <w:b w:val="0"/>
                <w:i w:val="0"/>
                <w:color w:val="17213A"/>
                <w:sz w:val="16"/>
              </w:rPr>
              <w:t>18</w:t>
            </w:r>
          </w:p>
        </w:tc>
        <w:tc>
          <w:tcPr>
            <w:tcW w:type="dxa" w:w="3000"/>
            <w:tcMar>
              <w:top w:w="80" w:type="dxa"/>
              <w:start w:w="120" w:type="dxa"/>
              <w:bottom w:w="80" w:type="dxa"/>
              <w:end w:w="120" w:type="dxa"/>
            </w:tcMar>
            <w:vAlign w:val="center"/>
          </w:tcPr>
          <w:p>
            <w:pPr>
              <w:spacing w:after="0" w:line="245" w:lineRule="auto"/>
            </w:pPr>
            <w:r>
              <w:rPr>
                <w:rFonts w:ascii="Arial" w:hAnsi="Arial"/>
                <w:b w:val="0"/>
                <w:i w:val="0"/>
                <w:color w:val="17213A"/>
                <w:sz w:val="16"/>
              </w:rPr>
              <w:t>Mokṣa Sannyāsa Yoga</w:t>
            </w:r>
          </w:p>
        </w:tc>
        <w:tc>
          <w:tcPr>
            <w:tcW w:type="dxa" w:w="5660"/>
            <w:tcMar>
              <w:top w:w="80" w:type="dxa"/>
              <w:start w:w="120" w:type="dxa"/>
              <w:bottom w:w="80" w:type="dxa"/>
              <w:end w:w="120" w:type="dxa"/>
            </w:tcMar>
            <w:vAlign w:val="center"/>
          </w:tcPr>
          <w:p>
            <w:pPr>
              <w:spacing w:after="0" w:line="245" w:lineRule="auto"/>
            </w:pPr>
            <w:r>
              <w:rPr>
                <w:rFonts w:ascii="Arial" w:hAnsi="Arial"/>
                <w:b w:val="0"/>
                <w:i w:val="0"/>
                <w:color w:val="17213A"/>
                <w:sz w:val="16"/>
              </w:rPr>
              <w:t>Synthesis, discernment, surrender, liberation and committed action.</w:t>
            </w:r>
          </w:p>
        </w:tc>
      </w:tr>
    </w:tbl>
    <w:p>
      <w:pPr>
        <w:pStyle w:val="Heading2"/>
      </w:pPr>
      <w:r>
        <w:t>Progress and assessment rules</w:t>
      </w:r>
    </w:p>
    <w:p>
      <w:pPr>
        <w:pStyle w:val="ListBullet"/>
      </w:pPr>
      <w:r>
        <w:rPr>
          <w:rFonts w:ascii="Arial" w:hAnsi="Arial"/>
          <w:b w:val="0"/>
          <w:i w:val="0"/>
          <w:color w:val="17213A"/>
          <w:sz w:val="20"/>
        </w:rPr>
        <w:t>Progress is evidence-based and append-only: started, activity completed, outcome demonstrated, revision due, passed, superseded or revoked. Percentages are derived, never the sole source of truth.</w:t>
      </w:r>
    </w:p>
    <w:p>
      <w:pPr>
        <w:pStyle w:val="ListBullet"/>
      </w:pPr>
      <w:r>
        <w:rPr>
          <w:rFonts w:ascii="Arial" w:hAnsi="Arial"/>
          <w:b w:val="0"/>
          <w:i w:val="0"/>
          <w:color w:val="17213A"/>
          <w:sz w:val="20"/>
        </w:rPr>
        <w:t>Assessment attempts, item version, pass rule and accommodations are captured with the evidence. Retakes never overwrite prior attempts.</w:t>
      </w:r>
    </w:p>
    <w:p>
      <w:pPr>
        <w:pStyle w:val="ListBullet"/>
      </w:pPr>
      <w:r>
        <w:rPr>
          <w:rFonts w:ascii="Arial" w:hAnsi="Arial"/>
          <w:b w:val="0"/>
          <w:i w:val="0"/>
          <w:color w:val="17213A"/>
          <w:sz w:val="20"/>
        </w:rPr>
        <w:t>Private reflections are excluded from teacher/admin analytics unless the learner makes a deliberate, scoped submission; disclosure defaults to off.</w:t>
      </w:r>
    </w:p>
    <w:p>
      <w:pPr>
        <w:sectPr>
          <w:pgSz w:w="12240" w:h="15840"/>
          <w:pgMar w:top="1440" w:right="1440" w:bottom="1440" w:left="1440" w:header="708" w:footer="708" w:gutter="0"/>
          <w:cols w:space="720"/>
          <w:docGrid w:linePitch="360"/>
        </w:sectPr>
      </w:pPr>
    </w:p>
    <w:p>
      <w:pPr>
        <w:pStyle w:val="Heading1"/>
      </w:pPr>
      <w:r>
        <w:t>4. Responsive shell, shared components and key states</w:t>
      </w:r>
    </w:p>
    <w:p>
      <w:pPr>
        <w:pStyle w:val="Heading2"/>
      </w:pPr>
      <w:r>
        <w:t>Responsive behaviour and verification widths</w:t>
      </w:r>
    </w:p>
    <w:tbl>
      <w:tblPr>
        <w:tblStyle w:val="TableGrid"/>
        <w:tblW w:type="dxa" w:w="9360"/>
        <w:tblLayout w:type="fixed"/>
        <w:tblLook w:firstColumn="1" w:firstRow="1" w:lastColumn="0" w:lastRow="0" w:noHBand="0" w:noVBand="1" w:val="04A0"/>
        <w:jc w:val="left"/>
        <w:tblInd w:w="120" w:type="dxa"/>
      </w:tblPr>
      <w:tblGrid>
        <w:gridCol w:w="1500"/>
        <w:gridCol w:w="2000"/>
        <w:gridCol w:w="5860"/>
      </w:tblGrid>
      <w:tr>
        <w:trPr>
          <w:tblHeader/>
        </w:trPr>
        <w:tc>
          <w:tcPr>
            <w:tcW w:type="dxa" w:w="1500"/>
            <w:tcMar>
              <w:top w:w="80" w:type="dxa"/>
              <w:start w:w="120" w:type="dxa"/>
              <w:bottom w:w="80" w:type="dxa"/>
              <w:end w:w="120" w:type="dxa"/>
            </w:tcMar>
            <w:vAlign w:val="center"/>
            <w:shd w:fill="18264F"/>
          </w:tcPr>
          <w:p>
            <w:pPr>
              <w:spacing w:after="0"/>
            </w:pPr>
            <w:r>
              <w:rPr>
                <w:rFonts w:ascii="Arial" w:hAnsi="Arial"/>
                <w:b/>
                <w:i w:val="0"/>
                <w:color w:val="FFFFFF"/>
                <w:sz w:val="16"/>
              </w:rPr>
              <w:t>Class</w:t>
            </w:r>
          </w:p>
        </w:tc>
        <w:tc>
          <w:tcPr>
            <w:tcW w:type="dxa" w:w="2000"/>
            <w:tcMar>
              <w:top w:w="80" w:type="dxa"/>
              <w:start w:w="120" w:type="dxa"/>
              <w:bottom w:w="80" w:type="dxa"/>
              <w:end w:w="120" w:type="dxa"/>
            </w:tcMar>
            <w:vAlign w:val="center"/>
            <w:shd w:fill="18264F"/>
          </w:tcPr>
          <w:p>
            <w:pPr>
              <w:spacing w:after="0"/>
            </w:pPr>
            <w:r>
              <w:rPr>
                <w:rFonts w:ascii="Arial" w:hAnsi="Arial"/>
                <w:b/>
                <w:i w:val="0"/>
                <w:color w:val="FFFFFF"/>
                <w:sz w:val="16"/>
              </w:rPr>
              <w:t>Verification widths</w:t>
            </w:r>
          </w:p>
        </w:tc>
        <w:tc>
          <w:tcPr>
            <w:tcW w:type="dxa" w:w="5860"/>
            <w:tcMar>
              <w:top w:w="80" w:type="dxa"/>
              <w:start w:w="120" w:type="dxa"/>
              <w:bottom w:w="80" w:type="dxa"/>
              <w:end w:w="120" w:type="dxa"/>
            </w:tcMar>
            <w:vAlign w:val="center"/>
            <w:shd w:fill="18264F"/>
          </w:tcPr>
          <w:p>
            <w:pPr>
              <w:spacing w:after="0"/>
            </w:pPr>
            <w:r>
              <w:rPr>
                <w:rFonts w:ascii="Arial" w:hAnsi="Arial"/>
                <w:b/>
                <w:i w:val="0"/>
                <w:color w:val="FFFFFF"/>
                <w:sz w:val="16"/>
              </w:rPr>
              <w:t>Required shell behaviour</w:t>
            </w:r>
          </w:p>
        </w:tc>
      </w:tr>
      <w:tr>
        <w:trPr>
          <w:cantSplit/>
        </w:trPr>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6"/>
              </w:rPr>
              <w:t>Compact phone</w:t>
            </w:r>
          </w:p>
        </w:tc>
        <w:tc>
          <w:tcPr>
            <w:tcW w:type="dxa" w:w="2000"/>
            <w:tcMar>
              <w:top w:w="80" w:type="dxa"/>
              <w:start w:w="120" w:type="dxa"/>
              <w:bottom w:w="80" w:type="dxa"/>
              <w:end w:w="120" w:type="dxa"/>
            </w:tcMar>
            <w:vAlign w:val="center"/>
          </w:tcPr>
          <w:p>
            <w:pPr>
              <w:spacing w:after="0" w:line="245" w:lineRule="auto"/>
            </w:pPr>
            <w:r>
              <w:rPr>
                <w:rFonts w:ascii="Arial" w:hAnsi="Arial"/>
                <w:b w:val="0"/>
                <w:i w:val="0"/>
                <w:color w:val="17213A"/>
                <w:sz w:val="16"/>
              </w:rPr>
              <w:t>320, 360, 390 CSS px</w:t>
            </w:r>
          </w:p>
        </w:tc>
        <w:tc>
          <w:tcPr>
            <w:tcW w:type="dxa" w:w="5860"/>
            <w:tcMar>
              <w:top w:w="80" w:type="dxa"/>
              <w:start w:w="120" w:type="dxa"/>
              <w:bottom w:w="80" w:type="dxa"/>
              <w:end w:w="120" w:type="dxa"/>
            </w:tcMar>
            <w:vAlign w:val="center"/>
          </w:tcPr>
          <w:p>
            <w:pPr>
              <w:spacing w:after="0" w:line="245" w:lineRule="auto"/>
            </w:pPr>
            <w:r>
              <w:rPr>
                <w:rFonts w:ascii="Arial" w:hAnsi="Arial"/>
                <w:b w:val="0"/>
                <w:i w:val="0"/>
                <w:color w:val="17213A"/>
                <w:sz w:val="16"/>
              </w:rPr>
              <w:t>Single column; bottom navigation; sticky next action that does not obscure focus; sheets for context; no horizontal page scroll.</w:t>
            </w:r>
          </w:p>
        </w:tc>
      </w:tr>
      <w:tr>
        <w:trPr>
          <w:cantSplit/>
        </w:trPr>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Large phone</w:t>
            </w:r>
          </w:p>
        </w:tc>
        <w:tc>
          <w:tcPr>
            <w:tcW w:type="dxa" w:w="2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414, 430 CSS px</w:t>
            </w:r>
          </w:p>
        </w:tc>
        <w:tc>
          <w:tcPr>
            <w:tcW w:type="dxa" w:w="5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Same task order; richer media controls; long Sanskrit and translation reflow; safe-area and dynamic-type support.</w:t>
            </w:r>
          </w:p>
        </w:tc>
      </w:tr>
      <w:tr>
        <w:trPr>
          <w:cantSplit/>
        </w:trPr>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6"/>
              </w:rPr>
              <w:t>Tablet</w:t>
            </w:r>
          </w:p>
        </w:tc>
        <w:tc>
          <w:tcPr>
            <w:tcW w:type="dxa" w:w="2000"/>
            <w:tcMar>
              <w:top w:w="80" w:type="dxa"/>
              <w:start w:w="120" w:type="dxa"/>
              <w:bottom w:w="80" w:type="dxa"/>
              <w:end w:w="120" w:type="dxa"/>
            </w:tcMar>
            <w:vAlign w:val="center"/>
          </w:tcPr>
          <w:p>
            <w:pPr>
              <w:spacing w:after="0" w:line="245" w:lineRule="auto"/>
            </w:pPr>
            <w:r>
              <w:rPr>
                <w:rFonts w:ascii="Arial" w:hAnsi="Arial"/>
                <w:b w:val="0"/>
                <w:i w:val="0"/>
                <w:color w:val="17213A"/>
                <w:sz w:val="16"/>
              </w:rPr>
              <w:t>768, 820, 1024 CSS px</w:t>
            </w:r>
          </w:p>
        </w:tc>
        <w:tc>
          <w:tcPr>
            <w:tcW w:type="dxa" w:w="5860"/>
            <w:tcMar>
              <w:top w:w="80" w:type="dxa"/>
              <w:start w:w="120" w:type="dxa"/>
              <w:bottom w:w="80" w:type="dxa"/>
              <w:end w:w="120" w:type="dxa"/>
            </w:tcMar>
            <w:vAlign w:val="center"/>
          </w:tcPr>
          <w:p>
            <w:pPr>
              <w:spacing w:after="0" w:line="245" w:lineRule="auto"/>
            </w:pPr>
            <w:r>
              <w:rPr>
                <w:rFonts w:ascii="Arial" w:hAnsi="Arial"/>
                <w:b w:val="0"/>
                <w:i w:val="0"/>
                <w:color w:val="17213A"/>
                <w:sz w:val="16"/>
              </w:rPr>
              <w:t>Collapsible rail; optional two-pane teacher/content detail; touch targets remain primary; portrait and landscape tested.</w:t>
            </w:r>
          </w:p>
        </w:tc>
      </w:tr>
      <w:tr>
        <w:trPr>
          <w:cantSplit/>
        </w:trPr>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Laptop / desktop</w:t>
            </w:r>
          </w:p>
        </w:tc>
        <w:tc>
          <w:tcPr>
            <w:tcW w:type="dxa" w:w="2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1280, 1366 CSS px</w:t>
            </w:r>
          </w:p>
        </w:tc>
        <w:tc>
          <w:tcPr>
            <w:tcW w:type="dxa" w:w="5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Persistent contextual rail where useful; comparison and preview panes; keyboard-complete workflows.</w:t>
            </w:r>
          </w:p>
        </w:tc>
      </w:tr>
      <w:tr>
        <w:trPr>
          <w:cantSplit/>
        </w:trPr>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6"/>
              </w:rPr>
              <w:t>Wide desktop</w:t>
            </w:r>
          </w:p>
        </w:tc>
        <w:tc>
          <w:tcPr>
            <w:tcW w:type="dxa" w:w="2000"/>
            <w:tcMar>
              <w:top w:w="80" w:type="dxa"/>
              <w:start w:w="120" w:type="dxa"/>
              <w:bottom w:w="80" w:type="dxa"/>
              <w:end w:w="120" w:type="dxa"/>
            </w:tcMar>
            <w:vAlign w:val="center"/>
          </w:tcPr>
          <w:p>
            <w:pPr>
              <w:spacing w:after="0" w:line="245" w:lineRule="auto"/>
            </w:pPr>
            <w:r>
              <w:rPr>
                <w:rFonts w:ascii="Arial" w:hAnsi="Arial"/>
                <w:b w:val="0"/>
                <w:i w:val="0"/>
                <w:color w:val="17213A"/>
                <w:sz w:val="16"/>
              </w:rPr>
              <w:t>1440, 1920 CSS px</w:t>
            </w:r>
          </w:p>
        </w:tc>
        <w:tc>
          <w:tcPr>
            <w:tcW w:type="dxa" w:w="5860"/>
            <w:tcMar>
              <w:top w:w="80" w:type="dxa"/>
              <w:start w:w="120" w:type="dxa"/>
              <w:bottom w:w="80" w:type="dxa"/>
              <w:end w:w="120" w:type="dxa"/>
            </w:tcMar>
            <w:vAlign w:val="center"/>
          </w:tcPr>
          <w:p>
            <w:pPr>
              <w:spacing w:after="0" w:line="245" w:lineRule="auto"/>
            </w:pPr>
            <w:r>
              <w:rPr>
                <w:rFonts w:ascii="Arial" w:hAnsi="Arial"/>
                <w:b w:val="0"/>
                <w:i w:val="0"/>
                <w:color w:val="17213A"/>
                <w:sz w:val="16"/>
              </w:rPr>
              <w:t>Constrain scripture/reading measure; extra width supports evidence, preview and comparison—not longer lines.</w:t>
            </w:r>
          </w:p>
        </w:tc>
      </w:tr>
    </w:tbl>
    <w:p>
      <w:pPr>
        <w:spacing w:before="0" w:after="100"/>
      </w:pPr>
      <w:r>
        <w:rPr>
          <w:rFonts w:ascii="Arial" w:hAnsi="Arial"/>
          <w:b w:val="0"/>
          <w:i/>
          <w:color w:val="6D7282"/>
          <w:sz w:val="18"/>
        </w:rPr>
        <w:t>Breakpoints are content-driven. The widths above are regression fixtures, not a licence to optimise only for those devices.</w:t>
      </w:r>
    </w:p>
    <w:p>
      <w:pPr>
        <w:pStyle w:val="Heading2"/>
      </w:pPr>
      <w:r>
        <w:t>Family-specific adaptations</w:t>
      </w:r>
    </w:p>
    <w:tbl>
      <w:tblPr>
        <w:tblStyle w:val="TableGrid"/>
        <w:tblW w:type="dxa" w:w="9360"/>
        <w:tblLayout w:type="fixed"/>
        <w:tblLook w:firstColumn="1" w:firstRow="1" w:lastColumn="0" w:lastRow="0" w:noHBand="0" w:noVBand="1" w:val="04A0"/>
        <w:jc w:val="left"/>
        <w:tblInd w:w="120" w:type="dxa"/>
      </w:tblPr>
      <w:tblGrid>
        <w:gridCol w:w="1700"/>
        <w:gridCol w:w="3770"/>
        <w:gridCol w:w="3890"/>
      </w:tblGrid>
      <w:tr>
        <w:trPr>
          <w:tblHeader/>
        </w:trPr>
        <w:tc>
          <w:tcPr>
            <w:tcW w:type="dxa" w:w="1700"/>
            <w:tcMar>
              <w:top w:w="80" w:type="dxa"/>
              <w:start w:w="120" w:type="dxa"/>
              <w:bottom w:w="80" w:type="dxa"/>
              <w:end w:w="120" w:type="dxa"/>
            </w:tcMar>
            <w:vAlign w:val="center"/>
            <w:shd w:fill="18264F"/>
          </w:tcPr>
          <w:p>
            <w:pPr>
              <w:spacing w:after="0"/>
            </w:pPr>
            <w:r>
              <w:rPr>
                <w:rFonts w:ascii="Arial" w:hAnsi="Arial"/>
                <w:b/>
                <w:i w:val="0"/>
                <w:color w:val="FFFFFF"/>
                <w:sz w:val="15"/>
              </w:rPr>
              <w:t>Pattern</w:t>
            </w:r>
          </w:p>
        </w:tc>
        <w:tc>
          <w:tcPr>
            <w:tcW w:type="dxa" w:w="3770"/>
            <w:tcMar>
              <w:top w:w="80" w:type="dxa"/>
              <w:start w:w="120" w:type="dxa"/>
              <w:bottom w:w="80" w:type="dxa"/>
              <w:end w:w="120" w:type="dxa"/>
            </w:tcMar>
            <w:vAlign w:val="center"/>
            <w:shd w:fill="18264F"/>
          </w:tcPr>
          <w:p>
            <w:pPr>
              <w:spacing w:after="0"/>
            </w:pPr>
            <w:r>
              <w:rPr>
                <w:rFonts w:ascii="Arial" w:hAnsi="Arial"/>
                <w:b/>
                <w:i w:val="0"/>
                <w:color w:val="FFFFFF"/>
                <w:sz w:val="15"/>
              </w:rPr>
              <w:t>Compact behaviour</w:t>
            </w:r>
          </w:p>
        </w:tc>
        <w:tc>
          <w:tcPr>
            <w:tcW w:type="dxa" w:w="3890"/>
            <w:tcMar>
              <w:top w:w="80" w:type="dxa"/>
              <w:start w:w="120" w:type="dxa"/>
              <w:bottom w:w="80" w:type="dxa"/>
              <w:end w:w="120" w:type="dxa"/>
            </w:tcMar>
            <w:vAlign w:val="center"/>
            <w:shd w:fill="18264F"/>
          </w:tcPr>
          <w:p>
            <w:pPr>
              <w:spacing w:after="0"/>
            </w:pPr>
            <w:r>
              <w:rPr>
                <w:rFonts w:ascii="Arial" w:hAnsi="Arial"/>
                <w:b/>
                <w:i w:val="0"/>
                <w:color w:val="FFFFFF"/>
                <w:sz w:val="15"/>
              </w:rPr>
              <w:t>Expanded behaviour</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Public / identity</w:t>
            </w:r>
          </w:p>
        </w:tc>
        <w:tc>
          <w:tcPr>
            <w:tcW w:type="dxa" w:w="3770"/>
            <w:tcMar>
              <w:top w:w="80" w:type="dxa"/>
              <w:start w:w="120" w:type="dxa"/>
              <w:bottom w:w="80" w:type="dxa"/>
              <w:end w:w="120" w:type="dxa"/>
            </w:tcMar>
            <w:vAlign w:val="center"/>
          </w:tcPr>
          <w:p>
            <w:pPr>
              <w:spacing w:after="0" w:line="245" w:lineRule="auto"/>
            </w:pPr>
            <w:r>
              <w:rPr>
                <w:rFonts w:ascii="Arial" w:hAnsi="Arial"/>
                <w:b w:val="0"/>
                <w:i w:val="0"/>
                <w:color w:val="17213A"/>
                <w:sz w:val="15"/>
              </w:rPr>
              <w:t>One decision per viewport; filters in modal sheet; clear sign-in return.</w:t>
            </w:r>
          </w:p>
        </w:tc>
        <w:tc>
          <w:tcPr>
            <w:tcW w:type="dxa" w:w="3890"/>
            <w:tcMar>
              <w:top w:w="80" w:type="dxa"/>
              <w:start w:w="120" w:type="dxa"/>
              <w:bottom w:w="80" w:type="dxa"/>
              <w:end w:w="120" w:type="dxa"/>
            </w:tcMar>
            <w:vAlign w:val="center"/>
          </w:tcPr>
          <w:p>
            <w:pPr>
              <w:spacing w:after="0" w:line="245" w:lineRule="auto"/>
            </w:pPr>
            <w:r>
              <w:rPr>
                <w:rFonts w:ascii="Arial" w:hAnsi="Arial"/>
                <w:b w:val="0"/>
                <w:i w:val="0"/>
                <w:color w:val="17213A"/>
                <w:sz w:val="15"/>
              </w:rPr>
              <w:t>Inline filters, comparison cards and trust/provenance detail.</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Learning / verse</w:t>
            </w:r>
          </w:p>
        </w:tc>
        <w:tc>
          <w:tcPr>
            <w:tcW w:type="dxa" w:w="377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Chapter rail becomes sheet; tabs become accessible disclosure when needed.</w:t>
            </w:r>
          </w:p>
        </w:tc>
        <w:tc>
          <w:tcPr>
            <w:tcW w:type="dxa" w:w="389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Rail plus bounded reading column; optional transcript/commentary companion.</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Teacher / admin data</w:t>
            </w:r>
          </w:p>
        </w:tc>
        <w:tc>
          <w:tcPr>
            <w:tcW w:type="dxa" w:w="3770"/>
            <w:tcMar>
              <w:top w:w="80" w:type="dxa"/>
              <w:start w:w="120" w:type="dxa"/>
              <w:bottom w:w="80" w:type="dxa"/>
              <w:end w:w="120" w:type="dxa"/>
            </w:tcMar>
            <w:vAlign w:val="center"/>
          </w:tcPr>
          <w:p>
            <w:pPr>
              <w:spacing w:after="0" w:line="245" w:lineRule="auto"/>
            </w:pPr>
            <w:r>
              <w:rPr>
                <w:rFonts w:ascii="Arial" w:hAnsi="Arial"/>
                <w:b w:val="0"/>
                <w:i w:val="0"/>
                <w:color w:val="17213A"/>
                <w:sz w:val="15"/>
              </w:rPr>
              <w:t>Cards or priority columns; secondary fields disclosed on demand.</w:t>
            </w:r>
          </w:p>
        </w:tc>
        <w:tc>
          <w:tcPr>
            <w:tcW w:type="dxa" w:w="3890"/>
            <w:tcMar>
              <w:top w:w="80" w:type="dxa"/>
              <w:start w:w="120" w:type="dxa"/>
              <w:bottom w:w="80" w:type="dxa"/>
              <w:end w:w="120" w:type="dxa"/>
            </w:tcMar>
            <w:vAlign w:val="center"/>
          </w:tcPr>
          <w:p>
            <w:pPr>
              <w:spacing w:after="0" w:line="245" w:lineRule="auto"/>
            </w:pPr>
            <w:r>
              <w:rPr>
                <w:rFonts w:ascii="Arial" w:hAnsi="Arial"/>
                <w:b w:val="0"/>
                <w:i w:val="0"/>
                <w:color w:val="17213A"/>
                <w:sz w:val="15"/>
              </w:rPr>
              <w:t>Sortable table with visible filters, column controls and detail pane.</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Content Studio</w:t>
            </w:r>
          </w:p>
        </w:tc>
        <w:tc>
          <w:tcPr>
            <w:tcW w:type="dxa" w:w="377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Editing is limited to supported tablet tasks; preview stacks below.</w:t>
            </w:r>
          </w:p>
        </w:tc>
        <w:tc>
          <w:tcPr>
            <w:tcW w:type="dxa" w:w="389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Structure/editor/preview panes with keyboard-resizable boundaries.</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Native mobile</w:t>
            </w:r>
          </w:p>
        </w:tc>
        <w:tc>
          <w:tcPr>
            <w:tcW w:type="dxa" w:w="3770"/>
            <w:tcMar>
              <w:top w:w="80" w:type="dxa"/>
              <w:start w:w="120" w:type="dxa"/>
              <w:bottom w:w="80" w:type="dxa"/>
              <w:end w:w="120" w:type="dxa"/>
            </w:tcMar>
            <w:vAlign w:val="center"/>
          </w:tcPr>
          <w:p>
            <w:pPr>
              <w:spacing w:after="0" w:line="245" w:lineRule="auto"/>
            </w:pPr>
            <w:r>
              <w:rPr>
                <w:rFonts w:ascii="Arial" w:hAnsi="Arial"/>
                <w:b w:val="0"/>
                <w:i w:val="0"/>
                <w:color w:val="17213A"/>
                <w:sz w:val="15"/>
              </w:rPr>
              <w:t>Offline-first queue, downloads, notifications and secure storage.</w:t>
            </w:r>
          </w:p>
        </w:tc>
        <w:tc>
          <w:tcPr>
            <w:tcW w:type="dxa" w:w="3890"/>
            <w:tcMar>
              <w:top w:w="80" w:type="dxa"/>
              <w:start w:w="120" w:type="dxa"/>
              <w:bottom w:w="80" w:type="dxa"/>
              <w:end w:w="120" w:type="dxa"/>
            </w:tcMar>
            <w:vAlign w:val="center"/>
          </w:tcPr>
          <w:p>
            <w:pPr>
              <w:spacing w:after="0" w:line="245" w:lineRule="auto"/>
            </w:pPr>
            <w:r>
              <w:rPr>
                <w:rFonts w:ascii="Arial" w:hAnsi="Arial"/>
                <w:b w:val="0"/>
                <w:i w:val="0"/>
                <w:color w:val="17213A"/>
                <w:sz w:val="15"/>
              </w:rPr>
              <w:t>Tablet layouts may use two panes but share the same domain/API contracts.</w:t>
            </w:r>
          </w:p>
        </w:tc>
      </w:tr>
    </w:tbl>
    <w:p>
      <w:pPr>
        <w:sectPr>
          <w:pgSz w:w="12240" w:h="15840"/>
          <w:pgMar w:top="1440" w:right="1440" w:bottom="1440" w:left="1440" w:header="708" w:footer="708" w:gutter="0"/>
          <w:cols w:space="720"/>
          <w:docGrid w:linePitch="360"/>
        </w:sectPr>
      </w:pPr>
    </w:p>
    <w:p>
      <w:pPr>
        <w:pStyle w:val="Heading1"/>
      </w:pPr>
      <w:r>
        <w:t>Shared component contract</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tcMar>
              <w:top w:w="80" w:type="dxa"/>
              <w:start w:w="120" w:type="dxa"/>
              <w:bottom w:w="80" w:type="dxa"/>
              <w:end w:w="120" w:type="dxa"/>
            </w:tcMar>
            <w:vAlign w:val="center"/>
            <w:shd w:fill="18264F"/>
          </w:tcPr>
          <w:p>
            <w:pPr>
              <w:spacing w:after="0"/>
            </w:pPr>
            <w:r>
              <w:rPr>
                <w:rFonts w:ascii="Arial" w:hAnsi="Arial"/>
                <w:b/>
                <w:i w:val="0"/>
                <w:color w:val="FFFFFF"/>
                <w:sz w:val="16"/>
              </w:rPr>
              <w:t>Component family</w:t>
            </w:r>
          </w:p>
        </w:tc>
        <w:tc>
          <w:tcPr>
            <w:tcW w:type="dxa" w:w="7460"/>
            <w:tcMar>
              <w:top w:w="80" w:type="dxa"/>
              <w:start w:w="120" w:type="dxa"/>
              <w:bottom w:w="80" w:type="dxa"/>
              <w:end w:w="120" w:type="dxa"/>
            </w:tcMar>
            <w:vAlign w:val="center"/>
            <w:shd w:fill="18264F"/>
          </w:tcPr>
          <w:p>
            <w:pPr>
              <w:spacing w:after="0"/>
            </w:pPr>
            <w:r>
              <w:rPr>
                <w:rFonts w:ascii="Arial" w:hAnsi="Arial"/>
                <w:b/>
                <w:i w:val="0"/>
                <w:color w:val="FFFFFF"/>
                <w:sz w:val="16"/>
              </w:rPr>
              <w:t>Required variants and semantics</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Global shell</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Public, learner, guardian, teacher, studio, tenant admin and platform ops; tenant/workspace switcher; skip link; landmarks; deep-link recovery.</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Context bar</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Tenant, programme, edition, language, role and rights state; compact summary and full disclosure.</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Content identity</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Canonical reference, source, edition, translator/guru, language, version, approval and rights.</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Learning status</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Not started, available, in progress, revision due, passed, locked, expired, superseded and revoked.</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Action controls</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Primary, secondary, destructive, disabled with reason, loading, offline queued, permission denied and completed.</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Data views</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First use, populated, empty, filtered empty, loading, partial, stale, conflict, integration failure and export in progress.</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Feedback</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Inline validation, formative response, summative result, review comment, approval, warning and incident alert.</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Media</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Video, audio, slides, transcript, captions, description, download, speed, quality and accessible alternative.</w:t>
            </w:r>
          </w:p>
        </w:tc>
      </w:tr>
    </w:tbl>
    <w:p>
      <w:pPr>
        <w:pStyle w:val="Heading2"/>
      </w:pPr>
      <w:r>
        <w:t>State ownership rules</w:t>
      </w:r>
    </w:p>
    <w:p>
      <w:pPr>
        <w:pStyle w:val="ListBullet"/>
      </w:pPr>
      <w:r>
        <w:rPr>
          <w:rFonts w:ascii="Arial" w:hAnsi="Arial"/>
          <w:b w:val="0"/>
          <w:i w:val="0"/>
          <w:color w:val="17213A"/>
          <w:sz w:val="20"/>
        </w:rPr>
        <w:t>The server is authoritative for tenant scope, entitlements, published content, policy versions, roles, assessment decisions, rights and certificate status.</w:t>
      </w:r>
    </w:p>
    <w:p>
      <w:pPr>
        <w:pStyle w:val="ListBullet"/>
      </w:pPr>
      <w:r>
        <w:rPr>
          <w:rFonts w:ascii="Arial" w:hAnsi="Arial"/>
          <w:b w:val="0"/>
          <w:i w:val="0"/>
          <w:color w:val="17213A"/>
          <w:sz w:val="20"/>
        </w:rPr>
        <w:t>The device may optimistically queue progress, bookmarks, private notes and other low-risk learning events. A durable local event ID prevents duplicate commits.</w:t>
      </w:r>
    </w:p>
    <w:p>
      <w:pPr>
        <w:pStyle w:val="ListBullet"/>
      </w:pPr>
      <w:r>
        <w:rPr>
          <w:rFonts w:ascii="Arial" w:hAnsi="Arial"/>
          <w:b w:val="0"/>
          <w:i w:val="0"/>
          <w:color w:val="17213A"/>
          <w:sz w:val="20"/>
        </w:rPr>
        <w:t>Draft content and assessment changes require explicit save, validation and version state. Publishing, retraction, role assignment and certificate revocation are never optimistic.</w:t>
      </w:r>
    </w:p>
    <w:p>
      <w:pPr>
        <w:sectPr>
          <w:pgSz w:w="12240" w:h="15840"/>
          <w:pgMar w:top="1440" w:right="1440" w:bottom="1440" w:left="1440" w:header="708" w:footer="708" w:gutter="0"/>
          <w:cols w:space="720"/>
          <w:docGrid w:linePitch="360"/>
        </w:sectPr>
      </w:pPr>
    </w:p>
    <w:p>
      <w:pPr>
        <w:pStyle w:val="Heading1"/>
      </w:pPr>
      <w:r>
        <w:t>Key-state matrix</w:t>
      </w:r>
    </w:p>
    <w:tbl>
      <w:tblPr>
        <w:tblStyle w:val="TableGrid"/>
        <w:tblW w:type="dxa" w:w="9360"/>
        <w:tblLayout w:type="fixed"/>
        <w:tblLook w:firstColumn="1" w:firstRow="1" w:lastColumn="0" w:lastRow="0" w:noHBand="0" w:noVBand="1" w:val="04A0"/>
        <w:jc w:val="left"/>
        <w:tblInd w:w="120" w:type="dxa"/>
      </w:tblPr>
      <w:tblGrid>
        <w:gridCol w:w="1700"/>
        <w:gridCol w:w="4000"/>
        <w:gridCol w:w="3660"/>
      </w:tblGrid>
      <w:tr>
        <w:trPr>
          <w:tblHeader/>
        </w:trPr>
        <w:tc>
          <w:tcPr>
            <w:tcW w:type="dxa" w:w="1700"/>
            <w:tcMar>
              <w:top w:w="80" w:type="dxa"/>
              <w:start w:w="120" w:type="dxa"/>
              <w:bottom w:w="80" w:type="dxa"/>
              <w:end w:w="120" w:type="dxa"/>
            </w:tcMar>
            <w:vAlign w:val="center"/>
            <w:shd w:fill="18264F"/>
          </w:tcPr>
          <w:p>
            <w:pPr>
              <w:spacing w:after="0"/>
            </w:pPr>
            <w:r>
              <w:rPr>
                <w:rFonts w:ascii="Arial" w:hAnsi="Arial"/>
                <w:b/>
                <w:i w:val="0"/>
                <w:color w:val="FFFFFF"/>
                <w:sz w:val="15"/>
              </w:rPr>
              <w:t>State</w:t>
            </w:r>
          </w:p>
        </w:tc>
        <w:tc>
          <w:tcPr>
            <w:tcW w:type="dxa" w:w="4000"/>
            <w:tcMar>
              <w:top w:w="80" w:type="dxa"/>
              <w:start w:w="120" w:type="dxa"/>
              <w:bottom w:w="80" w:type="dxa"/>
              <w:end w:w="120" w:type="dxa"/>
            </w:tcMar>
            <w:vAlign w:val="center"/>
            <w:shd w:fill="18264F"/>
          </w:tcPr>
          <w:p>
            <w:pPr>
              <w:spacing w:after="0"/>
            </w:pPr>
            <w:r>
              <w:rPr>
                <w:rFonts w:ascii="Arial" w:hAnsi="Arial"/>
                <w:b/>
                <w:i w:val="0"/>
                <w:color w:val="FFFFFF"/>
                <w:sz w:val="15"/>
              </w:rPr>
              <w:t>Required presentation</w:t>
            </w:r>
          </w:p>
        </w:tc>
        <w:tc>
          <w:tcPr>
            <w:tcW w:type="dxa" w:w="3660"/>
            <w:tcMar>
              <w:top w:w="80" w:type="dxa"/>
              <w:start w:w="120" w:type="dxa"/>
              <w:bottom w:w="80" w:type="dxa"/>
              <w:end w:w="120" w:type="dxa"/>
            </w:tcMar>
            <w:vAlign w:val="center"/>
            <w:shd w:fill="18264F"/>
          </w:tcPr>
          <w:p>
            <w:pPr>
              <w:spacing w:after="0"/>
            </w:pPr>
            <w:r>
              <w:rPr>
                <w:rFonts w:ascii="Arial" w:hAnsi="Arial"/>
                <w:b/>
                <w:i w:val="0"/>
                <w:color w:val="FFFFFF"/>
                <w:sz w:val="15"/>
              </w:rPr>
              <w:t>Recovery / acceptance evidence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Loading / slow</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5"/>
              </w:rPr>
              <w:t>Skeleton or progress with stable layout; announce prolonged waits without repeated screen-reader noise.</w:t>
            </w:r>
          </w:p>
        </w:tc>
        <w:tc>
          <w:tcPr>
            <w:tcW w:type="dxa" w:w="3660"/>
            <w:tcMar>
              <w:top w:w="80" w:type="dxa"/>
              <w:start w:w="120" w:type="dxa"/>
              <w:bottom w:w="80" w:type="dxa"/>
              <w:end w:w="120" w:type="dxa"/>
            </w:tcMar>
            <w:vAlign w:val="center"/>
          </w:tcPr>
          <w:p>
            <w:pPr>
              <w:spacing w:after="0" w:line="245" w:lineRule="auto"/>
            </w:pPr>
            <w:r>
              <w:rPr>
                <w:rFonts w:ascii="Arial" w:hAnsi="Arial"/>
                <w:b w:val="0"/>
                <w:i w:val="0"/>
                <w:color w:val="17213A"/>
                <w:sz w:val="15"/>
              </w:rPr>
              <w:t>No blocked input without status; retry is idempotent.</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Empty / filtered empty</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Explain whether no data exists or filters exclude it.</w:t>
            </w:r>
          </w:p>
        </w:tc>
        <w:tc>
          <w:tcPr>
            <w:tcW w:type="dxa" w:w="3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Offer one relevant create, clear-filter or help action.</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Permission denied</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5"/>
              </w:rPr>
              <w:t>Name the unavailable action and safe reason; never disclose hidden object detail.</w:t>
            </w:r>
          </w:p>
        </w:tc>
        <w:tc>
          <w:tcPr>
            <w:tcW w:type="dxa" w:w="3660"/>
            <w:tcMar>
              <w:top w:w="80" w:type="dxa"/>
              <w:start w:w="120" w:type="dxa"/>
              <w:bottom w:w="80" w:type="dxa"/>
              <w:end w:w="120" w:type="dxa"/>
            </w:tcMar>
            <w:vAlign w:val="center"/>
          </w:tcPr>
          <w:p>
            <w:pPr>
              <w:spacing w:after="0" w:line="245" w:lineRule="auto"/>
            </w:pPr>
            <w:r>
              <w:rPr>
                <w:rFonts w:ascii="Arial" w:hAnsi="Arial"/>
                <w:b w:val="0"/>
                <w:i w:val="0"/>
                <w:color w:val="17213A"/>
                <w:sz w:val="15"/>
              </w:rPr>
              <w:t>Return to authorised context or request access through policy.</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Locked / prerequisite</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Show required evidence, progress and next eligible step.</w:t>
            </w:r>
          </w:p>
        </w:tc>
        <w:tc>
          <w:tcPr>
            <w:tcW w:type="dxa" w:w="3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Completing prerequisite re-evaluates the gate without sign-out.</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Offline / queued</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5"/>
              </w:rPr>
              <w:t>Persistent offline banner, local timestamp and queued action count.</w:t>
            </w:r>
          </w:p>
        </w:tc>
        <w:tc>
          <w:tcPr>
            <w:tcW w:type="dxa" w:w="3660"/>
            <w:tcMar>
              <w:top w:w="80" w:type="dxa"/>
              <w:start w:w="120" w:type="dxa"/>
              <w:bottom w:w="80" w:type="dxa"/>
              <w:end w:w="120" w:type="dxa"/>
            </w:tcMar>
            <w:vAlign w:val="center"/>
          </w:tcPr>
          <w:p>
            <w:pPr>
              <w:spacing w:after="0" w:line="245" w:lineRule="auto"/>
            </w:pPr>
            <w:r>
              <w:rPr>
                <w:rFonts w:ascii="Arial" w:hAnsi="Arial"/>
                <w:b w:val="0"/>
                <w:i w:val="0"/>
                <w:color w:val="17213A"/>
                <w:sz w:val="15"/>
              </w:rPr>
              <w:t>Reconnect sync is resumable, idempotent and observable.</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Stale / superseded</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Show current and requested version with effective date.</w:t>
            </w:r>
          </w:p>
        </w:tc>
        <w:tc>
          <w:tcPr>
            <w:tcW w:type="dxa" w:w="3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Refresh or retain lawful history; never silently replace submitted work.</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Sync conflict</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5"/>
              </w:rPr>
              <w:t>Summarise differences and identify authoritative fields.</w:t>
            </w:r>
          </w:p>
        </w:tc>
        <w:tc>
          <w:tcPr>
            <w:tcW w:type="dxa" w:w="3660"/>
            <w:tcMar>
              <w:top w:w="80" w:type="dxa"/>
              <w:start w:w="120" w:type="dxa"/>
              <w:bottom w:w="80" w:type="dxa"/>
              <w:end w:w="120" w:type="dxa"/>
            </w:tcMar>
            <w:vAlign w:val="center"/>
          </w:tcPr>
          <w:p>
            <w:pPr>
              <w:spacing w:after="0" w:line="245" w:lineRule="auto"/>
            </w:pPr>
            <w:r>
              <w:rPr>
                <w:rFonts w:ascii="Arial" w:hAnsi="Arial"/>
                <w:b w:val="0"/>
                <w:i w:val="0"/>
                <w:color w:val="17213A"/>
                <w:sz w:val="15"/>
              </w:rPr>
              <w:t>Automatic merge only for commutative events; otherwise explicit resolution.</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Rights expired / retracted</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Remove protected payload, preserve metadata permitted by policy and explain why.</w:t>
            </w:r>
          </w:p>
        </w:tc>
        <w:tc>
          <w:tcPr>
            <w:tcW w:type="dxa" w:w="3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Offer update/removal/support; offline copy becomes unusable.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Partial integration failure</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5"/>
              </w:rPr>
              <w:t>Keep unaffected functions available and label data freshness.</w:t>
            </w:r>
          </w:p>
        </w:tc>
        <w:tc>
          <w:tcPr>
            <w:tcW w:type="dxa" w:w="3660"/>
            <w:tcMar>
              <w:top w:w="80" w:type="dxa"/>
              <w:start w:w="120" w:type="dxa"/>
              <w:bottom w:w="80" w:type="dxa"/>
              <w:end w:w="120" w:type="dxa"/>
            </w:tcMar>
            <w:vAlign w:val="center"/>
          </w:tcPr>
          <w:p>
            <w:pPr>
              <w:spacing w:after="0" w:line="245" w:lineRule="auto"/>
            </w:pPr>
            <w:r>
              <w:rPr>
                <w:rFonts w:ascii="Arial" w:hAnsi="Arial"/>
                <w:b w:val="0"/>
                <w:i w:val="0"/>
                <w:color w:val="17213A"/>
                <w:sz w:val="15"/>
              </w:rPr>
              <w:t>Retry, support reference and reconciliation evidence are available.</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Destructive confirmation</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State tenant, object, version, consequence and reversibility.</w:t>
            </w:r>
          </w:p>
        </w:tc>
        <w:tc>
          <w:tcPr>
            <w:tcW w:type="dxa" w:w="3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Re-auth or dual approval where policy requires; audit event created.</w:t>
            </w:r>
          </w:p>
        </w:tc>
      </w:tr>
    </w:tbl>
    <w:p>
      <w:pPr>
        <w:pStyle w:val="Heading2"/>
      </w:pPr>
      <w:r>
        <w:t>Native mobile and offline rules</w:t>
      </w:r>
    </w:p>
    <w:p>
      <w:pPr>
        <w:pStyle w:val="ListBullet"/>
      </w:pPr>
      <w:r>
        <w:rPr>
          <w:rFonts w:ascii="Arial" w:hAnsi="Arial"/>
          <w:b w:val="0"/>
          <w:i w:val="0"/>
          <w:color w:val="17213A"/>
          <w:sz w:val="20"/>
        </w:rPr>
        <w:t>Downloads are encrypted at rest, tied to tenant/user/edition entitlement, checksummed, versioned, remotely retractable and accompanied by size, expiry and last-verified status.</w:t>
      </w:r>
    </w:p>
    <w:p>
      <w:pPr>
        <w:pStyle w:val="ListBullet"/>
      </w:pPr>
      <w:r>
        <w:rPr>
          <w:rFonts w:ascii="Arial" w:hAnsi="Arial"/>
          <w:b w:val="0"/>
          <w:i w:val="0"/>
          <w:color w:val="17213A"/>
          <w:sz w:val="20"/>
        </w:rPr>
        <w:t>Assessment submission requires an explicit offline policy. If offline submission is allowed, the UI shows queued/not-yet-graded state and prevents duplicate attempts across devices.</w:t>
      </w:r>
    </w:p>
    <w:p>
      <w:pPr>
        <w:pStyle w:val="ListBullet"/>
      </w:pPr>
      <w:r>
        <w:rPr>
          <w:rFonts w:ascii="Arial" w:hAnsi="Arial"/>
          <w:b w:val="0"/>
          <w:i w:val="0"/>
          <w:color w:val="17213A"/>
          <w:sz w:val="20"/>
        </w:rPr>
        <w:t>Dynamic type, screen-reader order, captions, background audio policy, safe areas, interruption recovery and OS-level reduced motion are acceptance requirements on both iOS and Android.</w:t>
      </w:r>
    </w:p>
    <w:p>
      <w:pPr>
        <w:sectPr>
          <w:pgSz w:w="12240" w:h="15840"/>
          <w:pgMar w:top="1440" w:right="1440" w:bottom="1440" w:left="1440" w:header="708" w:footer="708" w:gutter="0"/>
          <w:cols w:space="720"/>
          <w:docGrid w:linePitch="360"/>
        </w:sectPr>
      </w:pPr>
    </w:p>
    <w:p>
      <w:pPr>
        <w:pStyle w:val="Heading1"/>
      </w:pPr>
      <w:r>
        <w:t>5. Complete screen inventory</w:t>
      </w:r>
    </w:p>
    <w:p>
      <w:pPr>
        <w:pStyle w:val="Heading2"/>
      </w:pPr>
      <w:r>
        <w:t>Public</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PUB-01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Tenant-aware home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Orient the visitor, resolve organisation and offer the clearest next step.</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PUB-02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Edition directory</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/editions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Choose an authorised organisation, guru/translator, language and access model.</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PUB-03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Course catalogue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/courses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Browse approved programmes by audience, edition, age band, format and duration.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PUB-04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Scripture search</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/scripture</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Find chapters, verses, topics and approved layers without confusing commentary with source.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PUB-05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Course detail</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/course/:courseId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Explain outcomes, prerequisites, effort, assessment, edition and certificate before enrolment.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PUB-06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Edition detail</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/edition/:editionId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Make tradition, translator/guru, rights, version and approval status transparent.</w:t>
            </w:r>
          </w:p>
        </w:tc>
      </w:tr>
    </w:tbl>
    <w:p>
      <w:pPr>
        <w:sectPr>
          <w:pgSz w:w="12240" w:h="15840"/>
          <w:pgMar w:top="1440" w:right="1440" w:bottom="1440" w:left="1440" w:header="708" w:footer="708" w:gutter="0"/>
          <w:cols w:space="720"/>
          <w:docGrid w:linePitch="360"/>
        </w:sectPr>
      </w:pPr>
    </w:p>
    <w:p>
      <w:pPr>
        <w:pStyle w:val="Heading2"/>
      </w:pPr>
      <w:r>
        <w:t>Identity</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ID-01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Sign in</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/sign-in</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 through passwordless email, password, Google, Microsoft or tenant SSO.</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ID-02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Registration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/register</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Create the minimum viable account and retain eligible guest progress.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ID-03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Learning onboarding</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/onboarding</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Capture goal, experience, language, accessibility and notification preferences.</w:t>
            </w:r>
          </w:p>
        </w:tc>
      </w:tr>
    </w:tbl>
    <w:p>
      <w:pPr>
        <w:pStyle w:val="Heading2"/>
      </w:pPr>
      <w:r>
        <w:t>Guardian</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GUA-01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Age and consent routing</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/consent</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Apply jurisdiction and programme rules before creating a minor account.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GUA-02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Guardian invitation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/guardian/invite</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Invite and verify a guardian without exposing private learning reflections.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GUA-03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Guardian overview</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/guardian</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Manage consent, linked learners and permitted progress visibility.</w:t>
            </w:r>
          </w:p>
        </w:tc>
      </w:tr>
    </w:tbl>
    <w:p>
      <w:pPr>
        <w:sectPr>
          <w:pgSz w:w="12240" w:h="15840"/>
          <w:pgMar w:top="1440" w:right="1440" w:bottom="1440" w:left="1440" w:header="708" w:footer="708" w:gutter="0"/>
          <w:cols w:space="720"/>
          <w:docGrid w:linePitch="360"/>
        </w:sectPr>
      </w:pPr>
    </w:p>
    <w:p>
      <w:pPr>
        <w:pStyle w:val="Heading2"/>
      </w:pPr>
      <w:r>
        <w:t>Learner</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Learner dashboard</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/dashboard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Resume the most meaningful next action and understand mastery across programmes.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Prerequisite pathway</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/learn/foundations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Build common background knowledge while allowing experienced learners to move quickly.</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Readiness diagnostic</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/diagnostic</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Route the learner to bridge modules or Chapter 1 with an explainable result.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Course pathway</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/course/:courseId/path</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Show all 18 chapters, state, mastery evidence, time and next action.</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Chapter overview</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/chapter/:chapterId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Orient the learner to outcomes, key verses, activities and assessment.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Lesson player</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/lesson/:lessonId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Deliver multimodal learning with a persistent chapter rail and calm completion logic.</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LRN-07</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Verse study</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/verse/:verseId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Keep Sanskrit, transliteration, word meaning, translation and commentary visibly distinct.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LRN-08</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Media transcript</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/lesson/:id/transcript</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Provide synchronised transcript, captions, speed, search and accessible alternatives.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LRN-09</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Glossary and concepts</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/glossary</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Explain Sanskrit and philosophical terms in edition- and age-aware language.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LRN-10</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Private reflection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/reflection/:activityId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Support private meaning-making with autosave and explicit optional sharing.</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LRN-11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Practice activity</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/practice/:activityId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Apply concepts through scenario, sorting, matching or short response.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Assessment question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/assessment/:assessmentId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Present one accessible item at a time with progress, save/resume and attempt policy.</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LRN-13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Assessment result</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/assessment/:id/result</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Explain mastered outcomes, misconceptions, pass decision and next action.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Targeted remediation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/revision/plan</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Create a short evidence-based revision plan linked to missed outcomes and verses.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LRN-15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Revision queue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/revision</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Support spaced review across verses, concepts and prior assessments.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Bookmarks</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/bookmarks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Return to saved verses, lessons and media while preserving edition context.</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LRN-17</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Private notes</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/notes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Manage searchable notes separately from teacher-visible submissions.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LRN-18</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Downloads and offline</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/downloads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Control offline packs, size, rights expiry, update and sync status.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LRN-19</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Certificate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/certificate/:id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Display a verifiable, revocable completion credential with issuer and edition.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LRN-20</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Preferences and privacy</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/account/preferences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Control language, accessibility, notifications, sessions and data rights.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LRN-21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Help and report issue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/support</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Reach approved support and report content, access, safety or technical issues.</w:t>
            </w:r>
          </w:p>
        </w:tc>
      </w:tr>
    </w:tbl>
    <w:p>
      <w:pPr>
        <w:sectPr>
          <w:pgSz w:w="12240" w:h="15840"/>
          <w:pgMar w:top="1440" w:right="1440" w:bottom="1440" w:left="1440" w:header="708" w:footer="708" w:gutter="0"/>
          <w:cols w:space="720"/>
          <w:docGrid w:linePitch="360"/>
        </w:sectPr>
      </w:pPr>
    </w:p>
    <w:p>
      <w:pPr>
        <w:pStyle w:val="Heading2"/>
      </w:pPr>
      <w:r>
        <w:t>Mobile</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MOB-01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Mobile home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app://home</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Resolve tenant and offer one high-confidence next action.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Mobile course map</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app://course/:id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Navigate 18 chapters with states, schedule and offline availability.</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MOB-03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Mobile lesson</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app://lesson/:id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Support interruption-safe video/audio/text learning with bottom next action.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Mobile verse study</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app://verse/:id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Read source-aware verse layers comfortably on a narrow screen.</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MOB-05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Mobile assessment</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app://assessment/:id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Complete accessible one-question screens with autosave and resume.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Mobile result</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app://assessment/:id/result</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Explain mastery and route directly to revision or continuation.</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MOB-07</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Offline library</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app://downloads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Download, update and remove authorised content with transparent storage.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MOB-08</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Sync conflict</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app://sync</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Resolve conflicting completion, note and assessment events without data loss.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MOB-09</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Mobile certificate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app://certificate/:id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Present a wallet-ready certificate and verification QR.</w:t>
            </w:r>
          </w:p>
        </w:tc>
      </w:tr>
    </w:tbl>
    <w:p>
      <w:pPr>
        <w:sectPr>
          <w:pgSz w:w="12240" w:h="15840"/>
          <w:pgMar w:top="1440" w:right="1440" w:bottom="1440" w:left="1440" w:header="708" w:footer="708" w:gutter="0"/>
          <w:cols w:space="720"/>
          <w:docGrid w:linePitch="360"/>
        </w:sectPr>
      </w:pPr>
    </w:p>
    <w:p>
      <w:pPr>
        <w:pStyle w:val="Heading2"/>
      </w:pPr>
      <w:r>
        <w:t>Teacher</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TCH-01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Teacher dashboard</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/teacher</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Show classes, upcoming work, support flags and recent submissions.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Cohort list</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/teacher/cohorts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Manage permitted cohorts with programme, edition, schedule and roster state.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TCH-03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Cohort overview</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/teacher/cohort/:id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Understand participation, mastery, pace and accessibility support.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Teaching schedule</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/teacher/schedule</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Plan chapter sequence, live sessions, due dates and exceptions.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TCH-05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Create assignment</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/teacher/assignment/new</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Assign only approved activities with rubric, due date and accommodation rules.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Learner detail</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/teacher/learner/:id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Support learning from permitted evidence without exposing private reflections.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TCH-07</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Submissions and rubric</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/teacher/submissions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Review work, apply an approved rubric and provide accessible feedback.</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TCH-08</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Class outcome report</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/teacher/reports/outcomes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Identify concept-level needs without public ranking or sensitive inference.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TCH-09</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Class presentation mode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/teacher/present/:lessonId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Project verses, diagrams and activities with large text and minimal controls.</w:t>
            </w:r>
          </w:p>
        </w:tc>
      </w:tr>
    </w:tbl>
    <w:p>
      <w:pPr>
        <w:sectPr>
          <w:pgSz w:w="12240" w:h="15840"/>
          <w:pgMar w:top="1440" w:right="1440" w:bottom="1440" w:left="1440" w:header="708" w:footer="708" w:gutter="0"/>
          <w:cols w:space="720"/>
          <w:docGrid w:linePitch="360"/>
        </w:sectPr>
      </w:pPr>
    </w:p>
    <w:p>
      <w:pPr>
        <w:pStyle w:val="Heading2"/>
      </w:pPr>
      <w:r>
        <w:t>Content</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CNT-01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Content work queue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/studio</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Prioritise draft, review, rights and accessibility work by edition and release.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Course structure editor</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/studio/course/:id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Assemble reusable modules, outcomes, chapters, lessons and assessments.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CNT-03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Lesson editor</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/studio/lesson/:id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Author structured layers and activities without mixing source and explanation.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Verse picker</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/studio/verse-picker</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Select canonical references and approved edition layers with provenance.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CNT-05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Translation compare</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/studio/compare</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Compare authorised versions side by side without silently merging them.</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Assessment bank</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/studio/items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Create and govern items by outcome, edition, age band and exposure state.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CNT-07</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Review and sign-off</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/studio/review/:id</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Capture scholarly, pedagogical, language, accessibility and rights approvals.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CNT-08</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Release manager</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/studio/releases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Publish immutable versions to named tenants, languages and audiences.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CNT-09</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Rights ledger</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/studio/rights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Enforce media and text rights by territory, channel, audience, language and time.</w:t>
            </w:r>
          </w:p>
        </w:tc>
      </w:tr>
    </w:tbl>
    <w:p>
      <w:pPr>
        <w:sectPr>
          <w:pgSz w:w="12240" w:h="15840"/>
          <w:pgMar w:top="1440" w:right="1440" w:bottom="1440" w:left="1440" w:header="708" w:footer="708" w:gutter="0"/>
          <w:cols w:space="720"/>
          <w:docGrid w:linePitch="360"/>
        </w:sectPr>
      </w:pPr>
    </w:p>
    <w:p>
      <w:pPr>
        <w:pStyle w:val="Heading2"/>
      </w:pPr>
      <w:r>
        <w:t>Tenant admin</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ADM-01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Tenant overview</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/admin</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See organisation health, programmes, editions, users, integrations and alerts.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Brand and domain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/admin/brand</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Configure approved logo, colours, domain, app skin and communication templates.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ADM-03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Users and roles</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/admin/users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Invite, import and govern staff and learners with scoped roles.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Programme and cohorts</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/admin/programmes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Configure edition, course, age band, schedule, pass rules and certificate.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ADM-05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SSO, LTI and SIS</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/admin/integrations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Configure identity and school integrations with test and health evidence.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Policies and retention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/admin/policies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Version consent, privacy, retention, notification and safeguarding rules.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ADM-07</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Certificate configuration</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/admin/certificates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Configure issuer, wording, signatures, verification and revocation rights.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ADM-08</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Tenant analytics</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/admin/analytics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Measure reach, activation, mastery, inclusion and service health within scope.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ADM-09</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Audit and support</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/admin/audit</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Investigate privileged actions, data exports, content releases and incidents.</w:t>
            </w:r>
          </w:p>
        </w:tc>
      </w:tr>
    </w:tbl>
    <w:p>
      <w:pPr>
        <w:sectPr>
          <w:pgSz w:w="12240" w:h="15840"/>
          <w:pgMar w:top="1440" w:right="1440" w:bottom="1440" w:left="1440" w:header="708" w:footer="708" w:gutter="0"/>
          <w:cols w:space="720"/>
          <w:docGrid w:linePitch="360"/>
        </w:sectPr>
      </w:pPr>
    </w:p>
    <w:p>
      <w:pPr>
        <w:pStyle w:val="Heading2"/>
      </w:pPr>
      <w:r>
        <w:t>Platform ops</w:t>
      </w:r>
    </w:p>
    <w:tbl>
      <w:tblPr>
        <w:tblStyle w:val="TableGrid"/>
        <w:tblW w:type="dxa" w:w="9360"/>
        <w:tblLayout w:type="fixed"/>
        <w:tblLook w:firstColumn="1" w:firstRow="1" w:lastColumn="0" w:lastRow="0" w:noHBand="0" w:noVBand="1" w:val="04A0"/>
        <w:jc w:val="left"/>
        <w:tblInd w:w="120" w:type="dxa"/>
      </w:tblPr>
      <w:tblGrid>
        <w:gridCol w:w="1050"/>
        <w:gridCol w:w="2250"/>
        <w:gridCol w:w="2250"/>
        <w:gridCol w:w="38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Screen</w:t>
            </w:r>
          </w:p>
        </w:tc>
        <w:tc>
          <w:tcPr>
            <w:tcW w:type="dxa" w:w="2250"/>
            <w:tcMar>
              <w:top w:w="80" w:type="dxa"/>
              <w:start w:w="120" w:type="dxa"/>
              <w:bottom w:w="80" w:type="dxa"/>
              <w:end w:w="120" w:type="dxa"/>
            </w:tcMar>
            <w:vAlign w:val="center"/>
            <w:shd w:fill="18264F"/>
          </w:tcPr>
          <w:p>
            <w:pPr>
              <w:spacing w:after="0"/>
            </w:pPr>
            <w:r>
              <w:rPr>
                <w:rFonts w:ascii="Arial" w:hAnsi="Arial"/>
                <w:b/>
                <w:i w:val="0"/>
                <w:color w:val="FFFFFF"/>
                <w:sz w:val="14"/>
              </w:rPr>
              <w:t>Route</w:t>
            </w:r>
          </w:p>
        </w:tc>
        <w:tc>
          <w:tcPr>
            <w:tcW w:type="dxa" w:w="3810"/>
            <w:tcMar>
              <w:top w:w="80" w:type="dxa"/>
              <w:start w:w="120" w:type="dxa"/>
              <w:bottom w:w="80" w:type="dxa"/>
              <w:end w:w="120" w:type="dxa"/>
            </w:tcMar>
            <w:vAlign w:val="center"/>
            <w:shd w:fill="18264F"/>
          </w:tcPr>
          <w:p>
            <w:pPr>
              <w:spacing w:after="0"/>
            </w:pPr>
            <w:r>
              <w:rPr>
                <w:rFonts w:ascii="Arial" w:hAnsi="Arial"/>
                <w:b/>
                <w:i w:val="0"/>
                <w:color w:val="FFFFFF"/>
                <w:sz w:val="14"/>
              </w:rPr>
              <w:t>Purpose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OPS-01</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Tenant registry</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/ops/tenants</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Operate tenant lifecycle, regions, tiers, ownership and data boundaries.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OPS-02</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Feature flags and releases</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/ops/releases</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Stage capabilities by tenant, cohort, app version and region with rollback.</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OPS-03</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System health and incidents</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/ops/health</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Monitor service objectives, jobs, sync, media, integrations and active incidents.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OPS-04</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Content distribution</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/ops/distribution</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Trace edition packages, tenant entitlement, CDN state and retractions.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OPS-05</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Support elevation</w:t>
            </w:r>
          </w:p>
        </w:tc>
        <w:tc>
          <w:tcPr>
            <w:tcW w:type="dxa" w:w="2250"/>
            <w:tcMar>
              <w:top w:w="80" w:type="dxa"/>
              <w:start w:w="120" w:type="dxa"/>
              <w:bottom w:w="80" w:type="dxa"/>
              <w:end w:w="120" w:type="dxa"/>
            </w:tcMar>
            <w:vAlign w:val="center"/>
          </w:tcPr>
          <w:p>
            <w:pPr>
              <w:spacing w:after="0" w:line="245" w:lineRule="auto"/>
            </w:pPr>
            <w:r>
              <w:rPr>
                <w:rFonts w:ascii="Arial" w:hAnsi="Arial"/>
                <w:b w:val="0"/>
                <w:i w:val="0"/>
                <w:color w:val="17213A"/>
                <w:sz w:val="14"/>
              </w:rPr>
              <w:t>/ops/support</w:t>
            </w:r>
          </w:p>
        </w:tc>
        <w:tc>
          <w:tcPr>
            <w:tcW w:type="dxa" w:w="3810"/>
            <w:tcMar>
              <w:top w:w="80" w:type="dxa"/>
              <w:start w:w="120" w:type="dxa"/>
              <w:bottom w:w="80" w:type="dxa"/>
              <w:end w:w="120" w:type="dxa"/>
            </w:tcMar>
            <w:vAlign w:val="center"/>
          </w:tcPr>
          <w:p>
            <w:pPr>
              <w:spacing w:after="0" w:line="245" w:lineRule="auto"/>
            </w:pPr>
            <w:r>
              <w:rPr>
                <w:rFonts w:ascii="Arial" w:hAnsi="Arial"/>
                <w:b w:val="0"/>
                <w:i w:val="0"/>
                <w:color w:val="17213A"/>
                <w:sz w:val="14"/>
              </w:rPr>
              <w:t>Troubleshoot with time-bound, approved, audited access and privacy masks.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OPS-06</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Security and audit</w:t>
            </w:r>
          </w:p>
        </w:tc>
        <w:tc>
          <w:tcPr>
            <w:tcW w:type="dxa" w:w="22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/ops/security</w:t>
            </w:r>
          </w:p>
        </w:tc>
        <w:tc>
          <w:tcPr>
            <w:tcW w:type="dxa" w:w="3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Review privileged activity, threats, vulnerabilities, backups and tenant-isolation evidence.</w:t>
            </w:r>
          </w:p>
        </w:tc>
      </w:tr>
    </w:tbl>
    <w:p>
      <w:pPr>
        <w:pStyle w:val="Heading1"/>
      </w:pPr>
      <w:r>
        <w:t>6. Wireframe boards</w:t>
      </w:r>
    </w:p>
    <w:p>
      <w:pPr>
        <w:spacing w:before="0" w:after="100"/>
      </w:pPr>
      <w:r>
        <w:rPr>
          <w:rFonts w:ascii="Arial" w:hAnsi="Arial"/>
          <w:b w:val="0"/>
          <w:i w:val="0"/>
          <w:color w:val="17213A"/>
          <w:sz w:val="21"/>
        </w:rPr>
        <w:t>Each board is a functional composition baseline. During discovery, the vendor must turn every screen into a clickable prototype, test critical journeys with representative users and return an annotated component and state specification.</w:t>
      </w:r>
    </w:p>
    <w:p>
      <w:pPr>
        <w:spacing w:before="100" w:after="140"/>
        <w:ind w:left="115" w:right="29"/>
        <w:shd w:fill="F5EFE2"/>
        <w:pBdr>
          <w:top w:val="single" w:sz="3" w:color="D9832E" w:space="7"/>
          <w:left w:val="single" w:sz="14" w:color="D9832E" w:space="7"/>
          <w:bottom w:val="single" w:sz="3" w:color="D9832E" w:space="7"/>
          <w:right w:val="single" w:sz="3" w:color="D9832E" w:space="7"/>
        </w:pBdr>
      </w:pPr>
      <w:r>
        <w:rPr>
          <w:rFonts w:ascii="Arial" w:hAnsi="Arial"/>
          <w:b/>
          <w:i w:val="0"/>
          <w:color w:val="D9832E"/>
          <w:sz w:val="19"/>
        </w:rPr>
        <w:t xml:space="preserve">FIDELITY: </w:t>
      </w:r>
      <w:r>
        <w:rPr>
          <w:rFonts w:ascii="Arial" w:hAnsi="Arial"/>
          <w:b w:val="0"/>
          <w:i w:val="0"/>
          <w:color w:val="17213A"/>
          <w:sz w:val="19"/>
        </w:rPr>
        <w:t>These are deliberately low-fidelity: structure, controls, context and workflow are authoritative; exact typography, imagery, spacing and motion are refined in the design-system phase.</w:t>
      </w:r>
    </w:p>
    <w:p>
      <w:pPr>
        <w:sectPr>
          <w:pgSz w:w="12240" w:h="15840"/>
          <w:pgMar w:top="1440" w:right="1440" w:bottom="1440" w:left="1440" w:header="708" w:footer="708" w:gutter="0"/>
          <w:cols w:space="720"/>
          <w:docGrid w:linePitch="360"/>
        </w:sectPr>
      </w:pPr>
    </w:p>
    <w:p>
      <w:pPr>
        <w:pStyle w:val="Heading1"/>
      </w:pPr>
      <w:r>
        <w:t>Board 01 — Public discovery</w:t>
      </w:r>
    </w:p>
    <w:p>
      <w:pPr>
        <w:spacing w:after="60"/>
        <w:jc w:val="center"/>
      </w:pPr>
      <w:r>
        <w:drawing>
          <wp:inline xmlns:a="http://schemas.openxmlformats.org/drawingml/2006/main" xmlns:pic="http://schemas.openxmlformats.org/drawingml/2006/picture">
            <wp:extent cx="5943600" cy="3169920"/>
            <wp:docPr id="2" name="Picture 2" descr="Wireframe board 1: Public discovery, showing Tenant-aware home, Edition directory, Course catalogue"/>
            <wp:cNvGraphicFramePr>
              <a:graphicFrameLocks noChangeAspect="1"/>
            </wp:cNvGraphicFramePr>
            <a:graphic>
              <a:graphicData uri="http://schemas.openxmlformats.org/drawingml/2006/picture">
                <pic:pic>
                  <pic:nvPicPr>
                    <pic:cNvPr id="0" name="board_01.png"/>
                    <pic:cNvPicPr/>
                  </pic:nvPicPr>
                  <pic:blipFill>
                    <a:blip r:embed="rId12"/>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PUB-01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Tenant-aware home</w:t>
              <w:br/>
              <w:t>/</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Orient the visitor, resolve organisation and offer the clearest next step.</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PUB-02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Edition directory</w:t>
              <w:br/>
              <w:t>/editions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Choose an authorised organisation, guru/translator, language and access model.</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PUB-03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Course catalogue</w:t>
              <w:br/>
              <w:t>/courses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Browse approved programmes by audience, edition, age band, format and duration.</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02 — Search and product detail</w:t>
      </w:r>
    </w:p>
    <w:p>
      <w:pPr>
        <w:spacing w:after="60"/>
        <w:jc w:val="center"/>
      </w:pPr>
      <w:r>
        <w:drawing>
          <wp:inline xmlns:a="http://schemas.openxmlformats.org/drawingml/2006/main" xmlns:pic="http://schemas.openxmlformats.org/drawingml/2006/picture">
            <wp:extent cx="5943600" cy="3169920"/>
            <wp:docPr id="3" name="Picture 3" descr="Wireframe board 2: Search and product detail, showing Scripture search, Course detail, Edition detail"/>
            <wp:cNvGraphicFramePr>
              <a:graphicFrameLocks noChangeAspect="1"/>
            </wp:cNvGraphicFramePr>
            <a:graphic>
              <a:graphicData uri="http://schemas.openxmlformats.org/drawingml/2006/picture">
                <pic:pic>
                  <pic:nvPicPr>
                    <pic:cNvPr id="0" name="board_02.png"/>
                    <pic:cNvPicPr/>
                  </pic:nvPicPr>
                  <pic:blipFill>
                    <a:blip r:embed="rId13"/>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PUB-04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Scripture search</w:t>
              <w:br/>
              <w:t>/scripture</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Find chapters, verses, topics and approved layers without confusing commentary with source.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PUB-05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Course detail</w:t>
              <w:br/>
              <w:t>/course/:courseId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Explain outcomes, prerequisites, effort, assessment, edition and certificate before enrolment.</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PUB-06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Edition detail</w:t>
              <w:br/>
              <w:t>/edition/:editionId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Make tradition, translator/guru, rights, version and approval status transparent.</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03 — Identity and onboarding</w:t>
      </w:r>
    </w:p>
    <w:p>
      <w:pPr>
        <w:spacing w:after="60"/>
        <w:jc w:val="center"/>
      </w:pPr>
      <w:r>
        <w:drawing>
          <wp:inline xmlns:a="http://schemas.openxmlformats.org/drawingml/2006/main" xmlns:pic="http://schemas.openxmlformats.org/drawingml/2006/picture">
            <wp:extent cx="5943600" cy="3169920"/>
            <wp:docPr id="4" name="Picture 4" descr="Wireframe board 3: Identity and onboarding, showing Sign in, Registration, Learning onboarding"/>
            <wp:cNvGraphicFramePr>
              <a:graphicFrameLocks noChangeAspect="1"/>
            </wp:cNvGraphicFramePr>
            <a:graphic>
              <a:graphicData uri="http://schemas.openxmlformats.org/drawingml/2006/picture">
                <pic:pic>
                  <pic:nvPicPr>
                    <pic:cNvPr id="0" name="board_03.png"/>
                    <pic:cNvPicPr/>
                  </pic:nvPicPr>
                  <pic:blipFill>
                    <a:blip r:embed="rId14"/>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ID-01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Sign in</w:t>
              <w:br/>
              <w:t>/sign-in</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Authenticate through passwordless email, password, Google, Microsoft or tenant SSO.</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ID-02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Registration</w:t>
              <w:br/>
              <w:t>/register</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Create the minimum viable account and retain eligible guest progress.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ID-03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Learning onboarding</w:t>
              <w:br/>
              <w:t>/onboarding</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Capture goal, experience, language, accessibility and notification preferences.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04 — Guardian and consent</w:t>
      </w:r>
    </w:p>
    <w:p>
      <w:pPr>
        <w:spacing w:after="60"/>
        <w:jc w:val="center"/>
      </w:pPr>
      <w:r>
        <w:drawing>
          <wp:inline xmlns:a="http://schemas.openxmlformats.org/drawingml/2006/main" xmlns:pic="http://schemas.openxmlformats.org/drawingml/2006/picture">
            <wp:extent cx="5943600" cy="3169920"/>
            <wp:docPr id="5" name="Picture 5" descr="Wireframe board 4: Guardian and consent, showing Age and consent routing, Guardian invitation, Guardian overview"/>
            <wp:cNvGraphicFramePr>
              <a:graphicFrameLocks noChangeAspect="1"/>
            </wp:cNvGraphicFramePr>
            <a:graphic>
              <a:graphicData uri="http://schemas.openxmlformats.org/drawingml/2006/picture">
                <pic:pic>
                  <pic:nvPicPr>
                    <pic:cNvPr id="0" name="board_04.png"/>
                    <pic:cNvPicPr/>
                  </pic:nvPicPr>
                  <pic:blipFill>
                    <a:blip r:embed="rId15"/>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GUA-01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Age and consent routing</w:t>
              <w:br/>
              <w:t>/consent</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Apply jurisdiction and programme rules before creating a minor account.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GUA-02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Guardian invitation</w:t>
              <w:br/>
              <w:t>/guardian/invite</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Invite and verify a guardian without exposing private learning reflections.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GUA-03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Guardian overview</w:t>
              <w:br/>
              <w:t>/guardian</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Manage consent, linked learners and permitted progress visibility.</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05 — Learner start</w:t>
      </w:r>
    </w:p>
    <w:p>
      <w:pPr>
        <w:spacing w:after="60"/>
        <w:jc w:val="center"/>
      </w:pPr>
      <w:r>
        <w:drawing>
          <wp:inline xmlns:a="http://schemas.openxmlformats.org/drawingml/2006/main" xmlns:pic="http://schemas.openxmlformats.org/drawingml/2006/picture">
            <wp:extent cx="5943600" cy="3169920"/>
            <wp:docPr id="6" name="Picture 6" descr="Wireframe board 5: Learner start, showing Learner dashboard, Prerequisite pathway, Readiness diagnostic"/>
            <wp:cNvGraphicFramePr>
              <a:graphicFrameLocks noChangeAspect="1"/>
            </wp:cNvGraphicFramePr>
            <a:graphic>
              <a:graphicData uri="http://schemas.openxmlformats.org/drawingml/2006/picture">
                <pic:pic>
                  <pic:nvPicPr>
                    <pic:cNvPr id="0" name="board_05.png"/>
                    <pic:cNvPicPr/>
                  </pic:nvPicPr>
                  <pic:blipFill>
                    <a:blip r:embed="rId16"/>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Learner dashboard</w:t>
              <w:br/>
              <w:t>/dashboard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Resume the most meaningful next action and understand mastery across programmes.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Prerequisite pathway</w:t>
              <w:br/>
              <w:t>/learn/foundations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Build common background knowledge while allowing experienced learners to move quickly.</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Readiness diagnostic</w:t>
              <w:br/>
              <w:t>/diagnostic</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Route the learner to bridge modules or Chapter 1 with an explainable result.</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06 — Course and chapter</w:t>
      </w:r>
    </w:p>
    <w:p>
      <w:pPr>
        <w:spacing w:after="60"/>
        <w:jc w:val="center"/>
      </w:pPr>
      <w:r>
        <w:drawing>
          <wp:inline xmlns:a="http://schemas.openxmlformats.org/drawingml/2006/main" xmlns:pic="http://schemas.openxmlformats.org/drawingml/2006/picture">
            <wp:extent cx="5943600" cy="3169920"/>
            <wp:docPr id="7" name="Picture 7" descr="Wireframe board 6: Course and chapter, showing Course pathway, Chapter overview, Lesson player"/>
            <wp:cNvGraphicFramePr>
              <a:graphicFrameLocks noChangeAspect="1"/>
            </wp:cNvGraphicFramePr>
            <a:graphic>
              <a:graphicData uri="http://schemas.openxmlformats.org/drawingml/2006/picture">
                <pic:pic>
                  <pic:nvPicPr>
                    <pic:cNvPr id="0" name="board_06.png"/>
                    <pic:cNvPicPr/>
                  </pic:nvPicPr>
                  <pic:blipFill>
                    <a:blip r:embed="rId17"/>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Course pathway</w:t>
              <w:br/>
              <w:t>/course/:courseId/path</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Show all 18 chapters, state, mastery evidence, time and next action.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Chapter overview</w:t>
              <w:br/>
              <w:t>/chapter/:chapterId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Orient the learner to outcomes, key verses, activities and assessment.</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Lesson player</w:t>
              <w:br/>
              <w:t>/lesson/:lessonId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Deliver multimodal learning with a persistent chapter rail and calm completion logic.</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07 — Verse and learning content</w:t>
      </w:r>
    </w:p>
    <w:p>
      <w:pPr>
        <w:spacing w:after="60"/>
        <w:jc w:val="center"/>
      </w:pPr>
      <w:r>
        <w:drawing>
          <wp:inline xmlns:a="http://schemas.openxmlformats.org/drawingml/2006/main" xmlns:pic="http://schemas.openxmlformats.org/drawingml/2006/picture">
            <wp:extent cx="5943600" cy="3169920"/>
            <wp:docPr id="8" name="Picture 8" descr="Wireframe board 7: Verse and learning content, showing Verse study, Media transcript, Glossary and concepts"/>
            <wp:cNvGraphicFramePr>
              <a:graphicFrameLocks noChangeAspect="1"/>
            </wp:cNvGraphicFramePr>
            <a:graphic>
              <a:graphicData uri="http://schemas.openxmlformats.org/drawingml/2006/picture">
                <pic:pic>
                  <pic:nvPicPr>
                    <pic:cNvPr id="0" name="board_07.png"/>
                    <pic:cNvPicPr/>
                  </pic:nvPicPr>
                  <pic:blipFill>
                    <a:blip r:embed="rId18"/>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LRN-07</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Verse study</w:t>
              <w:br/>
              <w:t>/verse/:verseId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Keep Sanskrit, transliteration, word meaning, translation and commentary visibly distinct.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LRN-08</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Media transcript</w:t>
              <w:br/>
              <w:t>/lesson/:id/transcript</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Provide synchronised transcript, captions, speed, search and accessible alternatives.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LRN-09</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Glossary and concepts</w:t>
              <w:br/>
              <w:t>/glossary</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Explain Sanskrit and philosophical terms in edition- and age-aware language.</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08 — Practice and assessment</w:t>
      </w:r>
    </w:p>
    <w:p>
      <w:pPr>
        <w:spacing w:after="60"/>
        <w:jc w:val="center"/>
      </w:pPr>
      <w:r>
        <w:drawing>
          <wp:inline xmlns:a="http://schemas.openxmlformats.org/drawingml/2006/main" xmlns:pic="http://schemas.openxmlformats.org/drawingml/2006/picture">
            <wp:extent cx="5943600" cy="3169920"/>
            <wp:docPr id="9" name="Picture 9" descr="Wireframe board 8: Practice and assessment, showing Private reflection, Practice activity, Assessment question"/>
            <wp:cNvGraphicFramePr>
              <a:graphicFrameLocks noChangeAspect="1"/>
            </wp:cNvGraphicFramePr>
            <a:graphic>
              <a:graphicData uri="http://schemas.openxmlformats.org/drawingml/2006/picture">
                <pic:pic>
                  <pic:nvPicPr>
                    <pic:cNvPr id="0" name="board_08.png"/>
                    <pic:cNvPicPr/>
                  </pic:nvPicPr>
                  <pic:blipFill>
                    <a:blip r:embed="rId19"/>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LRN-10</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Private reflection</w:t>
              <w:br/>
              <w:t>/reflection/:activityId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Support private meaning-making with autosave and explicit optional sharing.</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LRN-11</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Practice activity</w:t>
              <w:br/>
              <w:t>/practice/:activityId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Apply concepts through scenario, sorting, matching or short response.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LRN-12</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Assessment question</w:t>
              <w:br/>
              <w:t>/assessment/:assessmentId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Present one accessible item at a time with progress, save/resume and attempt policy.</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09 — Results and revision</w:t>
      </w:r>
    </w:p>
    <w:p>
      <w:pPr>
        <w:spacing w:after="60"/>
        <w:jc w:val="center"/>
      </w:pPr>
      <w:r>
        <w:drawing>
          <wp:inline xmlns:a="http://schemas.openxmlformats.org/drawingml/2006/main" xmlns:pic="http://schemas.openxmlformats.org/drawingml/2006/picture">
            <wp:extent cx="5943600" cy="3169920"/>
            <wp:docPr id="10" name="Picture 10" descr="Wireframe board 9: Results and revision, showing Assessment result, Targeted remediation, Revision queue"/>
            <wp:cNvGraphicFramePr>
              <a:graphicFrameLocks noChangeAspect="1"/>
            </wp:cNvGraphicFramePr>
            <a:graphic>
              <a:graphicData uri="http://schemas.openxmlformats.org/drawingml/2006/picture">
                <pic:pic>
                  <pic:nvPicPr>
                    <pic:cNvPr id="0" name="board_09.png"/>
                    <pic:cNvPicPr/>
                  </pic:nvPicPr>
                  <pic:blipFill>
                    <a:blip r:embed="rId20"/>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Assessment result</w:t>
              <w:br/>
              <w:t>/assessment/:id/result</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Explain mastered outcomes, misconceptions, pass decision and next action.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LRN-14</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Targeted remediation</w:t>
              <w:br/>
              <w:t>/revision/plan</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Create a short evidence-based revision plan linked to missed outcomes and verses.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LRN-15</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Revision queue</w:t>
              <w:br/>
              <w:t>/revision</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Support spaced review across verses, concepts and prior assessments.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10 — Personal library</w:t>
      </w:r>
    </w:p>
    <w:p>
      <w:pPr>
        <w:spacing w:after="60"/>
        <w:jc w:val="center"/>
      </w:pPr>
      <w:r>
        <w:drawing>
          <wp:inline xmlns:a="http://schemas.openxmlformats.org/drawingml/2006/main" xmlns:pic="http://schemas.openxmlformats.org/drawingml/2006/picture">
            <wp:extent cx="5943600" cy="3169920"/>
            <wp:docPr id="11" name="Picture 11" descr="Wireframe board 10: Personal library, showing Bookmarks, Private notes, Downloads and offline"/>
            <wp:cNvGraphicFramePr>
              <a:graphicFrameLocks noChangeAspect="1"/>
            </wp:cNvGraphicFramePr>
            <a:graphic>
              <a:graphicData uri="http://schemas.openxmlformats.org/drawingml/2006/picture">
                <pic:pic>
                  <pic:nvPicPr>
                    <pic:cNvPr id="0" name="board_10.png"/>
                    <pic:cNvPicPr/>
                  </pic:nvPicPr>
                  <pic:blipFill>
                    <a:blip r:embed="rId21"/>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Bookmarks</w:t>
              <w:br/>
              <w:t>/bookmarks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Return to saved verses, lessons and media while preserving edition context.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LRN-17</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Private notes</w:t>
              <w:br/>
              <w:t>/notes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Manage searchable notes separately from teacher-visible submissions.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LRN-18</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Downloads and offline</w:t>
              <w:br/>
              <w:t>/downloads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Control offline packs, size, rights expiry, update and sync status.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11 — Recognition and support</w:t>
      </w:r>
    </w:p>
    <w:p>
      <w:pPr>
        <w:spacing w:after="60"/>
        <w:jc w:val="center"/>
      </w:pPr>
      <w:r>
        <w:drawing>
          <wp:inline xmlns:a="http://schemas.openxmlformats.org/drawingml/2006/main" xmlns:pic="http://schemas.openxmlformats.org/drawingml/2006/picture">
            <wp:extent cx="5943600" cy="3169920"/>
            <wp:docPr id="12" name="Picture 12" descr="Wireframe board 11: Recognition and support, showing Certificate, Preferences and privacy, Help and report issue"/>
            <wp:cNvGraphicFramePr>
              <a:graphicFrameLocks noChangeAspect="1"/>
            </wp:cNvGraphicFramePr>
            <a:graphic>
              <a:graphicData uri="http://schemas.openxmlformats.org/drawingml/2006/picture">
                <pic:pic>
                  <pic:nvPicPr>
                    <pic:cNvPr id="0" name="board_11.png"/>
                    <pic:cNvPicPr/>
                  </pic:nvPicPr>
                  <pic:blipFill>
                    <a:blip r:embed="rId22"/>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LRN-19</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Certificate</w:t>
              <w:br/>
              <w:t>/certificate/:id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Display a verifiable, revocable completion credential with issuer and edition.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LRN-20</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Preferences and privacy</w:t>
              <w:br/>
              <w:t>/account/preferences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Control language, accessibility, notifications, sessions and data rights.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LRN-21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Help and report issue</w:t>
              <w:br/>
              <w:t>/support</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Reach approved support and report content, access, safety or technical issues.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12 — Mobile core learning</w:t>
      </w:r>
    </w:p>
    <w:p>
      <w:pPr>
        <w:spacing w:after="60"/>
        <w:jc w:val="center"/>
      </w:pPr>
      <w:r>
        <w:drawing>
          <wp:inline xmlns:a="http://schemas.openxmlformats.org/drawingml/2006/main" xmlns:pic="http://schemas.openxmlformats.org/drawingml/2006/picture">
            <wp:extent cx="5943600" cy="3169920"/>
            <wp:docPr id="13" name="Picture 13" descr="Wireframe board 12: Mobile core learning, showing Mobile home, Mobile course map, Mobile lesson"/>
            <wp:cNvGraphicFramePr>
              <a:graphicFrameLocks noChangeAspect="1"/>
            </wp:cNvGraphicFramePr>
            <a:graphic>
              <a:graphicData uri="http://schemas.openxmlformats.org/drawingml/2006/picture">
                <pic:pic>
                  <pic:nvPicPr>
                    <pic:cNvPr id="0" name="board_12.png"/>
                    <pic:cNvPicPr/>
                  </pic:nvPicPr>
                  <pic:blipFill>
                    <a:blip r:embed="rId23"/>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MOB-01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Mobile home</w:t>
              <w:br/>
              <w:t>app://home</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Resolve tenant and offer one high-confidence next action.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MOB-02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Mobile course map</w:t>
              <w:br/>
              <w:t>app://course/:id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Navigate 18 chapters with states, schedule and offline availability.</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MOB-03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Mobile lesson</w:t>
              <w:br/>
              <w:t>app://lesson/:id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Support interruption-safe video/audio/text learning with bottom next action.</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13 — Mobile scripture and assessment</w:t>
      </w:r>
    </w:p>
    <w:p>
      <w:pPr>
        <w:spacing w:after="60"/>
        <w:jc w:val="center"/>
      </w:pPr>
      <w:r>
        <w:drawing>
          <wp:inline xmlns:a="http://schemas.openxmlformats.org/drawingml/2006/main" xmlns:pic="http://schemas.openxmlformats.org/drawingml/2006/picture">
            <wp:extent cx="5943600" cy="3169920"/>
            <wp:docPr id="14" name="Picture 14" descr="Wireframe board 13: Mobile scripture and assessment, showing Mobile verse study, Mobile assessment, Mobile result"/>
            <wp:cNvGraphicFramePr>
              <a:graphicFrameLocks noChangeAspect="1"/>
            </wp:cNvGraphicFramePr>
            <a:graphic>
              <a:graphicData uri="http://schemas.openxmlformats.org/drawingml/2006/picture">
                <pic:pic>
                  <pic:nvPicPr>
                    <pic:cNvPr id="0" name="board_13.png"/>
                    <pic:cNvPicPr/>
                  </pic:nvPicPr>
                  <pic:blipFill>
                    <a:blip r:embed="rId24"/>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MOB-04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Mobile verse study</w:t>
              <w:br/>
              <w:t>app://verse/:id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Read source-aware verse layers comfortably on a narrow screen.</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MOB-05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Mobile assessment</w:t>
              <w:br/>
              <w:t>app://assessment/:id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Complete accessible one-question screens with autosave and resume.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MOB-06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Mobile result</w:t>
              <w:br/>
              <w:t>app://assessment/:id/result</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Explain mastery and route directly to revision or continuation.</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14 — Mobile offline and credentials</w:t>
      </w:r>
    </w:p>
    <w:p>
      <w:pPr>
        <w:spacing w:after="60"/>
        <w:jc w:val="center"/>
      </w:pPr>
      <w:r>
        <w:drawing>
          <wp:inline xmlns:a="http://schemas.openxmlformats.org/drawingml/2006/main" xmlns:pic="http://schemas.openxmlformats.org/drawingml/2006/picture">
            <wp:extent cx="5943600" cy="3169920"/>
            <wp:docPr id="15" name="Picture 15" descr="Wireframe board 14: Mobile offline and credentials, showing Offline library, Sync conflict, Mobile certificate"/>
            <wp:cNvGraphicFramePr>
              <a:graphicFrameLocks noChangeAspect="1"/>
            </wp:cNvGraphicFramePr>
            <a:graphic>
              <a:graphicData uri="http://schemas.openxmlformats.org/drawingml/2006/picture">
                <pic:pic>
                  <pic:nvPicPr>
                    <pic:cNvPr id="0" name="board_14.png"/>
                    <pic:cNvPicPr/>
                  </pic:nvPicPr>
                  <pic:blipFill>
                    <a:blip r:embed="rId25"/>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MOB-07</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Offline library</w:t>
              <w:br/>
              <w:t>app://downloads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Download, update and remove authorised content with transparent storage.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MOB-08</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Sync conflict</w:t>
              <w:br/>
              <w:t>app://sync</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Resolve conflicting completion, note and assessment events without data loss.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MOB-09</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Mobile certificate</w:t>
              <w:br/>
              <w:t>app://certificate/:id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Present a wallet-ready certificate and verification QR.</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15 — Teacher planning</w:t>
      </w:r>
    </w:p>
    <w:p>
      <w:pPr>
        <w:spacing w:after="60"/>
        <w:jc w:val="center"/>
      </w:pPr>
      <w:r>
        <w:drawing>
          <wp:inline xmlns:a="http://schemas.openxmlformats.org/drawingml/2006/main" xmlns:pic="http://schemas.openxmlformats.org/drawingml/2006/picture">
            <wp:extent cx="5943600" cy="3169920"/>
            <wp:docPr id="16" name="Picture 16" descr="Wireframe board 15: Teacher planning, showing Teacher dashboard, Cohort list, Cohort overview"/>
            <wp:cNvGraphicFramePr>
              <a:graphicFrameLocks noChangeAspect="1"/>
            </wp:cNvGraphicFramePr>
            <a:graphic>
              <a:graphicData uri="http://schemas.openxmlformats.org/drawingml/2006/picture">
                <pic:pic>
                  <pic:nvPicPr>
                    <pic:cNvPr id="0" name="board_15.png"/>
                    <pic:cNvPicPr/>
                  </pic:nvPicPr>
                  <pic:blipFill>
                    <a:blip r:embed="rId26"/>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TCH-01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Teacher dashboard</w:t>
              <w:br/>
              <w:t>/teacher</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Show classes, upcoming work, support flags and recent submissions.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TCH-02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Cohort list</w:t>
              <w:br/>
              <w:t>/teacher/cohorts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Manage permitted cohorts with programme, edition, schedule and roster state.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TCH-03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Cohort overview</w:t>
              <w:br/>
              <w:t>/teacher/cohort/:id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Understand participation, mastery, pace and accessibility support.</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16 — Teacher delivery and evidence</w:t>
      </w:r>
    </w:p>
    <w:p>
      <w:pPr>
        <w:spacing w:after="60"/>
        <w:jc w:val="center"/>
      </w:pPr>
      <w:r>
        <w:drawing>
          <wp:inline xmlns:a="http://schemas.openxmlformats.org/drawingml/2006/main" xmlns:pic="http://schemas.openxmlformats.org/drawingml/2006/picture">
            <wp:extent cx="5943600" cy="3169920"/>
            <wp:docPr id="17" name="Picture 17" descr="Wireframe board 16: Teacher delivery and evidence, showing Teaching schedule, Create assignment, Learner detail"/>
            <wp:cNvGraphicFramePr>
              <a:graphicFrameLocks noChangeAspect="1"/>
            </wp:cNvGraphicFramePr>
            <a:graphic>
              <a:graphicData uri="http://schemas.openxmlformats.org/drawingml/2006/picture">
                <pic:pic>
                  <pic:nvPicPr>
                    <pic:cNvPr id="0" name="board_16.png"/>
                    <pic:cNvPicPr/>
                  </pic:nvPicPr>
                  <pic:blipFill>
                    <a:blip r:embed="rId27"/>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TCH-04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Teaching schedule</w:t>
              <w:br/>
              <w:t>/teacher/schedule</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Plan chapter sequence, live sessions, due dates and exceptions.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TCH-05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Create assignment</w:t>
              <w:br/>
              <w:t>/teacher/assignment/new</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Assign only approved activities with rubric, due date and accommodation rules.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TCH-06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Learner detail</w:t>
              <w:br/>
              <w:t>/teacher/learner/:id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Support learning from permitted evidence without exposing private reflections.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17 — Teacher assessment and reports</w:t>
      </w:r>
    </w:p>
    <w:p>
      <w:pPr>
        <w:spacing w:after="60"/>
        <w:jc w:val="center"/>
      </w:pPr>
      <w:r>
        <w:drawing>
          <wp:inline xmlns:a="http://schemas.openxmlformats.org/drawingml/2006/main" xmlns:pic="http://schemas.openxmlformats.org/drawingml/2006/picture">
            <wp:extent cx="5943600" cy="3169920"/>
            <wp:docPr id="18" name="Picture 18" descr="Wireframe board 17: Teacher assessment and reports, showing Submissions and rubric, Class outcome report, Class presentation mode"/>
            <wp:cNvGraphicFramePr>
              <a:graphicFrameLocks noChangeAspect="1"/>
            </wp:cNvGraphicFramePr>
            <a:graphic>
              <a:graphicData uri="http://schemas.openxmlformats.org/drawingml/2006/picture">
                <pic:pic>
                  <pic:nvPicPr>
                    <pic:cNvPr id="0" name="board_17.png"/>
                    <pic:cNvPicPr/>
                  </pic:nvPicPr>
                  <pic:blipFill>
                    <a:blip r:embed="rId28"/>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TCH-07</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Submissions and rubric</w:t>
              <w:br/>
              <w:t>/teacher/submissions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Review work, apply an approved rubric and provide accessible feedback.</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TCH-08</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Class outcome report</w:t>
              <w:br/>
              <w:t>/teacher/reports/outcomes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Identify concept-level needs without public ranking or sensitive inference.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TCH-09</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Class presentation mode</w:t>
              <w:br/>
              <w:t>/teacher/present/:lessonId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Project verses, diagrams and activities with large text and minimal controls.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18 — Content authoring</w:t>
      </w:r>
    </w:p>
    <w:p>
      <w:pPr>
        <w:spacing w:after="60"/>
        <w:jc w:val="center"/>
      </w:pPr>
      <w:r>
        <w:drawing>
          <wp:inline xmlns:a="http://schemas.openxmlformats.org/drawingml/2006/main" xmlns:pic="http://schemas.openxmlformats.org/drawingml/2006/picture">
            <wp:extent cx="5943600" cy="3169920"/>
            <wp:docPr id="19" name="Picture 19" descr="Wireframe board 18: Content authoring, showing Content work queue, Course structure editor, Lesson editor"/>
            <wp:cNvGraphicFramePr>
              <a:graphicFrameLocks noChangeAspect="1"/>
            </wp:cNvGraphicFramePr>
            <a:graphic>
              <a:graphicData uri="http://schemas.openxmlformats.org/drawingml/2006/picture">
                <pic:pic>
                  <pic:nvPicPr>
                    <pic:cNvPr id="0" name="board_18.png"/>
                    <pic:cNvPicPr/>
                  </pic:nvPicPr>
                  <pic:blipFill>
                    <a:blip r:embed="rId29"/>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CNT-01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Content work queue</w:t>
              <w:br/>
              <w:t>/studio</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Prioritise draft, review, rights and accessibility work by edition and release.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CNT-02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Course structure editor</w:t>
              <w:br/>
              <w:t>/studio/course/:id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Assemble reusable modules, outcomes, chapters, lessons and assessments.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CNT-03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Lesson editor</w:t>
              <w:br/>
              <w:t>/studio/lesson/:id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Author structured layers and activities without mixing source and explanation.</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19 — Scholarly content tools</w:t>
      </w:r>
    </w:p>
    <w:p>
      <w:pPr>
        <w:spacing w:after="60"/>
        <w:jc w:val="center"/>
      </w:pPr>
      <w:r>
        <w:drawing>
          <wp:inline xmlns:a="http://schemas.openxmlformats.org/drawingml/2006/main" xmlns:pic="http://schemas.openxmlformats.org/drawingml/2006/picture">
            <wp:extent cx="5943600" cy="3169920"/>
            <wp:docPr id="20" name="Picture 20" descr="Wireframe board 19: Scholarly content tools, showing Verse picker, Translation compare, Assessment bank"/>
            <wp:cNvGraphicFramePr>
              <a:graphicFrameLocks noChangeAspect="1"/>
            </wp:cNvGraphicFramePr>
            <a:graphic>
              <a:graphicData uri="http://schemas.openxmlformats.org/drawingml/2006/picture">
                <pic:pic>
                  <pic:nvPicPr>
                    <pic:cNvPr id="0" name="board_19.png"/>
                    <pic:cNvPicPr/>
                  </pic:nvPicPr>
                  <pic:blipFill>
                    <a:blip r:embed="rId30"/>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CNT-04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Verse picker</w:t>
              <w:br/>
              <w:t>/studio/verse-picker</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Select canonical references and approved edition layers with provenance.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CNT-05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Translation compare</w:t>
              <w:br/>
              <w:t>/studio/compare</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Compare authorised versions side by side without silently merging them.</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CNT-06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Assessment bank</w:t>
              <w:br/>
              <w:t>/studio/items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Create and govern items by outcome, edition, age band and exposure state.</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20 — Content review, release and rights</w:t>
      </w:r>
    </w:p>
    <w:p>
      <w:pPr>
        <w:spacing w:after="60"/>
        <w:jc w:val="center"/>
      </w:pPr>
      <w:r>
        <w:drawing>
          <wp:inline xmlns:a="http://schemas.openxmlformats.org/drawingml/2006/main" xmlns:pic="http://schemas.openxmlformats.org/drawingml/2006/picture">
            <wp:extent cx="5943600" cy="3169920"/>
            <wp:docPr id="21" name="Picture 21" descr="Wireframe board 20: Content review, release and rights, showing Review and sign-off, Release manager, Rights ledger"/>
            <wp:cNvGraphicFramePr>
              <a:graphicFrameLocks noChangeAspect="1"/>
            </wp:cNvGraphicFramePr>
            <a:graphic>
              <a:graphicData uri="http://schemas.openxmlformats.org/drawingml/2006/picture">
                <pic:pic>
                  <pic:nvPicPr>
                    <pic:cNvPr id="0" name="board_20.png"/>
                    <pic:cNvPicPr/>
                  </pic:nvPicPr>
                  <pic:blipFill>
                    <a:blip r:embed="rId31"/>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CNT-07</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Review and sign-off</w:t>
              <w:br/>
              <w:t>/studio/review/:id</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Capture scholarly, pedagogical, language, accessibility and rights approvals.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CNT-08</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Release manager</w:t>
              <w:br/>
              <w:t>/studio/releases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Publish immutable versions to named tenants, languages and audiences.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CNT-09</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Rights ledger</w:t>
              <w:br/>
              <w:t>/studio/rights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Enforce media and text rights by territory, channel, audience, language and time.</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21 — Tenant administration</w:t>
      </w:r>
    </w:p>
    <w:p>
      <w:pPr>
        <w:spacing w:after="60"/>
        <w:jc w:val="center"/>
      </w:pPr>
      <w:r>
        <w:drawing>
          <wp:inline xmlns:a="http://schemas.openxmlformats.org/drawingml/2006/main" xmlns:pic="http://schemas.openxmlformats.org/drawingml/2006/picture">
            <wp:extent cx="5943600" cy="3169920"/>
            <wp:docPr id="22" name="Picture 22" descr="Wireframe board 21: Tenant administration, showing Tenant overview, Brand and domain, Users and roles"/>
            <wp:cNvGraphicFramePr>
              <a:graphicFrameLocks noChangeAspect="1"/>
            </wp:cNvGraphicFramePr>
            <a:graphic>
              <a:graphicData uri="http://schemas.openxmlformats.org/drawingml/2006/picture">
                <pic:pic>
                  <pic:nvPicPr>
                    <pic:cNvPr id="0" name="board_21.png"/>
                    <pic:cNvPicPr/>
                  </pic:nvPicPr>
                  <pic:blipFill>
                    <a:blip r:embed="rId32"/>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ADM-01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Tenant overview</w:t>
              <w:br/>
              <w:t>/admin</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See organisation health, programmes, editions, users, integrations and alerts.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ADM-02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Brand and domain</w:t>
              <w:br/>
              <w:t>/admin/brand</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Configure approved logo, colours, domain, app skin and communication templates.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ADM-03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Users and roles</w:t>
              <w:br/>
              <w:t>/admin/users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Invite, import and govern staff and learners with scoped roles.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22 — Programmes and integrations</w:t>
      </w:r>
    </w:p>
    <w:p>
      <w:pPr>
        <w:spacing w:after="60"/>
        <w:jc w:val="center"/>
      </w:pPr>
      <w:r>
        <w:drawing>
          <wp:inline xmlns:a="http://schemas.openxmlformats.org/drawingml/2006/main" xmlns:pic="http://schemas.openxmlformats.org/drawingml/2006/picture">
            <wp:extent cx="5943600" cy="3169920"/>
            <wp:docPr id="23" name="Picture 23" descr="Wireframe board 22: Programmes and integrations, showing Programme and cohorts, SSO, LTI and SIS, Policies and retention"/>
            <wp:cNvGraphicFramePr>
              <a:graphicFrameLocks noChangeAspect="1"/>
            </wp:cNvGraphicFramePr>
            <a:graphic>
              <a:graphicData uri="http://schemas.openxmlformats.org/drawingml/2006/picture">
                <pic:pic>
                  <pic:nvPicPr>
                    <pic:cNvPr id="0" name="board_22.png"/>
                    <pic:cNvPicPr/>
                  </pic:nvPicPr>
                  <pic:blipFill>
                    <a:blip r:embed="rId33"/>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ADM-04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Programme and cohorts</w:t>
              <w:br/>
              <w:t>/admin/programmes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Configure edition, course, age band, schedule, pass rules and certificate.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ADM-05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SSO, LTI and SIS</w:t>
              <w:br/>
              <w:t>/admin/integrations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Configure identity and school integrations with test and health evidence.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ADM-06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Policies and retention</w:t>
              <w:br/>
              <w:t>/admin/policies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Version consent, privacy, retention, notification and safeguarding rules.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23 — Certificates, analytics and audit</w:t>
      </w:r>
    </w:p>
    <w:p>
      <w:pPr>
        <w:spacing w:after="60"/>
        <w:jc w:val="center"/>
      </w:pPr>
      <w:r>
        <w:drawing>
          <wp:inline xmlns:a="http://schemas.openxmlformats.org/drawingml/2006/main" xmlns:pic="http://schemas.openxmlformats.org/drawingml/2006/picture">
            <wp:extent cx="5943600" cy="3169920"/>
            <wp:docPr id="24" name="Picture 24" descr="Wireframe board 23: Certificates, analytics and audit, showing Certificate configuration, Tenant analytics, Audit and support"/>
            <wp:cNvGraphicFramePr>
              <a:graphicFrameLocks noChangeAspect="1"/>
            </wp:cNvGraphicFramePr>
            <a:graphic>
              <a:graphicData uri="http://schemas.openxmlformats.org/drawingml/2006/picture">
                <pic:pic>
                  <pic:nvPicPr>
                    <pic:cNvPr id="0" name="board_23.png"/>
                    <pic:cNvPicPr/>
                  </pic:nvPicPr>
                  <pic:blipFill>
                    <a:blip r:embed="rId34"/>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ADM-07</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Certificate configuration</w:t>
              <w:br/>
              <w:t>/admin/certificates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Configure issuer, wording, signatures, verification and revocation rights.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ADM-08</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Tenant analytics</w:t>
              <w:br/>
              <w:t>/admin/analytics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Measure reach, activation, mastery, inclusion and service health within scope.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ADM-09</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Audit and support</w:t>
              <w:br/>
              <w:t>/admin/audit</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Investigate privileged actions, data exports, content releases and incidents.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24 — Platform operations</w:t>
      </w:r>
    </w:p>
    <w:p>
      <w:pPr>
        <w:spacing w:after="60"/>
        <w:jc w:val="center"/>
      </w:pPr>
      <w:r>
        <w:drawing>
          <wp:inline xmlns:a="http://schemas.openxmlformats.org/drawingml/2006/main" xmlns:pic="http://schemas.openxmlformats.org/drawingml/2006/picture">
            <wp:extent cx="5943600" cy="3169920"/>
            <wp:docPr id="25" name="Picture 25" descr="Wireframe board 24: Platform operations, showing Tenant registry, Feature flags and releases, System health and incidents"/>
            <wp:cNvGraphicFramePr>
              <a:graphicFrameLocks noChangeAspect="1"/>
            </wp:cNvGraphicFramePr>
            <a:graphic>
              <a:graphicData uri="http://schemas.openxmlformats.org/drawingml/2006/picture">
                <pic:pic>
                  <pic:nvPicPr>
                    <pic:cNvPr id="0" name="board_24.png"/>
                    <pic:cNvPicPr/>
                  </pic:nvPicPr>
                  <pic:blipFill>
                    <a:blip r:embed="rId35"/>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OPS-01</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Tenant registry</w:t>
              <w:br/>
              <w:t>/ops/tenants</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Operate tenant lifecycle, regions, tiers, ownership and data boundaries.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OPS-02</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Feature flags and releases</w:t>
              <w:br/>
              <w:t>/ops/releases</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Stage capabilities by tenant, cohort, app version and region with rollback.</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OPS-03</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System health and incidents</w:t>
              <w:br/>
              <w:t>/ops/health</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Monitor service objectives, jobs, sync, media, integrations and active incidents.</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Board 25 — Platform trust and support</w:t>
      </w:r>
    </w:p>
    <w:p>
      <w:pPr>
        <w:spacing w:after="60"/>
        <w:jc w:val="center"/>
      </w:pPr>
      <w:r>
        <w:drawing>
          <wp:inline xmlns:a="http://schemas.openxmlformats.org/drawingml/2006/main" xmlns:pic="http://schemas.openxmlformats.org/drawingml/2006/picture">
            <wp:extent cx="5943600" cy="3169920"/>
            <wp:docPr id="26" name="Picture 26" descr="Wireframe board 25: Platform trust and support, showing Content distribution, Support elevation, Security and audit"/>
            <wp:cNvGraphicFramePr>
              <a:graphicFrameLocks noChangeAspect="1"/>
            </wp:cNvGraphicFramePr>
            <a:graphic>
              <a:graphicData uri="http://schemas.openxmlformats.org/drawingml/2006/picture">
                <pic:pic>
                  <pic:nvPicPr>
                    <pic:cNvPr id="0" name="board_25.png"/>
                    <pic:cNvPicPr/>
                  </pic:nvPicPr>
                  <pic:blipFill>
                    <a:blip r:embed="rId36"/>
                    <a:stretch>
                      <a:fillRect/>
                    </a:stretch>
                  </pic:blipFill>
                  <pic:spPr>
                    <a:xfrm>
                      <a:off x="0" y="0"/>
                      <a:ext cx="5943600" cy="3169920"/>
                    </a:xfrm>
                    <a:prstGeom prst="rect"/>
                  </pic:spPr>
                </pic:pic>
              </a:graphicData>
            </a:graphic>
          </wp:inline>
        </w:drawing>
      </w:r>
    </w:p>
    <w:tbl>
      <w:tblPr>
        <w:tblStyle w:val="TableGrid"/>
        <w:tblW w:type="dxa" w:w="9360"/>
        <w:tblLayout w:type="fixed"/>
        <w:tblLook w:firstColumn="1" w:firstRow="1" w:lastColumn="0" w:lastRow="0" w:noHBand="0" w:noVBand="1" w:val="04A0"/>
        <w:jc w:val="left"/>
        <w:tblInd w:w="120" w:type="dxa"/>
      </w:tblPr>
      <w:tblGrid>
        <w:gridCol w:w="1050"/>
        <w:gridCol w:w="2750"/>
        <w:gridCol w:w="556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ID</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5"/>
              </w:rPr>
              <w:t>Screen / route</w:t>
            </w:r>
          </w:p>
        </w:tc>
        <w:tc>
          <w:tcPr>
            <w:tcW w:type="dxa" w:w="5560"/>
            <w:tcMar>
              <w:top w:w="80" w:type="dxa"/>
              <w:start w:w="120" w:type="dxa"/>
              <w:bottom w:w="80" w:type="dxa"/>
              <w:end w:w="120" w:type="dxa"/>
            </w:tcMar>
            <w:vAlign w:val="center"/>
            <w:shd w:fill="18264F"/>
          </w:tcPr>
          <w:p>
            <w:pPr>
              <w:spacing w:after="0"/>
            </w:pPr>
            <w:r>
              <w:rPr>
                <w:rFonts w:ascii="Arial" w:hAnsi="Arial"/>
                <w:b/>
                <w:i w:val="0"/>
                <w:color w:val="FFFFFF"/>
                <w:sz w:val="15"/>
              </w:rPr>
              <w:t>Primary decision or outcome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OPS-04</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Content distribution</w:t>
              <w:br/>
              <w:t>/ops/distribution</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Trace edition packages, tenant entitlement, CDN state and retractions.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OPS-05</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Support elevation</w:t>
              <w:br/>
              <w:t>/ops/support</w:t>
            </w:r>
          </w:p>
        </w:tc>
        <w:tc>
          <w:tcPr>
            <w:tcW w:type="dxa" w:w="5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Troubleshoot with time-bound, approved, audited access and privacy masks.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OPS-06</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5"/>
              </w:rPr>
              <w:t>Security and audit</w:t>
              <w:br/>
              <w:t>/ops/security</w:t>
            </w:r>
          </w:p>
        </w:tc>
        <w:tc>
          <w:tcPr>
            <w:tcW w:type="dxa" w:w="5560"/>
            <w:tcMar>
              <w:top w:w="80" w:type="dxa"/>
              <w:start w:w="120" w:type="dxa"/>
              <w:bottom w:w="80" w:type="dxa"/>
              <w:end w:w="120" w:type="dxa"/>
            </w:tcMar>
            <w:vAlign w:val="center"/>
          </w:tcPr>
          <w:p>
            <w:pPr>
              <w:spacing w:after="0" w:line="245" w:lineRule="auto"/>
            </w:pPr>
            <w:r>
              <w:rPr>
                <w:rFonts w:ascii="Arial" w:hAnsi="Arial"/>
                <w:b w:val="0"/>
                <w:i w:val="0"/>
                <w:color w:val="17213A"/>
                <w:sz w:val="15"/>
              </w:rPr>
              <w:t>Review privileged activity, threats, vulnerabilities, backups and tenant-isolation evidence.</w:t>
            </w:r>
          </w:p>
        </w:tc>
      </w:tr>
    </w:tbl>
    <w:p>
      <w:pPr>
        <w:spacing w:before="0" w:after="0"/>
      </w:pPr>
      <w:r>
        <w:rPr>
          <w:rFonts w:ascii="Arial" w:hAnsi="Arial"/>
          <w:b w:val="0"/>
          <w:i/>
          <w:color w:val="6D7282"/>
          <w:sz w:val="16"/>
        </w:rPr>
        <w:t>Annotation contract: 1 shell/identity · 2 orientation/context · 3 primary task · 4 supporting state · 5 next action.</w:t>
      </w:r>
    </w:p>
    <w:p>
      <w:pPr>
        <w:sectPr>
          <w:pgSz w:w="12240" w:h="15840"/>
          <w:pgMar w:top="1440" w:right="1440" w:bottom="1440" w:left="1440" w:header="708" w:footer="708" w:gutter="0"/>
          <w:cols w:space="720"/>
          <w:docGrid w:linePitch="360"/>
        </w:sectPr>
      </w:pPr>
    </w:p>
    <w:p>
      <w:pPr>
        <w:pStyle w:val="Heading1"/>
      </w:pPr>
      <w:r>
        <w:t>7. Screen-level implementation register</w:t>
      </w:r>
    </w:p>
    <w:p>
      <w:pPr>
        <w:spacing w:before="0" w:after="100"/>
      </w:pPr>
      <w:r>
        <w:rPr>
          <w:rFonts w:ascii="Arial" w:hAnsi="Arial"/>
          <w:b w:val="0"/>
          <w:i w:val="0"/>
          <w:color w:val="17213A"/>
          <w:sz w:val="21"/>
        </w:rPr>
        <w:t>This register is the minimum screen contract for estimation and backlog traceability. The vendor must elaborate each row into component, content, validation, permission, event, API and acceptance annotations without changing the screen ID.</w:t>
      </w:r>
    </w:p>
    <w:p>
      <w:pPr>
        <w:spacing w:before="100" w:after="140"/>
        <w:ind w:left="115" w:right="29"/>
        <w:shd w:fill="EDF1F8"/>
        <w:pBdr>
          <w:top w:val="single" w:sz="3" w:color="18264F" w:space="7"/>
          <w:left w:val="single" w:sz="14" w:color="18264F" w:space="7"/>
          <w:bottom w:val="single" w:sz="3" w:color="18264F" w:space="7"/>
          <w:right w:val="single" w:sz="3" w:color="18264F" w:space="7"/>
        </w:pBdr>
      </w:pPr>
      <w:r>
        <w:rPr>
          <w:rFonts w:ascii="Arial" w:hAnsi="Arial"/>
          <w:b/>
          <w:i w:val="0"/>
          <w:color w:val="18264F"/>
          <w:sz w:val="19"/>
        </w:rPr>
        <w:t xml:space="preserve">TRACEABILITY KEY: </w:t>
      </w:r>
      <w:r>
        <w:rPr>
          <w:rFonts w:ascii="Arial" w:hAnsi="Arial"/>
          <w:b w:val="0"/>
          <w:i w:val="0"/>
          <w:color w:val="17213A"/>
          <w:sz w:val="19"/>
        </w:rPr>
        <w:t>Every backlog story, design frame, API contract and test case must reference at least one screen ID. Every screen ID must trace to a tested route or deep link, including denied, empty, offline and recovery states.</w:t>
      </w:r>
    </w:p>
    <w:p>
      <w:pPr>
        <w:pStyle w:val="Heading2"/>
      </w:pPr>
      <w:r>
        <w:t>7.01 — Public discovery</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PUB-01</w:t>
              <w:br/>
              <w:t>Tenant-aware home</w:t>
              <w:br/>
              <w:t>/</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Anonymous or authenticated; published tenant catalogue only.</w:t>
              <w:br/>
              <w:t>Context: tenantId, programmeId?, editionId?, language, publicationStatus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Search, Continue learning, Featured pathway, Trust strip.</w:t>
              <w:br/>
              <w:t>Primary action: Trust strip;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loading; tenant unresolved; filtered empty; unpublished/rights unavailable; sign-in return.</w:t>
              <w:br/>
              <w:t>Acceptance: resolved context is visible; action commits or navigates once, failure retains user input, and event pub_01_primary_action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PUB-02</w:t>
              <w:br/>
              <w:t>Edition directory</w:t>
              <w:br/>
              <w:t>/editions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Anonymous or authenticated; published tenant catalogue only.</w:t>
              <w:br/>
              <w:t>Context: tenantId, programmeId?, editionId?, language, publicationStatus</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Organisation filter, Tradition / lineage, Language, Edition provenance.</w:t>
              <w:br/>
              <w:t>Primary action: Edition provenance;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loading; tenant unresolved; filtered empty; unpublished/rights unavailable; sign-in return.</w:t>
              <w:br/>
              <w:t>Acceptance: resolved context is visible; action commits or navigates once, failure retains user input, and event pub_02_primary_action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PUB-03</w:t>
              <w:br/>
              <w:t>Course catalogue</w:t>
              <w:br/>
              <w:t>/courses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Anonymous or authenticated; published tenant catalogue only.</w:t>
              <w:br/>
              <w:t>Context: tenantId, programmeId?, editionId?, language, publicationStatus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Audience filter, Edition filter, Course cards, Compare pathways.</w:t>
              <w:br/>
              <w:t>Primary action: Compare pathways;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loading; tenant unresolved; filtered empty; unpublished/rights unavailable; sign-in return.</w:t>
              <w:br/>
              <w:t>Acceptance: resolved context is visible; action commits or navigates once, failure retains user input, and event pub_03_primary_action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7.02 — Search and product detail</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PUB-04</w:t>
              <w:br/>
              <w:t>Scripture search</w:t>
              <w:br/>
              <w:t>/scripture</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Anonymous or authenticated; published tenant catalogue only.</w:t>
              <w:br/>
              <w:t>Context: tenantId, programmeId?, editionId?, language, publicationStatus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Search query, Layer filters, Verse results, Source labels.</w:t>
              <w:br/>
              <w:t>Primary action: Source labels;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loading; tenant unresolved; filtered empty; unpublished/rights unavailable; sign-in return.</w:t>
              <w:br/>
              <w:t>Acceptance: resolved context is visible; action commits or navigates once, failure retains user input, and event pub_04_primary_action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PUB-05</w:t>
              <w:br/>
              <w:t>Course detail</w:t>
              <w:br/>
              <w:t>/course/:courseId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Anonymous or authenticated; published tenant catalogue only.</w:t>
              <w:br/>
              <w:t>Context: tenantId, programmeId?, editionId?, language, publicationStatus</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Course facts, 18-chapter map, Edition authority, Start / enrol.</w:t>
              <w:br/>
              <w:t>Primary action: Start / enrol;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loading; tenant unresolved; filtered empty; unpublished/rights unavailable; sign-in return.</w:t>
              <w:br/>
              <w:t>Acceptance: resolved context is visible; action commits or navigates once, failure retains user input, and event pub_05_primary_action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PUB-06</w:t>
              <w:br/>
              <w:t>Edition detail</w:t>
              <w:br/>
              <w:t>/edition/:editionId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Anonymous or authenticated; published tenant catalogue only.</w:t>
              <w:br/>
              <w:t>Context: tenantId, programmeId?, editionId?, language, publicationStatus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About this edition, Authority, Languages, Version history.</w:t>
              <w:br/>
              <w:t>Primary action: Version history;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loading; tenant unresolved; filtered empty; unpublished/rights unavailable; sign-in return.</w:t>
              <w:br/>
              <w:t>Acceptance: resolved context is visible; action commits or navigates once, failure retains user input, and event pub_06_primary_action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7.03 — Identity and onboarding</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ID-01</w:t>
              <w:br/>
              <w:t>Sign in</w:t>
              <w:br/>
              <w:t>/sign-in</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Anonymous/challenged identity; tenant authentication and age policy.</w:t>
              <w:br/>
              <w:t>Context: tenantId, authPolicyVersion, inviteId?, agePolicy, returnRoute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Email / SSO, Passwordless code, Recovery, Privacy notice.</w:t>
              <w:br/>
              <w:t>Primary action: Privacy notice;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validation; challenged; expired code/link; SSO failure; rate limited; recovery complete.</w:t>
              <w:br/>
              <w:t>Acceptance: resolved context is visible; action commits or navigates once, failure retains user input, and event id_01_primary_action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ID-02</w:t>
              <w:br/>
              <w:t>Registration</w:t>
              <w:br/>
              <w:t>/register</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Anonymous/challenged identity; tenant authentication and age policy.</w:t>
              <w:br/>
              <w:t>Context: tenantId, authPolicyVersion, inviteId?, agePolicy, returnRoute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Identity, Terms, Age declaration, Create account.</w:t>
              <w:br/>
              <w:t>Primary action: Create account;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validation; challenged; expired code/link; SSO failure; rate limited; recovery complete.</w:t>
              <w:br/>
              <w:t>Acceptance: resolved context is visible; action commits or navigates once, failure retains user input, and event id_02_primary_action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ID-03</w:t>
              <w:br/>
              <w:t>Learning onboarding</w:t>
              <w:br/>
              <w:t>/onboarding</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Anonymous/challenged identity; tenant authentication and age policy.</w:t>
              <w:br/>
              <w:t>Context: tenantId, authPolicyVersion, inviteId?, agePolicy, returnRoute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Learning goal, Experience level, Language, Accessibility.</w:t>
              <w:br/>
              <w:t>Primary action: Accessibility;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validation; challenged; expired code/link; SSO failure; rate limited; recovery complete.</w:t>
              <w:br/>
              <w:t>Acceptance: resolved context is visible; action commits or navigates once, failure retains user input, and event id_03_primary_action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7.04 — Guardian and consent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GUA-01</w:t>
              <w:br/>
              <w:t>Age and consent routing</w:t>
              <w:br/>
              <w:t>/consent</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Verified guardian; linked learner and consent scope only.</w:t>
              <w:br/>
              <w:t>Context: tenantId, guardianId, learnerLinkId, consentPolicyVersion, jurisdiction</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Age band, Jurisdiction, School context, Required consent.</w:t>
              <w:br/>
              <w:t>Primary action: Required consent;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invitation pending/expired; consent required/granted/revoked; link removed; access denied.</w:t>
              <w:br/>
              <w:t>Acceptance: resolved context is visible; action commits or navigates once, failure retains user input, and event gua_01_primary_action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GUA-02</w:t>
              <w:br/>
              <w:t>Guardian invitation</w:t>
              <w:br/>
              <w:t>/guardian/invite</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Verified guardian; linked learner and consent scope only.</w:t>
              <w:br/>
              <w:t>Context: tenantId, guardianId, learnerLinkId, consentPolicyVersion, jurisdiction</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Guardian email, Relationship, Consent scope, Expiry.</w:t>
              <w:br/>
              <w:t>Primary action: Expiry;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invitation pending/expired; consent required/granted/revoked; link removed; access denied.</w:t>
              <w:br/>
              <w:t>Acceptance: resolved context is visible; action commits or navigates once, failure retains user input, and event gua_02_primary_action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GUA-03</w:t>
              <w:br/>
              <w:t>Guardian overview</w:t>
              <w:br/>
              <w:t>/guardian</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Verified guardian; linked learner and consent scope only.</w:t>
              <w:br/>
              <w:t>Context: tenantId, guardianId, learnerLinkId, consentPolicyVersion, jurisdiction</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Linked learners, Consent status, Notifications, Data rights.</w:t>
              <w:br/>
              <w:t>Primary action: Data rights;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invitation pending/expired; consent required/granted/revoked; link removed; access denied.</w:t>
              <w:br/>
              <w:t>Acceptance: resolved context is visible; action commits or navigates once, failure retains user input, and event gua_03_primary_action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7.05 — Learner start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LRN-01</w:t>
              <w:br/>
              <w:t>Learner dashboard</w:t>
              <w:br/>
              <w:t>/dashboard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Continue card, Weekly plan, Chapter map, Achievements.</w:t>
              <w:br/>
              <w:t>Primary action: Achievements;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LRN-02</w:t>
              <w:br/>
              <w:t>Prerequisite pathway</w:t>
              <w:br/>
              <w:t>/learn/foundations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Orientation, Gita context, Key concepts, How to read a verse.</w:t>
              <w:br/>
              <w:t>Primary action: How to read a verse;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LRN-03</w:t>
              <w:br/>
              <w:t>Readiness diagnostic</w:t>
              <w:br/>
              <w:t>/diagnostic</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Question progress, Skip policy, Save / resume, Result explanation.</w:t>
              <w:br/>
              <w:t>Primary action: Result explanation;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7.06 — Course and chapter</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LRN-04</w:t>
              <w:br/>
              <w:t>Course pathway</w:t>
              <w:br/>
              <w:t>/course/:courseId/path</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Chapter states, Progress, Revision flags, Certificate status.</w:t>
              <w:br/>
              <w:t>Primary action: Certificate status;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LRN-05</w:t>
              <w:br/>
              <w:t>Chapter overview</w:t>
              <w:br/>
              <w:t>/chapter/:chapterId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Essential question, Outcomes, Activity plan, Chapter test.</w:t>
              <w:br/>
              <w:t>Primary action: Chapter test;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LRN-06</w:t>
              <w:br/>
              <w:t>Lesson player</w:t>
              <w:br/>
              <w:t>/lesson/:lessonId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Video, Slides, Verse &amp; meaning, Private reflection.</w:t>
              <w:br/>
              <w:t>Primary action: Private reflection;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7.07 — Verse and learning content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LRN-07</w:t>
              <w:br/>
              <w:t>Verse study</w:t>
              <w:br/>
              <w:t>/verse/:verseId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Source text, Transliteration, Translation, Commentary.</w:t>
              <w:br/>
              <w:t>Primary action: Commentary;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lrn_07_primary_action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LRN-08</w:t>
              <w:br/>
              <w:t>Media transcript</w:t>
              <w:br/>
              <w:t>/lesson/:id/transcript</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Transcript search, Speaker labels, Playback, Download text.</w:t>
              <w:br/>
              <w:t>Primary action: Download text;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lrn_08_primary_action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LRN-09</w:t>
              <w:br/>
              <w:t>Glossary and concepts</w:t>
              <w:br/>
              <w:t>/glossary</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Term search, Source definition, Learning explanation, Related verses.</w:t>
              <w:br/>
              <w:t>Primary action: Related verses;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lrn_09_primary_action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7.08 — Practice and assessment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LRN-10</w:t>
              <w:br/>
              <w:t>Private reflection</w:t>
              <w:br/>
              <w:t>/reflection/:activityId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Prompt, Private editor, Autosave state, Sharing control.</w:t>
              <w:br/>
              <w:t>Primary action: Sharing control;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lrn_10_primary_action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LRN-11</w:t>
              <w:br/>
              <w:t>Practice activity</w:t>
              <w:br/>
              <w:t>/practice/:activityId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Instructions, Interactive task, Hint, Feedback.</w:t>
              <w:br/>
              <w:t>Primary action: Feedback;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lrn_11_primary_action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LRN-12</w:t>
              <w:br/>
              <w:t>Assessment question</w:t>
              <w:br/>
              <w:t>/assessment/:assessmentId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Question, Answer options, Progress, Submit / flag.</w:t>
              <w:br/>
              <w:t>Primary action: Submit / flag;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lrn_12_primary_action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7.09 — Results and revision</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LRN-13</w:t>
              <w:br/>
              <w:t>Assessment result</w:t>
              <w:br/>
              <w:t>/assessment/:id/result</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Outcome mastery, Score context, Review targets, Retry policy.</w:t>
              <w:br/>
              <w:t>Primary action: Retry policy;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lrn_13_primary_action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LRN-14</w:t>
              <w:br/>
              <w:t>Targeted remediation</w:t>
              <w:br/>
              <w:t>/revision/plan</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Revision items, Estimated time, Practice again, Retake readiness.</w:t>
              <w:br/>
              <w:t>Primary action: Retake readiness;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lrn_14_primary_action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LRN-15</w:t>
              <w:br/>
              <w:t>Revision queue</w:t>
              <w:br/>
              <w:t>/revision</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Due today, Verse recall, Concept review, Completed history.</w:t>
              <w:br/>
              <w:t>Primary action: Completed history;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lrn_15_primary_action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7.10 — Personal library</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LRN-16</w:t>
              <w:br/>
              <w:t>Bookmarks</w:t>
              <w:br/>
              <w:t>/bookmarks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Saved verses, Saved lessons, Filters, Remove / organise.</w:t>
              <w:br/>
              <w:t>Primary action: Remove / organise;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lrn_16_primary_action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LRN-17</w:t>
              <w:br/>
              <w:t>Private notes</w:t>
              <w:br/>
              <w:t>/notes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Note search, Course filters, Export, Delete.</w:t>
              <w:br/>
              <w:t>Primary action: Delete;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lrn_17_primary_action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LRN-18</w:t>
              <w:br/>
              <w:t>Downloads and offline</w:t>
              <w:br/>
              <w:t>/downloads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Downloaded packs, Storage, Update required, Remove download.</w:t>
              <w:br/>
              <w:t>Primary action: Remove download;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lrn_18_primary_action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7.11 — Recognition and support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LRN-19</w:t>
              <w:br/>
              <w:t>Certificate</w:t>
              <w:br/>
              <w:t>/certificate/:id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Certificate preview, Verification URL, Download / share, Status history.</w:t>
              <w:br/>
              <w:t>Primary action: Status history;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lrn_19_primary_action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LRN-20</w:t>
              <w:br/>
              <w:t>Preferences and privacy</w:t>
              <w:br/>
              <w:t>/account/preferences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Display settings, Notifications, Privacy, Sessions.</w:t>
              <w:br/>
              <w:t>Primary action: Sessions;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lrn_20_primary_action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LRN-21</w:t>
              <w:br/>
              <w:t>Help and report issue</w:t>
              <w:br/>
              <w:t>/support</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own enrolment, entitlement and private data.</w:t>
              <w:br/>
              <w:t>Context: tenantId, learnerId, enrolmentId, programmeId, editionId, language</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Search help, Issue type, Context capture, Contact support.</w:t>
              <w:br/>
              <w:t>Primary action: Contact support;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loading; locked; in progress; completed; offline; stale; sync conflict; entitlement expired.</w:t>
              <w:br/>
              <w:t>Acceptance: resolved context is visible; action commits or navigates once, failure retains user input, and event lrn_21_primary_action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7.12 — Mobile core learning</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MOB-01</w:t>
              <w:br/>
              <w:t>Mobile home</w:t>
              <w:br/>
              <w:t>app://home</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Continue, Daily plan, Saved, Profile.</w:t>
              <w:br/>
              <w:t>Primary action: Profile;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MOB-02</w:t>
              <w:br/>
              <w:t>Mobile course map</w:t>
              <w:br/>
              <w:t>app://course/:id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Course progress, Chapter list, Download, Schedule.</w:t>
              <w:br/>
              <w:t>Primary action: Schedule;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MOB-03</w:t>
              <w:br/>
              <w:t>Mobile lesson</w:t>
              <w:br/>
              <w:t>app://lesson/:id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Media, Transcript, Bookmark, Complete.</w:t>
              <w:br/>
              <w:t>Primary action: Complete;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7.13 — Mobile scripture and assessment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MOB-04</w:t>
              <w:br/>
              <w:t>Mobile verse study</w:t>
              <w:br/>
              <w:t>app://verse/:id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Sanskrit, Transliteration, Translation, Commentary.</w:t>
              <w:br/>
              <w:t>Primary action: Commentary;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MOB-05</w:t>
              <w:br/>
              <w:t>Mobile assessment</w:t>
              <w:br/>
              <w:t>app://assessment/:id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Question, Choices, Progress, Submit.</w:t>
              <w:br/>
              <w:t>Primary action: Submit;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MOB-06</w:t>
              <w:br/>
              <w:t>Mobile result</w:t>
              <w:br/>
              <w:t>app://assessment/:id/result</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Result, Mastery, Review, Next action.</w:t>
              <w:br/>
              <w:t>Primary action: Next action;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7.14 — Mobile offline and credentials</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MOB-07</w:t>
              <w:br/>
              <w:t>Offline library</w:t>
              <w:br/>
              <w:t>app://downloads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Packs, Storage used, Expiry, Update.</w:t>
              <w:br/>
              <w:t>Primary action: Update;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mob_07_primary_action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MOB-08</w:t>
              <w:br/>
              <w:t>Sync conflict</w:t>
              <w:br/>
              <w:t>app://sync</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Conflict summary, Server version, Device version, Resolve.</w:t>
              <w:br/>
              <w:t>Primary action: Resolve;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mob_08_primary_action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MOB-09</w:t>
              <w:br/>
              <w:t>Mobile certificate</w:t>
              <w:br/>
              <w:t>app://certificate/:id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Authenticated learner on registered app instance; same learner scope as web.</w:t>
              <w:br/>
              <w:t>Context: tenantId, learnerId, enrolmentId, editionId, deviceId, syncCursor</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Credential, QR, Share, Status.</w:t>
              <w:br/>
              <w:t>Primary action: Status;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offline; queued; syncing; conflict; storage low; download expired/retracted; app update required.</w:t>
              <w:br/>
              <w:t>Acceptance: resolved context is visible; action commits or navigates once, failure retains user input, and event mob_09_primary_action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7.15 — Teacher planning</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TCH-01</w:t>
              <w:br/>
              <w:t>Teacher dashboard</w:t>
              <w:br/>
              <w:t>/teacher</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Classes, Upcoming, Support flags, Submissions.</w:t>
              <w:br/>
              <w:t>Primary action: Submissions;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TCH-02</w:t>
              <w:br/>
              <w:t>Cohort list</w:t>
              <w:br/>
              <w:t>/teacher/cohorts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Cohorts, Programme, Roster, Term.</w:t>
              <w:br/>
              <w:t>Primary action: Term;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TCH-03</w:t>
              <w:br/>
              <w:t>Cohort overview</w:t>
              <w:br/>
              <w:t>/teacher/cohort/:id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Roster, Outcome mastery, Pace, Accommodations.</w:t>
              <w:br/>
              <w:t>Primary action: Accommodations;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7.16 — Teacher delivery and evidence</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TCH-04</w:t>
              <w:br/>
              <w:t>Teaching schedule</w:t>
              <w:br/>
              <w:t>/teacher/schedule</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Calendar, Chapter plan, Due dates, Announcements.</w:t>
              <w:br/>
              <w:t>Primary action: Announcements;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TCH-05</w:t>
              <w:br/>
              <w:t>Create assignment</w:t>
              <w:br/>
              <w:t>/teacher/assignment/new</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Activity picker, Instructions, Rubric, Publish.</w:t>
              <w:br/>
              <w:t>Primary action: Publish;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TCH-06</w:t>
              <w:br/>
              <w:t>Learner detail</w:t>
              <w:br/>
              <w:t>/teacher/learner/:id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Progress, Mastery, Attempts, Support notes.</w:t>
              <w:br/>
              <w:t>Primary action: Support notes;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7.17 — Teacher assessment and reports</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TCH-07</w:t>
              <w:br/>
              <w:t>Submissions and rubric</w:t>
              <w:br/>
              <w:t>/teacher/submissions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Submission, Rubric, Feedback, Return.</w:t>
              <w:br/>
              <w:t>Primary action: Return;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tch_07_primary_action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TCH-08</w:t>
              <w:br/>
              <w:t>Class outcome report</w:t>
              <w:br/>
              <w:t>/teacher/reports/outcomes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Outcome heatmap, Distribution, Interventions, Export.</w:t>
              <w:br/>
              <w:t>Primary action: Export;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tch_08_primary_action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TCH-09</w:t>
              <w:br/>
              <w:t>Class presentation mode</w:t>
              <w:br/>
              <w:t>/teacher/present/:lessonId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Teacher/facilitator; assigned tenant, programme and cohort only.</w:t>
              <w:br/>
              <w:t>Context: tenantId, actorId, roleScopes, programmeId, cohortId?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Presenter view, Verse slide, Discussion prompt, Next slide.</w:t>
              <w:br/>
              <w:t>Primary action: Next slide;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empty cohort; roster syncing; partial data; permission denied; submission locked; export pending.</w:t>
              <w:br/>
              <w:t>Acceptance: resolved context is visible; action commits or navigates once, failure retains user input, and event tch_09_primary_action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7.18 — Content authoring</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CNT-01</w:t>
              <w:br/>
              <w:t>Content work queue</w:t>
              <w:br/>
              <w:t>/studio</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My tasks, Due reviews, Blocked rights, Release status.</w:t>
              <w:br/>
              <w:t>Primary action: Release status;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CNT-02</w:t>
              <w:br/>
              <w:t>Course structure editor</w:t>
              <w:br/>
              <w:t>/studio/course/:id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Course tree, Outcomes, Dependencies, Preview.</w:t>
              <w:br/>
              <w:t>Primary action: Preview;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CNT-03</w:t>
              <w:br/>
              <w:t>Lesson editor</w:t>
              <w:br/>
              <w:t>/studio/lesson/:id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Lesson outline, Content blocks, Citations, Preview.</w:t>
              <w:br/>
              <w:t>Primary action: Preview;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7.19 — Scholarly content tools</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CNT-04</w:t>
              <w:br/>
              <w:t>Verse picker</w:t>
              <w:br/>
              <w:t>/studio/verse-picker</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Chapter / verse, Source edition, Layer choice, Insert.</w:t>
              <w:br/>
              <w:t>Primary action: Insert;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CNT-05</w:t>
              <w:br/>
              <w:t>Translation compare</w:t>
              <w:br/>
              <w:t>/studio/compare</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Source, Edition A, Edition B, Difference notes.</w:t>
              <w:br/>
              <w:t>Primary action: Difference notes;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CNT-06</w:t>
              <w:br/>
              <w:t>Assessment bank</w:t>
              <w:br/>
              <w:t>/studio/items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Item filters, Difficulty, Validity, Exposure.</w:t>
              <w:br/>
              <w:t>Primary action: Exposure;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7.20 — Content review, release and rights</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CNT-07</w:t>
              <w:br/>
              <w:t>Review and sign-off</w:t>
              <w:br/>
              <w:t>/studio/review/:id</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Review dimensions, Comments, Change request, Sign-off.</w:t>
              <w:br/>
              <w:t>Primary action: Sign-off;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cnt_07_primary_action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CNT-08</w:t>
              <w:br/>
              <w:t>Release manager</w:t>
              <w:br/>
              <w:t>/studio/releases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Release contents, Tenant scope, Schedule, Rollback.</w:t>
              <w:br/>
              <w:t>Primary action: Rollback;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cnt_08_primary_action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CNT-09</w:t>
              <w:br/>
              <w:t>Rights ledger</w:t>
              <w:br/>
              <w:t>/studio/rights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Named author/reviewer/publisher scopes; edition, language and release task.</w:t>
              <w:br/>
              <w:t>Context: tenantId, actorId, editionId, language, contentVersion, reviewTaskId?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Rights owner, Grant scope, Expiry, Restrictions.</w:t>
              <w:br/>
              <w:t>Primary action: Restrictions;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draft; validation failed; in review; changes requested; approved; rights blocked; published/superseded.</w:t>
              <w:br/>
              <w:t>Acceptance: resolved context is visible; action commits or navigates once, failure retains user input, and event cnt_09_primary_action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7.21 — Tenant administration</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ADM-01</w:t>
              <w:br/>
              <w:t>Tenant overview</w:t>
              <w:br/>
              <w:t>/admin</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Programmes, Users, Edition status, Alerts.</w:t>
              <w:br/>
              <w:t>Primary action: Alerts;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ADM-02</w:t>
              <w:br/>
              <w:t>Brand and domain</w:t>
              <w:br/>
              <w:t>/admin/brand</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Brand tokens, Domain, App identity, Preview.</w:t>
              <w:br/>
              <w:t>Primary action: Preview;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ADM-03</w:t>
              <w:br/>
              <w:t>Users and roles</w:t>
              <w:br/>
              <w:t>/admin/users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User search, Role scope, Invitations, Bulk actions.</w:t>
              <w:br/>
              <w:t>Primary action: Bulk actions;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7.22 — Programmes and integrations</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ADM-04</w:t>
              <w:br/>
              <w:t>Programme and cohorts</w:t>
              <w:br/>
              <w:t>/admin/programmes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Programme, Cohorts, Rules, Enrolment.</w:t>
              <w:br/>
              <w:t>Primary action: Enrolment;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ADM-05</w:t>
              <w:br/>
              <w:t>SSO, LTI and SIS</w:t>
              <w:br/>
              <w:t>/admin/integrations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SSO, LTI launch, Roster sync, Test connection.</w:t>
              <w:br/>
              <w:t>Primary action: Test connection;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ADM-06</w:t>
              <w:br/>
              <w:t>Policies and retention</w:t>
              <w:br/>
              <w:t>/admin/policies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Policy versions, Age rules, Retention, Publication.</w:t>
              <w:br/>
              <w:t>Primary action: Publication;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7.23 — Certificates, analytics and audit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ADM-07</w:t>
              <w:br/>
              <w:t>Certificate configuration</w:t>
              <w:br/>
              <w:t>/admin/certificates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Template, Issuer, Eligibility, Revocation.</w:t>
              <w:br/>
              <w:t>Primary action: Revocation;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adm_07_primary_action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ADM-08</w:t>
              <w:br/>
              <w:t>Tenant analytics</w:t>
              <w:br/>
              <w:t>/admin/analytics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Reach, Learning, Continuation, Inclusion.</w:t>
              <w:br/>
              <w:t>Primary action: Inclusion;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adm_08_primary_action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ADM-09</w:t>
              <w:br/>
              <w:t>Audit and support</w:t>
              <w:br/>
              <w:t>/admin/audit</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Delegated tenant administrator; one tenant or permitted organisational unit.</w:t>
              <w:br/>
              <w:t>Context: tenantId, actorId, delegatedUnitId?, policyVersion, roleScopes</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Audit search, Actor, Object, Export evidence.</w:t>
              <w:br/>
              <w:t>Primary action: Export evidence;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first use; import pending; partial integration; policy unpublished; destructive confirmation; audit ready.</w:t>
              <w:br/>
              <w:t>Acceptance: resolved context is visible; action commits or navigates once, failure retains user input, and event adm_09_primary_action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7.24 — Platform operations</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OPS-01</w:t>
              <w:br/>
              <w:t>Tenant registry</w:t>
              <w:br/>
              <w:t>/ops/tenants</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Privileged operator; least privilege, reason, approval and time-bound elevation.</w:t>
              <w:br/>
              <w:t>Context: actorId, region, tenantId?, elevationId?, correlationId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Tenant status, Region, Plan, Owner.</w:t>
              <w:br/>
              <w:t>Primary action: Owner;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healthy/degraded; incident open; approval pending; elevated; rollback running; retracted; audit sealed.</w:t>
              <w:br/>
              <w:t>Acceptance: resolved context is visible; action commits or navigates once, failure retains user input, and event ops_01_primary_action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OPS-02</w:t>
              <w:br/>
              <w:t>Feature flags and releases</w:t>
              <w:br/>
              <w:t>/ops/releases</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Privileged operator; least privilege, reason, approval and time-bound elevation.</w:t>
              <w:br/>
              <w:t>Context: actorId, region, tenantId?, elevationId?, correlationId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Flags, Release rings, Compatibility, Rollback.</w:t>
              <w:br/>
              <w:t>Primary action: Rollback;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healthy/degraded; incident open; approval pending; elevated; rollback running; retracted; audit sealed.</w:t>
              <w:br/>
              <w:t>Acceptance: resolved context is visible; action commits or navigates once, failure retains user input, and event ops_02_primary_action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OPS-03</w:t>
              <w:br/>
              <w:t>System health and incidents</w:t>
              <w:br/>
              <w:t>/ops/health</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Privileged operator; least privilege, reason, approval and time-bound elevation.</w:t>
              <w:br/>
              <w:t>Context: actorId, region, tenantId?, elevationId?, correlationId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SLOs, Dependencies, Incidents, Runbooks.</w:t>
              <w:br/>
              <w:t>Primary action: Runbooks;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healthy/degraded; incident open; approval pending; elevated; rollback running; retracted; audit sealed.</w:t>
              <w:br/>
              <w:t>Acceptance: resolved context is visible; action commits or navigates once, failure retains user input, and event ops_03_primary_action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2"/>
      </w:pPr>
      <w:r>
        <w:t>7.25 — Platform trust and support</w:t>
      </w:r>
    </w:p>
    <w:tbl>
      <w:tblPr>
        <w:tblStyle w:val="TableGrid"/>
        <w:tblW w:type="dxa" w:w="9360"/>
        <w:tblLayout w:type="fixed"/>
        <w:tblLook w:firstColumn="1" w:firstRow="1" w:lastColumn="0" w:lastRow="0" w:noHBand="0" w:noVBand="1" w:val="04A0"/>
        <w:jc w:val="left"/>
        <w:tblInd w:w="120" w:type="dxa"/>
      </w:tblPr>
      <w:tblGrid>
        <w:gridCol w:w="1420"/>
        <w:gridCol w:w="2280"/>
        <w:gridCol w:w="2750"/>
        <w:gridCol w:w="2910"/>
      </w:tblGrid>
      <w:tr>
        <w:trPr>
          <w:tblHeader/>
        </w:trPr>
        <w:tc>
          <w:tcPr>
            <w:tcW w:type="dxa" w:w="1420"/>
            <w:tcMar>
              <w:top w:w="80" w:type="dxa"/>
              <w:start w:w="120" w:type="dxa"/>
              <w:bottom w:w="80" w:type="dxa"/>
              <w:end w:w="120" w:type="dxa"/>
            </w:tcMar>
            <w:vAlign w:val="center"/>
            <w:shd w:fill="18264F"/>
          </w:tcPr>
          <w:p>
            <w:pPr>
              <w:spacing w:after="0"/>
            </w:pPr>
            <w:r>
              <w:rPr>
                <w:rFonts w:ascii="Arial" w:hAnsi="Arial"/>
                <w:b/>
                <w:i w:val="0"/>
                <w:color w:val="FFFFFF"/>
                <w:sz w:val="14"/>
              </w:rPr>
              <w:t>Screen / route</w:t>
            </w:r>
          </w:p>
        </w:tc>
        <w:tc>
          <w:tcPr>
            <w:tcW w:type="dxa" w:w="2280"/>
            <w:tcMar>
              <w:top w:w="80" w:type="dxa"/>
              <w:start w:w="120" w:type="dxa"/>
              <w:bottom w:w="80" w:type="dxa"/>
              <w:end w:w="120" w:type="dxa"/>
            </w:tcMar>
            <w:vAlign w:val="center"/>
            <w:shd w:fill="18264F"/>
          </w:tcPr>
          <w:p>
            <w:pPr>
              <w:spacing w:after="0"/>
            </w:pPr>
            <w:r>
              <w:rPr>
                <w:rFonts w:ascii="Arial" w:hAnsi="Arial"/>
                <w:b/>
                <w:i w:val="0"/>
                <w:color w:val="FFFFFF"/>
                <w:sz w:val="14"/>
              </w:rPr>
              <w:t>Access and resolved context</w:t>
            </w:r>
          </w:p>
        </w:tc>
        <w:tc>
          <w:tcPr>
            <w:tcW w:type="dxa" w:w="2750"/>
            <w:tcMar>
              <w:top w:w="80" w:type="dxa"/>
              <w:start w:w="120" w:type="dxa"/>
              <w:bottom w:w="80" w:type="dxa"/>
              <w:end w:w="120" w:type="dxa"/>
            </w:tcMar>
            <w:vAlign w:val="center"/>
            <w:shd w:fill="18264F"/>
          </w:tcPr>
          <w:p>
            <w:pPr>
              <w:spacing w:after="0"/>
            </w:pPr>
            <w:r>
              <w:rPr>
                <w:rFonts w:ascii="Arial" w:hAnsi="Arial"/>
                <w:b/>
                <w:i w:val="0"/>
                <w:color w:val="FFFFFF"/>
                <w:sz w:val="14"/>
              </w:rPr>
              <w:t>View model and actions</w:t>
            </w:r>
          </w:p>
        </w:tc>
        <w:tc>
          <w:tcPr>
            <w:tcW w:type="dxa" w:w="2910"/>
            <w:tcMar>
              <w:top w:w="80" w:type="dxa"/>
              <w:start w:w="120" w:type="dxa"/>
              <w:bottom w:w="80" w:type="dxa"/>
              <w:end w:w="120" w:type="dxa"/>
            </w:tcMar>
            <w:vAlign w:val="center"/>
            <w:shd w:fill="18264F"/>
          </w:tcPr>
          <w:p>
            <w:pPr>
              <w:spacing w:after="0"/>
            </w:pPr>
            <w:r>
              <w:rPr>
                <w:rFonts w:ascii="Arial" w:hAnsi="Arial"/>
                <w:b/>
                <w:i w:val="0"/>
                <w:color w:val="FFFFFF"/>
                <w:sz w:val="14"/>
              </w:rPr>
              <w:t>Required states and test evidence</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OPS-04</w:t>
              <w:br/>
              <w:t>Content distribution</w:t>
              <w:br/>
              <w:t>/ops/distribution</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Privileged operator; least privilege, reason, approval and time-bound elevation.</w:t>
              <w:br/>
              <w:t>Context: actorId, region, tenantId?, elevationId?, correlationId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Packages, Tenants, Distribution, Retraction.</w:t>
              <w:br/>
              <w:t>Primary action: Retraction;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healthy/degraded; incident open; approval pending; elevated; rollback running; retracted; audit sealed.</w:t>
              <w:br/>
              <w:t>Acceptance: resolved context is visible; action commits or navigates once, failure retains user input, and event ops_04_primary_action contains no private free text.</w:t>
            </w:r>
          </w:p>
        </w:tc>
      </w:tr>
      <w:tr>
        <w:trPr>
          <w:cantSplit/>
        </w:trPr>
        <w:tc>
          <w:tcPr>
            <w:tcW w:type="dxa" w:w="14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OPS-05</w:t>
              <w:br/>
              <w:t>Support elevation</w:t>
              <w:br/>
              <w:t>/ops/support</w:t>
            </w:r>
          </w:p>
        </w:tc>
        <w:tc>
          <w:tcPr>
            <w:tcW w:type="dxa" w:w="228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Privileged operator; least privilege, reason, approval and time-bound elevation.</w:t>
              <w:br/>
              <w:t>Context: actorId, region, tenantId?, elevationId?, correlationId</w:t>
            </w:r>
          </w:p>
        </w:tc>
        <w:tc>
          <w:tcPr>
            <w:tcW w:type="dxa" w:w="2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Ticket, Approval, Masked view, End elevation.</w:t>
              <w:br/>
              <w:t>Primary action: End elevation; server returns permittedActions, resourceVersion and status text.</w:t>
            </w:r>
          </w:p>
        </w:tc>
        <w:tc>
          <w:tcPr>
            <w:tcW w:type="dxa" w:w="29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healthy/degraded; incident open; approval pending; elevated; rollback running; retracted; audit sealed.</w:t>
              <w:br/>
              <w:t>Acceptance: resolved context is visible; action commits or navigates once, failure retains user input, and event ops_05_primary_action contains no private free text.</w:t>
            </w:r>
          </w:p>
        </w:tc>
      </w:tr>
      <w:tr>
        <w:trPr>
          <w:cantSplit/>
        </w:trPr>
        <w:tc>
          <w:tcPr>
            <w:tcW w:type="dxa" w:w="1420"/>
            <w:tcMar>
              <w:top w:w="80" w:type="dxa"/>
              <w:start w:w="120" w:type="dxa"/>
              <w:bottom w:w="80" w:type="dxa"/>
              <w:end w:w="120" w:type="dxa"/>
            </w:tcMar>
            <w:vAlign w:val="center"/>
          </w:tcPr>
          <w:p>
            <w:pPr>
              <w:spacing w:after="0" w:line="245" w:lineRule="auto"/>
            </w:pPr>
            <w:r>
              <w:rPr>
                <w:rFonts w:ascii="Arial" w:hAnsi="Arial"/>
                <w:b w:val="0"/>
                <w:i w:val="0"/>
                <w:color w:val="17213A"/>
                <w:sz w:val="14"/>
              </w:rPr>
              <w:t>OPS-06</w:t>
              <w:br/>
              <w:t>Security and audit</w:t>
              <w:br/>
              <w:t>/ops/security</w:t>
            </w:r>
          </w:p>
        </w:tc>
        <w:tc>
          <w:tcPr>
            <w:tcW w:type="dxa" w:w="2280"/>
            <w:tcMar>
              <w:top w:w="80" w:type="dxa"/>
              <w:start w:w="120" w:type="dxa"/>
              <w:bottom w:w="80" w:type="dxa"/>
              <w:end w:w="120" w:type="dxa"/>
            </w:tcMar>
            <w:vAlign w:val="center"/>
          </w:tcPr>
          <w:p>
            <w:pPr>
              <w:spacing w:after="0" w:line="245" w:lineRule="auto"/>
            </w:pPr>
            <w:r>
              <w:rPr>
                <w:rFonts w:ascii="Arial" w:hAnsi="Arial"/>
                <w:b w:val="0"/>
                <w:i w:val="0"/>
                <w:color w:val="17213A"/>
                <w:sz w:val="14"/>
              </w:rPr>
              <w:t>Privileged operator; least privilege, reason, approval and time-bound elevation.</w:t>
              <w:br/>
              <w:t>Context: actorId, region, tenantId?, elevationId?, correlationId</w:t>
            </w:r>
          </w:p>
        </w:tc>
        <w:tc>
          <w:tcPr>
            <w:tcW w:type="dxa" w:w="2750"/>
            <w:tcMar>
              <w:top w:w="80" w:type="dxa"/>
              <w:start w:w="120" w:type="dxa"/>
              <w:bottom w:w="80" w:type="dxa"/>
              <w:end w:w="120" w:type="dxa"/>
            </w:tcMar>
            <w:vAlign w:val="center"/>
          </w:tcPr>
          <w:p>
            <w:pPr>
              <w:spacing w:after="0" w:line="245" w:lineRule="auto"/>
            </w:pPr>
            <w:r>
              <w:rPr>
                <w:rFonts w:ascii="Arial" w:hAnsi="Arial"/>
                <w:b w:val="0"/>
                <w:i w:val="0"/>
                <w:color w:val="17213A"/>
                <w:sz w:val="14"/>
              </w:rPr>
              <w:t>View model exposes Security events, Vulnerabilities, Backups, Isolation tests.</w:t>
              <w:br/>
              <w:t>Primary action: Isolation tests; server returns permittedActions, resourceVersion and status text.</w:t>
            </w:r>
          </w:p>
        </w:tc>
        <w:tc>
          <w:tcPr>
            <w:tcW w:type="dxa" w:w="2910"/>
            <w:tcMar>
              <w:top w:w="80" w:type="dxa"/>
              <w:start w:w="120" w:type="dxa"/>
              <w:bottom w:w="80" w:type="dxa"/>
              <w:end w:w="120" w:type="dxa"/>
            </w:tcMar>
            <w:vAlign w:val="center"/>
          </w:tcPr>
          <w:p>
            <w:pPr>
              <w:spacing w:after="0" w:line="245" w:lineRule="auto"/>
            </w:pPr>
            <w:r>
              <w:rPr>
                <w:rFonts w:ascii="Arial" w:hAnsi="Arial"/>
                <w:b w:val="0"/>
                <w:i w:val="0"/>
                <w:color w:val="17213A"/>
                <w:sz w:val="14"/>
              </w:rPr>
              <w:t>healthy/degraded; incident open; approval pending; elevated; rollback running; retracted; audit sealed.</w:t>
              <w:br/>
              <w:t>Acceptance: resolved context is visible; action commits or navigates once, failure retains user input, and event ops_06_primary_action contains no private free text.</w:t>
            </w:r>
          </w:p>
        </w:tc>
      </w:tr>
    </w:tbl>
    <w:p>
      <w:pPr>
        <w:spacing w:before="0" w:after="0"/>
      </w:pPr>
      <w:r>
        <w:rPr>
          <w:rFonts w:ascii="Arial" w:hAnsi="Arial"/>
          <w:b w:val="0"/>
          <w:i/>
          <w:color w:val="6D7282"/>
          <w:sz w:val="16"/>
        </w:rPr>
        <w:t>Implementation note: accessible names, validation text, status messages, edition labels and destructive confirmations are content-managed or localised strings—not image text.</w:t>
      </w:r>
    </w:p>
    <w:p>
      <w:pPr>
        <w:sectPr>
          <w:pgSz w:w="12240" w:h="15840"/>
          <w:pgMar w:top="1440" w:right="1440" w:bottom="1440" w:left="1440" w:header="708" w:footer="708" w:gutter="0"/>
          <w:cols w:space="720"/>
          <w:docGrid w:linePitch="360"/>
        </w:sectPr>
      </w:pPr>
    </w:p>
    <w:p>
      <w:pPr>
        <w:pStyle w:val="Heading1"/>
      </w:pPr>
      <w:r>
        <w:t>8. End-to-end workflows and state transitions</w:t>
      </w:r>
    </w:p>
    <w:p>
      <w:pPr>
        <w:pStyle w:val="Heading2"/>
      </w:pPr>
      <w:r>
        <w:t>Critical end-to-end journeys</w:t>
      </w:r>
    </w:p>
    <w:tbl>
      <w:tblPr>
        <w:tblStyle w:val="TableGrid"/>
        <w:tblW w:type="dxa" w:w="9360"/>
        <w:tblLayout w:type="fixed"/>
        <w:tblLook w:firstColumn="1" w:firstRow="1" w:lastColumn="0" w:lastRow="0" w:noHBand="0" w:noVBand="1" w:val="04A0"/>
        <w:jc w:val="left"/>
        <w:tblInd w:w="120" w:type="dxa"/>
      </w:tblPr>
      <w:tblGrid>
        <w:gridCol w:w="1750"/>
        <w:gridCol w:w="4450"/>
        <w:gridCol w:w="3160"/>
      </w:tblGrid>
      <w:tr>
        <w:trPr>
          <w:tblHeader/>
        </w:trPr>
        <w:tc>
          <w:tcPr>
            <w:tcW w:type="dxa" w:w="1750"/>
            <w:tcMar>
              <w:top w:w="80" w:type="dxa"/>
              <w:start w:w="120" w:type="dxa"/>
              <w:bottom w:w="80" w:type="dxa"/>
              <w:end w:w="120" w:type="dxa"/>
            </w:tcMar>
            <w:vAlign w:val="center"/>
            <w:shd w:fill="18264F"/>
          </w:tcPr>
          <w:p>
            <w:pPr>
              <w:spacing w:after="0"/>
            </w:pPr>
            <w:r>
              <w:rPr>
                <w:rFonts w:ascii="Arial" w:hAnsi="Arial"/>
                <w:b/>
                <w:i w:val="0"/>
                <w:color w:val="FFFFFF"/>
                <w:sz w:val="16"/>
              </w:rPr>
              <w:t>Journey</w:t>
            </w:r>
          </w:p>
        </w:tc>
        <w:tc>
          <w:tcPr>
            <w:tcW w:type="dxa" w:w="4450"/>
            <w:tcMar>
              <w:top w:w="80" w:type="dxa"/>
              <w:start w:w="120" w:type="dxa"/>
              <w:bottom w:w="80" w:type="dxa"/>
              <w:end w:w="120" w:type="dxa"/>
            </w:tcMar>
            <w:vAlign w:val="center"/>
            <w:shd w:fill="18264F"/>
          </w:tcPr>
          <w:p>
            <w:pPr>
              <w:spacing w:after="0"/>
            </w:pPr>
            <w:r>
              <w:rPr>
                <w:rFonts w:ascii="Arial" w:hAnsi="Arial"/>
                <w:b/>
                <w:i w:val="0"/>
                <w:color w:val="FFFFFF"/>
                <w:sz w:val="16"/>
              </w:rPr>
              <w:t>Screen sequence</w:t>
            </w:r>
          </w:p>
        </w:tc>
        <w:tc>
          <w:tcPr>
            <w:tcW w:type="dxa" w:w="3160"/>
            <w:tcMar>
              <w:top w:w="80" w:type="dxa"/>
              <w:start w:w="120" w:type="dxa"/>
              <w:bottom w:w="80" w:type="dxa"/>
              <w:end w:w="120" w:type="dxa"/>
            </w:tcMar>
            <w:vAlign w:val="center"/>
            <w:shd w:fill="18264F"/>
          </w:tcPr>
          <w:p>
            <w:pPr>
              <w:spacing w:after="0"/>
            </w:pPr>
            <w:r>
              <w:rPr>
                <w:rFonts w:ascii="Arial" w:hAnsi="Arial"/>
                <w:b/>
                <w:i w:val="0"/>
                <w:color w:val="FFFFFF"/>
                <w:sz w:val="16"/>
              </w:rPr>
              <w:t>Completion evidence</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6"/>
              </w:rPr>
              <w:t>Independent learner</w:t>
            </w:r>
          </w:p>
        </w:tc>
        <w:tc>
          <w:tcPr>
            <w:tcW w:type="dxa" w:w="4450"/>
            <w:tcMar>
              <w:top w:w="80" w:type="dxa"/>
              <w:start w:w="120" w:type="dxa"/>
              <w:bottom w:w="80" w:type="dxa"/>
              <w:end w:w="120" w:type="dxa"/>
            </w:tcMar>
            <w:vAlign w:val="center"/>
          </w:tcPr>
          <w:p>
            <w:pPr>
              <w:spacing w:after="0" w:line="245" w:lineRule="auto"/>
            </w:pPr>
            <w:r>
              <w:rPr>
                <w:rFonts w:ascii="Arial" w:hAnsi="Arial"/>
                <w:b w:val="0"/>
                <w:i w:val="0"/>
                <w:color w:val="17213A"/>
                <w:sz w:val="16"/>
              </w:rPr>
              <w:t>PUB-01 → PUB-02 → PUB-05 → ID-02/03 → LRN-02/03 → LRN-04 → [LRN-05–15 × 18] → LRN-19</w:t>
            </w:r>
          </w:p>
        </w:tc>
        <w:tc>
          <w:tcPr>
            <w:tcW w:type="dxa" w:w="3160"/>
            <w:tcMar>
              <w:top w:w="80" w:type="dxa"/>
              <w:start w:w="120" w:type="dxa"/>
              <w:bottom w:w="80" w:type="dxa"/>
              <w:end w:w="120" w:type="dxa"/>
            </w:tcMar>
            <w:vAlign w:val="center"/>
          </w:tcPr>
          <w:p>
            <w:pPr>
              <w:spacing w:after="0" w:line="245" w:lineRule="auto"/>
            </w:pPr>
            <w:r>
              <w:rPr>
                <w:rFonts w:ascii="Arial" w:hAnsi="Arial"/>
                <w:b w:val="0"/>
                <w:i w:val="0"/>
                <w:color w:val="17213A"/>
                <w:sz w:val="16"/>
              </w:rPr>
              <w:t>Readiness resolved; 18 chapter loops; completion rule; verifiable certificate.</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School learner</w:t>
            </w:r>
          </w:p>
        </w:tc>
        <w:tc>
          <w:tcPr>
            <w:tcW w:type="dxa" w:w="4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LMS launch → GUA-01/02 if required → LRN-01 → LRN-04–15</w:t>
            </w:r>
          </w:p>
        </w:tc>
        <w:tc>
          <w:tcPr>
            <w:tcW w:type="dxa" w:w="3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Roster and consent applied; results returned only as authorised.</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6"/>
              </w:rPr>
              <w:t>Teacher delivery</w:t>
            </w:r>
          </w:p>
        </w:tc>
        <w:tc>
          <w:tcPr>
            <w:tcW w:type="dxa" w:w="4450"/>
            <w:tcMar>
              <w:top w:w="80" w:type="dxa"/>
              <w:start w:w="120" w:type="dxa"/>
              <w:bottom w:w="80" w:type="dxa"/>
              <w:end w:w="120" w:type="dxa"/>
            </w:tcMar>
            <w:vAlign w:val="center"/>
          </w:tcPr>
          <w:p>
            <w:pPr>
              <w:spacing w:after="0" w:line="245" w:lineRule="auto"/>
            </w:pPr>
            <w:r>
              <w:rPr>
                <w:rFonts w:ascii="Arial" w:hAnsi="Arial"/>
                <w:b w:val="0"/>
                <w:i w:val="0"/>
                <w:color w:val="17213A"/>
                <w:sz w:val="16"/>
              </w:rPr>
              <w:t>TCH-01 → TCH-02/03 → TCH-04/05 → TCH-07/08</w:t>
            </w:r>
          </w:p>
        </w:tc>
        <w:tc>
          <w:tcPr>
            <w:tcW w:type="dxa" w:w="3160"/>
            <w:tcMar>
              <w:top w:w="80" w:type="dxa"/>
              <w:start w:w="120" w:type="dxa"/>
              <w:bottom w:w="80" w:type="dxa"/>
              <w:end w:w="120" w:type="dxa"/>
            </w:tcMar>
            <w:vAlign w:val="center"/>
          </w:tcPr>
          <w:p>
            <w:pPr>
              <w:spacing w:after="0" w:line="245" w:lineRule="auto"/>
            </w:pPr>
            <w:r>
              <w:rPr>
                <w:rFonts w:ascii="Arial" w:hAnsi="Arial"/>
                <w:b w:val="0"/>
                <w:i w:val="0"/>
                <w:color w:val="17213A"/>
                <w:sz w:val="16"/>
              </w:rPr>
              <w:t>Approved plan assigned; feedback and outcome report produced.</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Organisation onboarding</w:t>
            </w:r>
          </w:p>
        </w:tc>
        <w:tc>
          <w:tcPr>
            <w:tcW w:type="dxa" w:w="4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ADM-01–09 + CNT-04/05/07–09</w:t>
            </w:r>
          </w:p>
        </w:tc>
        <w:tc>
          <w:tcPr>
            <w:tcW w:type="dxa" w:w="3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Brand, domain, identity, policies, rights and edition approved before launch.</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6"/>
              </w:rPr>
              <w:t>Content release</w:t>
            </w:r>
          </w:p>
        </w:tc>
        <w:tc>
          <w:tcPr>
            <w:tcW w:type="dxa" w:w="4450"/>
            <w:tcMar>
              <w:top w:w="80" w:type="dxa"/>
              <w:start w:w="120" w:type="dxa"/>
              <w:bottom w:w="80" w:type="dxa"/>
              <w:end w:w="120" w:type="dxa"/>
            </w:tcMar>
            <w:vAlign w:val="center"/>
          </w:tcPr>
          <w:p>
            <w:pPr>
              <w:spacing w:after="0" w:line="245" w:lineRule="auto"/>
            </w:pPr>
            <w:r>
              <w:rPr>
                <w:rFonts w:ascii="Arial" w:hAnsi="Arial"/>
                <w:b w:val="0"/>
                <w:i w:val="0"/>
                <w:color w:val="17213A"/>
                <w:sz w:val="16"/>
              </w:rPr>
              <w:t>CNT-01 → CNT-02/03/04 → CNT-07 → CNT-08 → OPS-04</w:t>
            </w:r>
          </w:p>
        </w:tc>
        <w:tc>
          <w:tcPr>
            <w:tcW w:type="dxa" w:w="3160"/>
            <w:tcMar>
              <w:top w:w="80" w:type="dxa"/>
              <w:start w:w="120" w:type="dxa"/>
              <w:bottom w:w="80" w:type="dxa"/>
              <w:end w:w="120" w:type="dxa"/>
            </w:tcMar>
            <w:vAlign w:val="center"/>
          </w:tcPr>
          <w:p>
            <w:pPr>
              <w:spacing w:after="0" w:line="245" w:lineRule="auto"/>
            </w:pPr>
            <w:r>
              <w:rPr>
                <w:rFonts w:ascii="Arial" w:hAnsi="Arial"/>
                <w:b w:val="0"/>
                <w:i w:val="0"/>
                <w:color w:val="17213A"/>
                <w:sz w:val="16"/>
              </w:rPr>
              <w:t>Immutable authorised version published to named tenants and audiences.</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Support incident</w:t>
            </w:r>
          </w:p>
        </w:tc>
        <w:tc>
          <w:tcPr>
            <w:tcW w:type="dxa" w:w="44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LRN-21/TCH-01 → OPS-05 → OPS-03/06</w:t>
            </w:r>
          </w:p>
        </w:tc>
        <w:tc>
          <w:tcPr>
            <w:tcW w:type="dxa" w:w="31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Approved elevation, masked diagnostics, audit evidence and closure.</w:t>
            </w:r>
          </w:p>
        </w:tc>
      </w:tr>
    </w:tbl>
    <w:p>
      <w:pPr>
        <w:sectPr>
          <w:pgSz w:w="12240" w:h="15840"/>
          <w:pgMar w:top="1440" w:right="1440" w:bottom="1440" w:left="1440" w:header="708" w:footer="708" w:gutter="0"/>
          <w:cols w:space="720"/>
          <w:docGrid w:linePitch="360"/>
        </w:sectPr>
      </w:pPr>
    </w:p>
    <w:p>
      <w:pPr>
        <w:pStyle w:val="Heading2"/>
      </w:pPr>
      <w:r>
        <w:t>8.1 Learner chapter loop</w:t>
      </w:r>
    </w:p>
    <w:tbl>
      <w:tblPr>
        <w:tblStyle w:val="TableGrid"/>
        <w:tblW w:type="dxa" w:w="9360"/>
        <w:tblLayout w:type="fixed"/>
        <w:tblLook w:firstColumn="1" w:firstRow="1" w:lastColumn="0" w:lastRow="0" w:noHBand="0" w:noVBand="1" w:val="04A0"/>
        <w:jc w:val="left"/>
        <w:tblInd w:w="120" w:type="dxa"/>
      </w:tblPr>
      <w:tblGrid>
        <w:gridCol w:w="1800"/>
        <w:gridCol w:w="2200"/>
        <w:gridCol w:w="2950"/>
        <w:gridCol w:w="241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5"/>
              </w:rPr>
              <w:t>Transition</w:t>
            </w:r>
          </w:p>
        </w:tc>
        <w:tc>
          <w:tcPr>
            <w:tcW w:type="dxa" w:w="2200"/>
            <w:tcMar>
              <w:top w:w="80" w:type="dxa"/>
              <w:start w:w="120" w:type="dxa"/>
              <w:bottom w:w="80" w:type="dxa"/>
              <w:end w:w="120" w:type="dxa"/>
            </w:tcMar>
            <w:vAlign w:val="center"/>
            <w:shd w:fill="18264F"/>
          </w:tcPr>
          <w:p>
            <w:pPr>
              <w:spacing w:after="0"/>
            </w:pPr>
            <w:r>
              <w:rPr>
                <w:rFonts w:ascii="Arial" w:hAnsi="Arial"/>
                <w:b/>
                <w:i w:val="0"/>
                <w:color w:val="FFFFFF"/>
                <w:sz w:val="15"/>
              </w:rPr>
              <w:t>Trigger</w:t>
            </w:r>
          </w:p>
        </w:tc>
        <w:tc>
          <w:tcPr>
            <w:tcW w:type="dxa" w:w="2950"/>
            <w:tcMar>
              <w:top w:w="80" w:type="dxa"/>
              <w:start w:w="120" w:type="dxa"/>
              <w:bottom w:w="80" w:type="dxa"/>
              <w:end w:w="120" w:type="dxa"/>
            </w:tcMar>
            <w:vAlign w:val="center"/>
            <w:shd w:fill="18264F"/>
          </w:tcPr>
          <w:p>
            <w:pPr>
              <w:spacing w:after="0"/>
            </w:pPr>
            <w:r>
              <w:rPr>
                <w:rFonts w:ascii="Arial" w:hAnsi="Arial"/>
                <w:b/>
                <w:i w:val="0"/>
                <w:color w:val="FFFFFF"/>
                <w:sz w:val="15"/>
              </w:rPr>
              <w:t>Server decision</w:t>
            </w:r>
          </w:p>
        </w:tc>
        <w:tc>
          <w:tcPr>
            <w:tcW w:type="dxa" w:w="2410"/>
            <w:tcMar>
              <w:top w:w="80" w:type="dxa"/>
              <w:start w:w="120" w:type="dxa"/>
              <w:bottom w:w="80" w:type="dxa"/>
              <w:end w:w="120" w:type="dxa"/>
            </w:tcMar>
            <w:vAlign w:val="center"/>
            <w:shd w:fill="18264F"/>
          </w:tcPr>
          <w:p>
            <w:pPr>
              <w:spacing w:after="0"/>
            </w:pPr>
            <w:r>
              <w:rPr>
                <w:rFonts w:ascii="Arial" w:hAnsi="Arial"/>
                <w:b/>
                <w:i w:val="0"/>
                <w:color w:val="FFFFFF"/>
                <w:sz w:val="15"/>
              </w:rPr>
              <w:t>User-visible result</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Available → in progress</w:t>
            </w:r>
          </w:p>
        </w:tc>
        <w:tc>
          <w:tcPr>
            <w:tcW w:type="dxa" w:w="2200"/>
            <w:tcMar>
              <w:top w:w="80" w:type="dxa"/>
              <w:start w:w="120" w:type="dxa"/>
              <w:bottom w:w="80" w:type="dxa"/>
              <w:end w:w="120" w:type="dxa"/>
            </w:tcMar>
            <w:vAlign w:val="center"/>
          </w:tcPr>
          <w:p>
            <w:pPr>
              <w:spacing w:after="0" w:line="245" w:lineRule="auto"/>
            </w:pPr>
            <w:r>
              <w:rPr>
                <w:rFonts w:ascii="Arial" w:hAnsi="Arial"/>
                <w:b w:val="0"/>
                <w:i w:val="0"/>
                <w:color w:val="17213A"/>
                <w:sz w:val="15"/>
              </w:rPr>
              <w:t>First eligible activity opened</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Validate enrolment, edition release and prerequisite state.</w:t>
            </w:r>
          </w:p>
        </w:tc>
        <w:tc>
          <w:tcPr>
            <w:tcW w:type="dxa" w:w="2410"/>
            <w:tcMar>
              <w:top w:w="80" w:type="dxa"/>
              <w:start w:w="120" w:type="dxa"/>
              <w:bottom w:w="80" w:type="dxa"/>
              <w:end w:w="120" w:type="dxa"/>
            </w:tcMar>
            <w:vAlign w:val="center"/>
          </w:tcPr>
          <w:p>
            <w:pPr>
              <w:spacing w:after="0" w:line="245" w:lineRule="auto"/>
            </w:pPr>
            <w:r>
              <w:rPr>
                <w:rFonts w:ascii="Arial" w:hAnsi="Arial"/>
                <w:b w:val="0"/>
                <w:i w:val="0"/>
                <w:color w:val="17213A"/>
                <w:sz w:val="15"/>
              </w:rPr>
              <w:t>Chapter status, first activity and resumable position.</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Activity pending → complete</w:t>
            </w:r>
          </w:p>
        </w:tc>
        <w:tc>
          <w:tcPr>
            <w:tcW w:type="dxa" w:w="22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Required evidence accepted</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Append evidence event; derive activity state; return resource version.</w:t>
            </w:r>
          </w:p>
        </w:tc>
        <w:tc>
          <w:tcPr>
            <w:tcW w:type="dxa" w:w="24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Explicit saved/completed status and next eligible action.</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Assessment open → submitted</w:t>
            </w:r>
          </w:p>
        </w:tc>
        <w:tc>
          <w:tcPr>
            <w:tcW w:type="dxa" w:w="2200"/>
            <w:tcMar>
              <w:top w:w="80" w:type="dxa"/>
              <w:start w:w="120" w:type="dxa"/>
              <w:bottom w:w="80" w:type="dxa"/>
              <w:end w:w="120" w:type="dxa"/>
            </w:tcMar>
            <w:vAlign w:val="center"/>
          </w:tcPr>
          <w:p>
            <w:pPr>
              <w:spacing w:after="0" w:line="245" w:lineRule="auto"/>
            </w:pPr>
            <w:r>
              <w:rPr>
                <w:rFonts w:ascii="Arial" w:hAnsi="Arial"/>
                <w:b w:val="0"/>
                <w:i w:val="0"/>
                <w:color w:val="17213A"/>
                <w:sz w:val="15"/>
              </w:rPr>
              <w:t>Learner confirms submission</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Lock attempt version; score under approved policy; record accommodations.</w:t>
            </w:r>
          </w:p>
        </w:tc>
        <w:tc>
          <w:tcPr>
            <w:tcW w:type="dxa" w:w="2410"/>
            <w:tcMar>
              <w:top w:w="80" w:type="dxa"/>
              <w:start w:w="120" w:type="dxa"/>
              <w:bottom w:w="80" w:type="dxa"/>
              <w:end w:w="120" w:type="dxa"/>
            </w:tcMar>
            <w:vAlign w:val="center"/>
          </w:tcPr>
          <w:p>
            <w:pPr>
              <w:spacing w:after="0" w:line="245" w:lineRule="auto"/>
            </w:pPr>
            <w:r>
              <w:rPr>
                <w:rFonts w:ascii="Arial" w:hAnsi="Arial"/>
                <w:b w:val="0"/>
                <w:i w:val="0"/>
                <w:color w:val="17213A"/>
                <w:sz w:val="15"/>
              </w:rPr>
              <w:t>Submitted once; result now or pending-review state.</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Result → remediation</w:t>
            </w:r>
          </w:p>
        </w:tc>
        <w:tc>
          <w:tcPr>
            <w:tcW w:type="dxa" w:w="22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Outcome threshold not met</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Generate plan from missed outcomes and authorised resources.</w:t>
            </w:r>
          </w:p>
        </w:tc>
        <w:tc>
          <w:tcPr>
            <w:tcW w:type="dxa" w:w="24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Explain misconception, next activities and retake condition.</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Chapter passed → next available</w:t>
            </w:r>
          </w:p>
        </w:tc>
        <w:tc>
          <w:tcPr>
            <w:tcW w:type="dxa" w:w="2200"/>
            <w:tcMar>
              <w:top w:w="80" w:type="dxa"/>
              <w:start w:w="120" w:type="dxa"/>
              <w:bottom w:w="80" w:type="dxa"/>
              <w:end w:w="120" w:type="dxa"/>
            </w:tcMar>
            <w:vAlign w:val="center"/>
          </w:tcPr>
          <w:p>
            <w:pPr>
              <w:spacing w:after="0" w:line="245" w:lineRule="auto"/>
            </w:pPr>
            <w:r>
              <w:rPr>
                <w:rFonts w:ascii="Arial" w:hAnsi="Arial"/>
                <w:b w:val="0"/>
                <w:i w:val="0"/>
                <w:color w:val="17213A"/>
                <w:sz w:val="15"/>
              </w:rPr>
              <w:t>All chapter rules satisfied</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Append chapter evidence; unlock only policy-approved successor.</w:t>
            </w:r>
          </w:p>
        </w:tc>
        <w:tc>
          <w:tcPr>
            <w:tcW w:type="dxa" w:w="2410"/>
            <w:tcMar>
              <w:top w:w="80" w:type="dxa"/>
              <w:start w:w="120" w:type="dxa"/>
              <w:bottom w:w="80" w:type="dxa"/>
              <w:end w:w="120" w:type="dxa"/>
            </w:tcMar>
            <w:vAlign w:val="center"/>
          </w:tcPr>
          <w:p>
            <w:pPr>
              <w:spacing w:after="0" w:line="245" w:lineRule="auto"/>
            </w:pPr>
            <w:r>
              <w:rPr>
                <w:rFonts w:ascii="Arial" w:hAnsi="Arial"/>
                <w:b w:val="0"/>
                <w:i w:val="0"/>
                <w:color w:val="17213A"/>
                <w:sz w:val="15"/>
              </w:rPr>
              <w:t>Celebration without ranking; clear next chapter or revision action.</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Chapter 18 passed → programme review</w:t>
            </w:r>
          </w:p>
        </w:tc>
        <w:tc>
          <w:tcPr>
            <w:tcW w:type="dxa" w:w="22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Programme completion candidate</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Evaluate all 18 chapters, capstone rule, version and entitlement.</w:t>
            </w:r>
          </w:p>
        </w:tc>
        <w:tc>
          <w:tcPr>
            <w:tcW w:type="dxa" w:w="24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Certificate eligibility or explicit remaining evidence.</w:t>
            </w:r>
          </w:p>
        </w:tc>
      </w:tr>
    </w:tbl>
    <w:p>
      <w:pPr>
        <w:pStyle w:val="Heading2"/>
      </w:pPr>
      <w:r>
        <w:t>Resume and interruption guarantees</w:t>
      </w:r>
    </w:p>
    <w:p>
      <w:pPr>
        <w:pStyle w:val="ListBullet"/>
      </w:pPr>
      <w:r>
        <w:rPr>
          <w:rFonts w:ascii="Arial" w:hAnsi="Arial"/>
          <w:b w:val="0"/>
          <w:i w:val="0"/>
          <w:color w:val="17213A"/>
          <w:sz w:val="20"/>
        </w:rPr>
        <w:t>Media position, activity state and unsent low-risk events resume across browser refresh, app relaunch and device change. The interface distinguishes “saved on this device” from “synced”.</w:t>
      </w:r>
    </w:p>
    <w:p>
      <w:pPr>
        <w:pStyle w:val="ListBullet"/>
      </w:pPr>
      <w:r>
        <w:rPr>
          <w:rFonts w:ascii="Arial" w:hAnsi="Arial"/>
          <w:b w:val="0"/>
          <w:i w:val="0"/>
          <w:color w:val="17213A"/>
          <w:sz w:val="20"/>
        </w:rPr>
        <w:t>An assessment never auto-submits because of navigation, timeout or connection loss unless the approved attempt policy explicitly requires it and the user was warned before starting.</w:t>
      </w:r>
    </w:p>
    <w:p>
      <w:pPr>
        <w:pStyle w:val="ListBullet"/>
      </w:pPr>
      <w:r>
        <w:rPr>
          <w:rFonts w:ascii="Arial" w:hAnsi="Arial"/>
          <w:b w:val="0"/>
          <w:i w:val="0"/>
          <w:color w:val="17213A"/>
          <w:sz w:val="20"/>
        </w:rPr>
        <w:t>Server rejection preserves the learner’s local response where lawful, gives a support reference and never advances the gate optimistically.</w:t>
      </w:r>
    </w:p>
    <w:p>
      <w:pPr>
        <w:sectPr>
          <w:pgSz w:w="12240" w:h="15840"/>
          <w:pgMar w:top="1440" w:right="1440" w:bottom="1440" w:left="1440" w:header="708" w:footer="708" w:gutter="0"/>
          <w:cols w:space="720"/>
          <w:docGrid w:linePitch="360"/>
        </w:sectPr>
      </w:pPr>
    </w:p>
    <w:p>
      <w:pPr>
        <w:pStyle w:val="Heading2"/>
      </w:pPr>
      <w:r>
        <w:t>8.2 Edition switch and content release workflows</w:t>
      </w:r>
    </w:p>
    <w:tbl>
      <w:tblPr>
        <w:tblStyle w:val="TableGrid"/>
        <w:tblW w:type="dxa" w:w="9360"/>
        <w:tblLayout w:type="fixed"/>
        <w:tblLook w:firstColumn="1" w:firstRow="1" w:lastColumn="0" w:lastRow="0" w:noHBand="0" w:noVBand="1" w:val="04A0"/>
        <w:jc w:val="left"/>
        <w:tblInd w:w="120" w:type="dxa"/>
      </w:tblPr>
      <w:tblGrid>
        <w:gridCol w:w="1050"/>
        <w:gridCol w:w="4100"/>
        <w:gridCol w:w="42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5"/>
              </w:rPr>
              <w:t>Step</w:t>
            </w:r>
          </w:p>
        </w:tc>
        <w:tc>
          <w:tcPr>
            <w:tcW w:type="dxa" w:w="4100"/>
            <w:tcMar>
              <w:top w:w="80" w:type="dxa"/>
              <w:start w:w="120" w:type="dxa"/>
              <w:bottom w:w="80" w:type="dxa"/>
              <w:end w:w="120" w:type="dxa"/>
            </w:tcMar>
            <w:vAlign w:val="center"/>
            <w:shd w:fill="18264F"/>
          </w:tcPr>
          <w:p>
            <w:pPr>
              <w:spacing w:after="0"/>
            </w:pPr>
            <w:r>
              <w:rPr>
                <w:rFonts w:ascii="Arial" w:hAnsi="Arial"/>
                <w:b/>
                <w:i w:val="0"/>
                <w:color w:val="FFFFFF"/>
                <w:sz w:val="15"/>
              </w:rPr>
              <w:t>Edition switch</w:t>
            </w:r>
          </w:p>
        </w:tc>
        <w:tc>
          <w:tcPr>
            <w:tcW w:type="dxa" w:w="4210"/>
            <w:tcMar>
              <w:top w:w="80" w:type="dxa"/>
              <w:start w:w="120" w:type="dxa"/>
              <w:bottom w:w="80" w:type="dxa"/>
              <w:end w:w="120" w:type="dxa"/>
            </w:tcMar>
            <w:vAlign w:val="center"/>
            <w:shd w:fill="18264F"/>
          </w:tcPr>
          <w:p>
            <w:pPr>
              <w:spacing w:after="0"/>
            </w:pPr>
            <w:r>
              <w:rPr>
                <w:rFonts w:ascii="Arial" w:hAnsi="Arial"/>
                <w:b/>
                <w:i w:val="0"/>
                <w:color w:val="FFFFFF"/>
                <w:sz w:val="15"/>
              </w:rPr>
              <w:t>Content release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1. Select</w:t>
            </w:r>
          </w:p>
        </w:tc>
        <w:tc>
          <w:tcPr>
            <w:tcW w:type="dxa" w:w="4100"/>
            <w:tcMar>
              <w:top w:w="80" w:type="dxa"/>
              <w:start w:w="120" w:type="dxa"/>
              <w:bottom w:w="80" w:type="dxa"/>
              <w:end w:w="120" w:type="dxa"/>
            </w:tcMar>
            <w:vAlign w:val="center"/>
          </w:tcPr>
          <w:p>
            <w:pPr>
              <w:spacing w:after="0" w:line="245" w:lineRule="auto"/>
            </w:pPr>
            <w:r>
              <w:rPr>
                <w:rFonts w:ascii="Arial" w:hAnsi="Arial"/>
                <w:b w:val="0"/>
                <w:i w:val="0"/>
                <w:color w:val="17213A"/>
                <w:sz w:val="15"/>
              </w:rPr>
              <w:t>Learner/admin chooses an entitled target edition.</w:t>
            </w:r>
          </w:p>
        </w:tc>
        <w:tc>
          <w:tcPr>
            <w:tcW w:type="dxa" w:w="4210"/>
            <w:tcMar>
              <w:top w:w="80" w:type="dxa"/>
              <w:start w:w="120" w:type="dxa"/>
              <w:bottom w:w="80" w:type="dxa"/>
              <w:end w:w="120" w:type="dxa"/>
            </w:tcMar>
            <w:vAlign w:val="center"/>
          </w:tcPr>
          <w:p>
            <w:pPr>
              <w:spacing w:after="0" w:line="245" w:lineRule="auto"/>
            </w:pPr>
            <w:r>
              <w:rPr>
                <w:rFonts w:ascii="Arial" w:hAnsi="Arial"/>
                <w:b w:val="0"/>
                <w:i w:val="0"/>
                <w:color w:val="17213A"/>
                <w:sz w:val="15"/>
              </w:rPr>
              <w:t>Publisher selects immutable candidate version and target scope.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2. Compare</w:t>
            </w:r>
          </w:p>
        </w:tc>
        <w:tc>
          <w:tcPr>
            <w:tcW w:type="dxa" w:w="41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System resolves content, outcome and assessment equivalence.</w:t>
            </w:r>
          </w:p>
        </w:tc>
        <w:tc>
          <w:tcPr>
            <w:tcW w:type="dxa" w:w="42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System validates source, rights, language, accessibility and approvals.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3. Explain</w:t>
            </w:r>
          </w:p>
        </w:tc>
        <w:tc>
          <w:tcPr>
            <w:tcW w:type="dxa" w:w="4100"/>
            <w:tcMar>
              <w:top w:w="80" w:type="dxa"/>
              <w:start w:w="120" w:type="dxa"/>
              <w:bottom w:w="80" w:type="dxa"/>
              <w:end w:w="120" w:type="dxa"/>
            </w:tcMar>
            <w:vAlign w:val="center"/>
          </w:tcPr>
          <w:p>
            <w:pPr>
              <w:spacing w:after="0" w:line="245" w:lineRule="auto"/>
            </w:pPr>
            <w:r>
              <w:rPr>
                <w:rFonts w:ascii="Arial" w:hAnsi="Arial"/>
                <w:b w:val="0"/>
                <w:i w:val="0"/>
                <w:color w:val="17213A"/>
                <w:sz w:val="15"/>
              </w:rPr>
              <w:t>UI lists affected learning, progress, assessment and certificate states.</w:t>
            </w:r>
          </w:p>
        </w:tc>
        <w:tc>
          <w:tcPr>
            <w:tcW w:type="dxa" w:w="4210"/>
            <w:tcMar>
              <w:top w:w="80" w:type="dxa"/>
              <w:start w:w="120" w:type="dxa"/>
              <w:bottom w:w="80" w:type="dxa"/>
              <w:end w:w="120" w:type="dxa"/>
            </w:tcMar>
            <w:vAlign w:val="center"/>
          </w:tcPr>
          <w:p>
            <w:pPr>
              <w:spacing w:after="0" w:line="245" w:lineRule="auto"/>
            </w:pPr>
            <w:r>
              <w:rPr>
                <w:rFonts w:ascii="Arial" w:hAnsi="Arial"/>
                <w:b w:val="0"/>
                <w:i w:val="0"/>
                <w:color w:val="17213A"/>
                <w:sz w:val="15"/>
              </w:rPr>
              <w:t>UI lists tenant, audience, region, version and scheduled effective date.</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4. Confirm</w:t>
            </w:r>
          </w:p>
        </w:tc>
        <w:tc>
          <w:tcPr>
            <w:tcW w:type="dxa" w:w="41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User confirms; no default if equivalence is incomplete.</w:t>
            </w:r>
          </w:p>
        </w:tc>
        <w:tc>
          <w:tcPr>
            <w:tcW w:type="dxa" w:w="42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Authorised publisher confirms; dual control where policy requires.</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5"/>
              </w:rPr>
              <w:t>5. Commit</w:t>
            </w:r>
          </w:p>
        </w:tc>
        <w:tc>
          <w:tcPr>
            <w:tcW w:type="dxa" w:w="4100"/>
            <w:tcMar>
              <w:top w:w="80" w:type="dxa"/>
              <w:start w:w="120" w:type="dxa"/>
              <w:bottom w:w="80" w:type="dxa"/>
              <w:end w:w="120" w:type="dxa"/>
            </w:tcMar>
            <w:vAlign w:val="center"/>
          </w:tcPr>
          <w:p>
            <w:pPr>
              <w:spacing w:after="0" w:line="245" w:lineRule="auto"/>
            </w:pPr>
            <w:r>
              <w:rPr>
                <w:rFonts w:ascii="Arial" w:hAnsi="Arial"/>
                <w:b w:val="0"/>
                <w:i w:val="0"/>
                <w:color w:val="17213A"/>
                <w:sz w:val="15"/>
              </w:rPr>
              <w:t>Context version changes; safe mappings are applied; history retained.</w:t>
            </w:r>
          </w:p>
        </w:tc>
        <w:tc>
          <w:tcPr>
            <w:tcW w:type="dxa" w:w="4210"/>
            <w:tcMar>
              <w:top w:w="80" w:type="dxa"/>
              <w:start w:w="120" w:type="dxa"/>
              <w:bottom w:w="80" w:type="dxa"/>
              <w:end w:w="120" w:type="dxa"/>
            </w:tcMar>
            <w:vAlign w:val="center"/>
          </w:tcPr>
          <w:p>
            <w:pPr>
              <w:spacing w:after="0" w:line="245" w:lineRule="auto"/>
            </w:pPr>
            <w:r>
              <w:rPr>
                <w:rFonts w:ascii="Arial" w:hAnsi="Arial"/>
                <w:b w:val="0"/>
                <w:i w:val="0"/>
                <w:color w:val="17213A"/>
                <w:sz w:val="15"/>
              </w:rPr>
              <w:t>Release becomes immutable and distribution job receives idempotency key.</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6. Verify</w:t>
            </w:r>
          </w:p>
        </w:tc>
        <w:tc>
          <w:tcPr>
            <w:tcW w:type="dxa" w:w="41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Deep links, downloads and next action resolve under new edition.</w:t>
            </w:r>
          </w:p>
        </w:tc>
        <w:tc>
          <w:tcPr>
            <w:tcW w:type="dxa" w:w="42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OPS-04 shows entitlement/CDN status; rollback or retraction is available.</w:t>
            </w:r>
          </w:p>
        </w:tc>
      </w:tr>
    </w:tbl>
    <w:p>
      <w:pPr>
        <w:pStyle w:val="Heading2"/>
      </w:pPr>
      <w:r>
        <w:t>Workflow invariants</w:t>
      </w:r>
    </w:p>
    <w:p>
      <w:pPr>
        <w:pStyle w:val="ListBullet"/>
      </w:pPr>
      <w:r>
        <w:rPr>
          <w:rFonts w:ascii="Arial" w:hAnsi="Arial"/>
          <w:b w:val="0"/>
          <w:i w:val="0"/>
          <w:color w:val="17213A"/>
          <w:sz w:val="20"/>
        </w:rPr>
        <w:t>A published edition is never edited in place. Correction, localisation and rights change create a new effective-dated release linked to the prior version.</w:t>
      </w:r>
    </w:p>
    <w:p>
      <w:pPr>
        <w:pStyle w:val="ListBullet"/>
      </w:pPr>
      <w:r>
        <w:rPr>
          <w:rFonts w:ascii="Arial" w:hAnsi="Arial"/>
          <w:b w:val="0"/>
          <w:i w:val="0"/>
          <w:color w:val="17213A"/>
          <w:sz w:val="20"/>
        </w:rPr>
        <w:t>Content inheritance retains source lineage. A tenant override must show what it replaces, its approving authority and its release scope.</w:t>
      </w:r>
    </w:p>
    <w:p>
      <w:pPr>
        <w:pStyle w:val="ListBullet"/>
      </w:pPr>
      <w:r>
        <w:rPr>
          <w:rFonts w:ascii="Arial" w:hAnsi="Arial"/>
          <w:b w:val="0"/>
          <w:i w:val="0"/>
          <w:color w:val="17213A"/>
          <w:sz w:val="20"/>
        </w:rPr>
        <w:t>Retraction propagates to web caches, search, mobile packages and learning routes; lawful historical evidence remains distinguishable from currently accessible content.</w:t>
      </w:r>
    </w:p>
    <w:p>
      <w:pPr>
        <w:sectPr>
          <w:pgSz w:w="12240" w:h="15840"/>
          <w:pgMar w:top="1440" w:right="1440" w:bottom="1440" w:left="1440" w:header="708" w:footer="708" w:gutter="0"/>
          <w:cols w:space="720"/>
          <w:docGrid w:linePitch="360"/>
        </w:sectPr>
      </w:pPr>
    </w:p>
    <w:p>
      <w:pPr>
        <w:pStyle w:val="Heading2"/>
      </w:pPr>
      <w:r>
        <w:t>8.3 Privileged action lifecycle</w:t>
      </w:r>
    </w:p>
    <w:tbl>
      <w:tblPr>
        <w:tblStyle w:val="TableGrid"/>
        <w:tblW w:type="dxa" w:w="9360"/>
        <w:tblLayout w:type="fixed"/>
        <w:tblLook w:firstColumn="1" w:firstRow="1" w:lastColumn="0" w:lastRow="0" w:noHBand="0" w:noVBand="1" w:val="04A0"/>
        <w:jc w:val="left"/>
        <w:tblInd w:w="120" w:type="dxa"/>
      </w:tblPr>
      <w:tblGrid>
        <w:gridCol w:w="1500"/>
        <w:gridCol w:w="4000"/>
        <w:gridCol w:w="3860"/>
      </w:tblGrid>
      <w:tr>
        <w:trPr>
          <w:tblHeader/>
        </w:trPr>
        <w:tc>
          <w:tcPr>
            <w:tcW w:type="dxa" w:w="1500"/>
            <w:tcMar>
              <w:top w:w="80" w:type="dxa"/>
              <w:start w:w="120" w:type="dxa"/>
              <w:bottom w:w="80" w:type="dxa"/>
              <w:end w:w="120" w:type="dxa"/>
            </w:tcMar>
            <w:vAlign w:val="center"/>
            <w:shd w:fill="18264F"/>
          </w:tcPr>
          <w:p>
            <w:pPr>
              <w:spacing w:after="0"/>
            </w:pPr>
            <w:r>
              <w:rPr>
                <w:rFonts w:ascii="Arial" w:hAnsi="Arial"/>
                <w:b/>
                <w:i w:val="0"/>
                <w:color w:val="FFFFFF"/>
                <w:sz w:val="16"/>
              </w:rPr>
              <w:t>Phase</w:t>
            </w:r>
          </w:p>
        </w:tc>
        <w:tc>
          <w:tcPr>
            <w:tcW w:type="dxa" w:w="4000"/>
            <w:tcMar>
              <w:top w:w="80" w:type="dxa"/>
              <w:start w:w="120" w:type="dxa"/>
              <w:bottom w:w="80" w:type="dxa"/>
              <w:end w:w="120" w:type="dxa"/>
            </w:tcMar>
            <w:vAlign w:val="center"/>
            <w:shd w:fill="18264F"/>
          </w:tcPr>
          <w:p>
            <w:pPr>
              <w:spacing w:after="0"/>
            </w:pPr>
            <w:r>
              <w:rPr>
                <w:rFonts w:ascii="Arial" w:hAnsi="Arial"/>
                <w:b/>
                <w:i w:val="0"/>
                <w:color w:val="FFFFFF"/>
                <w:sz w:val="16"/>
              </w:rPr>
              <w:t>Required control</w:t>
            </w:r>
          </w:p>
        </w:tc>
        <w:tc>
          <w:tcPr>
            <w:tcW w:type="dxa" w:w="3860"/>
            <w:tcMar>
              <w:top w:w="80" w:type="dxa"/>
              <w:start w:w="120" w:type="dxa"/>
              <w:bottom w:w="80" w:type="dxa"/>
              <w:end w:w="120" w:type="dxa"/>
            </w:tcMar>
            <w:vAlign w:val="center"/>
            <w:shd w:fill="18264F"/>
          </w:tcPr>
          <w:p>
            <w:pPr>
              <w:spacing w:after="0"/>
            </w:pPr>
            <w:r>
              <w:rPr>
                <w:rFonts w:ascii="Arial" w:hAnsi="Arial"/>
                <w:b/>
                <w:i w:val="0"/>
                <w:color w:val="FFFFFF"/>
                <w:sz w:val="16"/>
              </w:rPr>
              <w:t>Minimum audit evidence</w:t>
            </w:r>
          </w:p>
        </w:tc>
      </w:tr>
      <w:tr>
        <w:trPr>
          <w:cantSplit/>
        </w:trPr>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6"/>
              </w:rPr>
              <w:t>Request</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6"/>
              </w:rPr>
              <w:t>Actor scope, target tenant/object/version, intended action and stated reason.</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6"/>
              </w:rPr>
              <w:t>Actor, source, timestamp, correlation ID and request payload hash.</w:t>
            </w:r>
          </w:p>
        </w:tc>
      </w:tr>
      <w:tr>
        <w:trPr>
          <w:cantSplit/>
        </w:trPr>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Authorise</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Step-up authentication; approval or dual control for policy-defined actions.</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Decision, approver, policy version and expiry.</w:t>
            </w:r>
          </w:p>
        </w:tc>
      </w:tr>
      <w:tr>
        <w:trPr>
          <w:cantSplit/>
        </w:trPr>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6"/>
              </w:rPr>
              <w:t>Preview</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6"/>
              </w:rPr>
              <w:t>Human-readable impact, affected audience, reversibility and alternative.</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6"/>
              </w:rPr>
              <w:t>Preview version tied to the later commit.</w:t>
            </w:r>
          </w:p>
        </w:tc>
      </w:tr>
      <w:tr>
        <w:trPr>
          <w:cantSplit/>
        </w:trPr>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Commit</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Idempotency key, optimistic concurrency and server-side scope enforcement.</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Before/after version, result, service identity and affected objects.</w:t>
            </w:r>
          </w:p>
        </w:tc>
      </w:tr>
      <w:tr>
        <w:trPr>
          <w:cantSplit/>
        </w:trPr>
        <w:tc>
          <w:tcPr>
            <w:tcW w:type="dxa" w:w="1500"/>
            <w:tcMar>
              <w:top w:w="80" w:type="dxa"/>
              <w:start w:w="120" w:type="dxa"/>
              <w:bottom w:w="80" w:type="dxa"/>
              <w:end w:w="120" w:type="dxa"/>
            </w:tcMar>
            <w:vAlign w:val="center"/>
          </w:tcPr>
          <w:p>
            <w:pPr>
              <w:spacing w:after="0" w:line="245" w:lineRule="auto"/>
            </w:pPr>
            <w:r>
              <w:rPr>
                <w:rFonts w:ascii="Arial" w:hAnsi="Arial"/>
                <w:b w:val="0"/>
                <w:i w:val="0"/>
                <w:color w:val="17213A"/>
                <w:sz w:val="16"/>
              </w:rPr>
              <w:t>Observe</w:t>
            </w:r>
          </w:p>
        </w:tc>
        <w:tc>
          <w:tcPr>
            <w:tcW w:type="dxa" w:w="4000"/>
            <w:tcMar>
              <w:top w:w="80" w:type="dxa"/>
              <w:start w:w="120" w:type="dxa"/>
              <w:bottom w:w="80" w:type="dxa"/>
              <w:end w:w="120" w:type="dxa"/>
            </w:tcMar>
            <w:vAlign w:val="center"/>
          </w:tcPr>
          <w:p>
            <w:pPr>
              <w:spacing w:after="0" w:line="245" w:lineRule="auto"/>
            </w:pPr>
            <w:r>
              <w:rPr>
                <w:rFonts w:ascii="Arial" w:hAnsi="Arial"/>
                <w:b w:val="0"/>
                <w:i w:val="0"/>
                <w:color w:val="17213A"/>
                <w:sz w:val="16"/>
              </w:rPr>
              <w:t>Status, progress, retry and partial failure are visible.</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6"/>
              </w:rPr>
              <w:t>Job state, retries, errors and reconciliation result.</w:t>
            </w:r>
          </w:p>
        </w:tc>
      </w:tr>
      <w:tr>
        <w:trPr>
          <w:cantSplit/>
        </w:trPr>
        <w:tc>
          <w:tcPr>
            <w:tcW w:type="dxa" w:w="15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Close / reverse</w:t>
            </w:r>
          </w:p>
        </w:tc>
        <w:tc>
          <w:tcPr>
            <w:tcW w:type="dxa" w:w="40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Completion evidence; rollback, revoke or end elevation where supported.</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Final state, closure reason, retained evidence and reviewer.</w:t>
            </w:r>
          </w:p>
        </w:tc>
      </w:tr>
    </w:tbl>
    <w:p>
      <w:pPr>
        <w:pStyle w:val="Heading2"/>
      </w:pPr>
      <w:r>
        <w:t>Destructive and high-trust actions</w:t>
      </w:r>
    </w:p>
    <w:p>
      <w:pPr>
        <w:pStyle w:val="ListBullet"/>
      </w:pPr>
      <w:r>
        <w:rPr>
          <w:rFonts w:ascii="Arial" w:hAnsi="Arial"/>
          <w:b w:val="0"/>
          <w:i w:val="0"/>
          <w:color w:val="17213A"/>
          <w:sz w:val="20"/>
        </w:rPr>
        <w:t>Delete account/data, retract content, revoke certificate, remove tenant and end support elevation require confirmation, scope summary and audit evidence.</w:t>
      </w:r>
    </w:p>
    <w:p>
      <w:pPr>
        <w:pStyle w:val="ListBullet"/>
      </w:pPr>
      <w:r>
        <w:rPr>
          <w:rFonts w:ascii="Arial" w:hAnsi="Arial"/>
          <w:b w:val="0"/>
          <w:i w:val="0"/>
          <w:color w:val="17213A"/>
          <w:sz w:val="20"/>
        </w:rPr>
        <w:t>Publish, approve, release, export and role assignment show the exact tenant, edition, audience and version affected before commitment.</w:t>
      </w:r>
    </w:p>
    <w:p>
      <w:pPr>
        <w:pStyle w:val="ListBullet"/>
      </w:pPr>
      <w:r>
        <w:rPr>
          <w:rFonts w:ascii="Arial" w:hAnsi="Arial"/>
          <w:b w:val="0"/>
          <w:i w:val="0"/>
          <w:color w:val="17213A"/>
          <w:sz w:val="20"/>
        </w:rPr>
        <w:t>A user must never infer success from navigation alone; save, submit, sync, publish and certificate actions require explicit status feedback.</w:t>
      </w:r>
    </w:p>
    <w:p>
      <w:pPr>
        <w:sectPr>
          <w:pgSz w:w="12240" w:h="15840"/>
          <w:pgMar w:top="1440" w:right="1440" w:bottom="1440" w:left="1440" w:header="708" w:footer="708" w:gutter="0"/>
          <w:cols w:space="720"/>
          <w:docGrid w:linePitch="360"/>
        </w:sectPr>
      </w:pPr>
    </w:p>
    <w:p>
      <w:pPr>
        <w:pStyle w:val="Heading1"/>
      </w:pPr>
      <w:r>
        <w:t>9. Technical, API and data contracts</w:t>
      </w:r>
    </w:p>
    <w:p>
      <w:pPr>
        <w:pStyle w:val="Heading2"/>
      </w:pPr>
      <w:r>
        <w:t>Front-end application boundaries</w:t>
      </w:r>
    </w:p>
    <w:tbl>
      <w:tblPr>
        <w:tblStyle w:val="TableGrid"/>
        <w:tblW w:type="dxa" w:w="9360"/>
        <w:tblLayout w:type="fixed"/>
        <w:tblLook w:firstColumn="1" w:firstRow="1" w:lastColumn="0" w:lastRow="0" w:noHBand="0" w:noVBand="1" w:val="04A0"/>
        <w:jc w:val="left"/>
        <w:tblInd w:w="120" w:type="dxa"/>
      </w:tblPr>
      <w:tblGrid>
        <w:gridCol w:w="1600"/>
        <w:gridCol w:w="3900"/>
        <w:gridCol w:w="3860"/>
      </w:tblGrid>
      <w:tr>
        <w:trPr>
          <w:tblHeader/>
        </w:trPr>
        <w:tc>
          <w:tcPr>
            <w:tcW w:type="dxa" w:w="1600"/>
            <w:tcMar>
              <w:top w:w="80" w:type="dxa"/>
              <w:start w:w="120" w:type="dxa"/>
              <w:bottom w:w="80" w:type="dxa"/>
              <w:end w:w="120" w:type="dxa"/>
            </w:tcMar>
            <w:vAlign w:val="center"/>
            <w:shd w:fill="18264F"/>
          </w:tcPr>
          <w:p>
            <w:pPr>
              <w:spacing w:after="0"/>
            </w:pPr>
            <w:r>
              <w:rPr>
                <w:rFonts w:ascii="Arial" w:hAnsi="Arial"/>
                <w:b/>
                <w:i w:val="0"/>
                <w:color w:val="FFFFFF"/>
                <w:sz w:val="16"/>
              </w:rPr>
              <w:t>Client</w:t>
            </w:r>
          </w:p>
        </w:tc>
        <w:tc>
          <w:tcPr>
            <w:tcW w:type="dxa" w:w="3900"/>
            <w:tcMar>
              <w:top w:w="80" w:type="dxa"/>
              <w:start w:w="120" w:type="dxa"/>
              <w:bottom w:w="80" w:type="dxa"/>
              <w:end w:w="120" w:type="dxa"/>
            </w:tcMar>
            <w:vAlign w:val="center"/>
            <w:shd w:fill="18264F"/>
          </w:tcPr>
          <w:p>
            <w:pPr>
              <w:spacing w:after="0"/>
            </w:pPr>
            <w:r>
              <w:rPr>
                <w:rFonts w:ascii="Arial" w:hAnsi="Arial"/>
                <w:b/>
                <w:i w:val="0"/>
                <w:color w:val="FFFFFF"/>
                <w:sz w:val="16"/>
              </w:rPr>
              <w:t>Responsibilities</w:t>
            </w:r>
          </w:p>
        </w:tc>
        <w:tc>
          <w:tcPr>
            <w:tcW w:type="dxa" w:w="3860"/>
            <w:tcMar>
              <w:top w:w="80" w:type="dxa"/>
              <w:start w:w="120" w:type="dxa"/>
              <w:bottom w:w="80" w:type="dxa"/>
              <w:end w:w="120" w:type="dxa"/>
            </w:tcMar>
            <w:vAlign w:val="center"/>
            <w:shd w:fill="18264F"/>
          </w:tcPr>
          <w:p>
            <w:pPr>
              <w:spacing w:after="0"/>
            </w:pPr>
            <w:r>
              <w:rPr>
                <w:rFonts w:ascii="Arial" w:hAnsi="Arial"/>
                <w:b/>
                <w:i w:val="0"/>
                <w:color w:val="FFFFFF"/>
                <w:sz w:val="16"/>
              </w:rPr>
              <w:t>Must not own</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6"/>
              </w:rPr>
              <w:t>Responsive web</w:t>
            </w:r>
          </w:p>
        </w:tc>
        <w:tc>
          <w:tcPr>
            <w:tcW w:type="dxa" w:w="3900"/>
            <w:tcMar>
              <w:top w:w="80" w:type="dxa"/>
              <w:start w:w="120" w:type="dxa"/>
              <w:bottom w:w="80" w:type="dxa"/>
              <w:end w:w="120" w:type="dxa"/>
            </w:tcMar>
            <w:vAlign w:val="center"/>
          </w:tcPr>
          <w:p>
            <w:pPr>
              <w:spacing w:after="0" w:line="245" w:lineRule="auto"/>
            </w:pPr>
            <w:r>
              <w:rPr>
                <w:rFonts w:ascii="Arial" w:hAnsi="Arial"/>
                <w:b w:val="0"/>
                <w:i w:val="0"/>
                <w:color w:val="17213A"/>
                <w:sz w:val="16"/>
              </w:rPr>
              <w:t>Public discovery, learner, teacher, studio, admin and ops shells; SSR/PWA where valuable.</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6"/>
              </w:rPr>
              <w:t>Authoritative entitlement, policy or certificate decisions.</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iOS / Android</w:t>
            </w:r>
          </w:p>
        </w:tc>
        <w:tc>
          <w:tcPr>
            <w:tcW w:type="dxa" w:w="3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Native-quality playback, downloads, notifications, secure storage and offline sync.</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 separate curriculum or tenant administration model.</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6"/>
              </w:rPr>
              <w:t>Design system</w:t>
            </w:r>
          </w:p>
        </w:tc>
        <w:tc>
          <w:tcPr>
            <w:tcW w:type="dxa" w:w="3900"/>
            <w:tcMar>
              <w:top w:w="80" w:type="dxa"/>
              <w:start w:w="120" w:type="dxa"/>
              <w:bottom w:w="80" w:type="dxa"/>
              <w:end w:w="120" w:type="dxa"/>
            </w:tcMar>
            <w:vAlign w:val="center"/>
          </w:tcPr>
          <w:p>
            <w:pPr>
              <w:spacing w:after="0" w:line="245" w:lineRule="auto"/>
            </w:pPr>
            <w:r>
              <w:rPr>
                <w:rFonts w:ascii="Arial" w:hAnsi="Arial"/>
                <w:b w:val="0"/>
                <w:i w:val="0"/>
                <w:color w:val="17213A"/>
                <w:sz w:val="16"/>
              </w:rPr>
              <w:t>Tokens, components, interaction states, content patterns and accessibility semantics.</w:t>
            </w:r>
          </w:p>
        </w:tc>
        <w:tc>
          <w:tcPr>
            <w:tcW w:type="dxa" w:w="3860"/>
            <w:tcMar>
              <w:top w:w="80" w:type="dxa"/>
              <w:start w:w="120" w:type="dxa"/>
              <w:bottom w:w="80" w:type="dxa"/>
              <w:end w:w="120" w:type="dxa"/>
            </w:tcMar>
            <w:vAlign w:val="center"/>
          </w:tcPr>
          <w:p>
            <w:pPr>
              <w:spacing w:after="0" w:line="245" w:lineRule="auto"/>
            </w:pPr>
            <w:r>
              <w:rPr>
                <w:rFonts w:ascii="Arial" w:hAnsi="Arial"/>
                <w:b w:val="0"/>
                <w:i w:val="0"/>
                <w:color w:val="17213A"/>
                <w:sz w:val="16"/>
              </w:rPr>
              <w:t>Tenant-specific components that cannot be upgraded centrally.</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BFF / API gateway</w:t>
            </w:r>
          </w:p>
        </w:tc>
        <w:tc>
          <w:tcPr>
            <w:tcW w:type="dxa" w:w="3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Resolve context, aggregate view models, enforce scopes and mobile compatibility.</w:t>
            </w:r>
          </w:p>
        </w:tc>
        <w:tc>
          <w:tcPr>
            <w:tcW w:type="dxa" w:w="38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Silent cross-tenant joins or UI-derived authorisation.</w:t>
            </w:r>
          </w:p>
        </w:tc>
      </w:tr>
    </w:tbl>
    <w:p>
      <w:pPr>
        <w:pStyle w:val="Heading2"/>
      </w:pPr>
      <w:r>
        <w:t>Required view-model fields</w:t>
      </w:r>
    </w:p>
    <w:p>
      <w:pPr>
        <w:pStyle w:val="ListBullet"/>
      </w:pPr>
      <w:r>
        <w:rPr>
          <w:rFonts w:ascii="Arial" w:hAnsi="Arial"/>
          <w:b w:val="0"/>
          <w:i w:val="0"/>
          <w:color w:val="17213A"/>
          <w:sz w:val="20"/>
        </w:rPr>
        <w:t>context: tenantId, programmeId, editionId, language, agePolicy, roleScopes and entitlement.</w:t>
      </w:r>
    </w:p>
    <w:p>
      <w:pPr>
        <w:pStyle w:val="ListBullet"/>
      </w:pPr>
      <w:r>
        <w:rPr>
          <w:rFonts w:ascii="Arial" w:hAnsi="Arial"/>
          <w:b w:val="0"/>
          <w:i w:val="0"/>
          <w:color w:val="17213A"/>
          <w:sz w:val="20"/>
        </w:rPr>
        <w:t>resource: stable ID, version, publication status, effective date, source/edition lineage and rights state.</w:t>
      </w:r>
    </w:p>
    <w:p>
      <w:pPr>
        <w:pStyle w:val="ListBullet"/>
      </w:pPr>
      <w:r>
        <w:rPr>
          <w:rFonts w:ascii="Arial" w:hAnsi="Arial"/>
          <w:b w:val="0"/>
          <w:i w:val="0"/>
          <w:color w:val="17213A"/>
          <w:sz w:val="20"/>
        </w:rPr>
        <w:t>learning: activity state, mastery evidence, attempt policy, sync state, next action and revision reason.</w:t>
      </w:r>
    </w:p>
    <w:p>
      <w:pPr>
        <w:pStyle w:val="ListBullet"/>
      </w:pPr>
      <w:r>
        <w:rPr>
          <w:rFonts w:ascii="Arial" w:hAnsi="Arial"/>
          <w:b w:val="0"/>
          <w:i w:val="0"/>
          <w:color w:val="17213A"/>
          <w:sz w:val="20"/>
        </w:rPr>
        <w:t>UI: accessible name, status text, permitted actions, empty/error/offline variants and support reference.</w:t>
      </w:r>
    </w:p>
    <w:p>
      <w:pPr>
        <w:pStyle w:val="Heading2"/>
      </w:pPr>
      <w:r>
        <w:t>Navigation and API guarantees</w:t>
      </w:r>
    </w:p>
    <w:p>
      <w:pPr>
        <w:pStyle w:val="ListBullet"/>
      </w:pPr>
      <w:r>
        <w:rPr>
          <w:rFonts w:ascii="Arial" w:hAnsi="Arial"/>
          <w:b w:val="0"/>
          <w:i w:val="0"/>
          <w:color w:val="17213A"/>
          <w:sz w:val="20"/>
        </w:rPr>
        <w:t>All routes use stable identifiers; human-readable slugs are aliases, not database keys.</w:t>
      </w:r>
    </w:p>
    <w:p>
      <w:pPr>
        <w:pStyle w:val="ListBullet"/>
      </w:pPr>
      <w:r>
        <w:rPr>
          <w:rFonts w:ascii="Arial" w:hAnsi="Arial"/>
          <w:b w:val="0"/>
          <w:i w:val="0"/>
          <w:color w:val="17213A"/>
          <w:sz w:val="20"/>
        </w:rPr>
        <w:t>Mutations are idempotent where retried by mobile/offline clients and return the resulting version and sync token.</w:t>
      </w:r>
    </w:p>
    <w:p>
      <w:pPr>
        <w:pStyle w:val="ListBullet"/>
      </w:pPr>
      <w:r>
        <w:rPr>
          <w:rFonts w:ascii="Arial" w:hAnsi="Arial"/>
          <w:b w:val="0"/>
          <w:i w:val="0"/>
          <w:color w:val="17213A"/>
          <w:sz w:val="20"/>
        </w:rPr>
        <w:t>Every privileged mutation includes tenant scope, actor, reason where required, correlation ID and audit event.</w:t>
      </w:r>
    </w:p>
    <w:p>
      <w:pPr>
        <w:sectPr>
          <w:pgSz w:w="12240" w:h="15840"/>
          <w:pgMar w:top="1440" w:right="1440" w:bottom="1440" w:left="1440" w:header="708" w:footer="708" w:gutter="0"/>
          <w:cols w:space="720"/>
          <w:docGrid w:linePitch="360"/>
        </w:sectPr>
      </w:pPr>
    </w:p>
    <w:p>
      <w:pPr>
        <w:pStyle w:val="Heading2"/>
      </w:pPr>
      <w:r>
        <w:t>9.1 Logical API surface</w:t>
      </w:r>
    </w:p>
    <w:p>
      <w:pPr>
        <w:spacing w:before="0" w:after="100"/>
      </w:pPr>
      <w:r>
        <w:rPr>
          <w:rFonts w:ascii="Arial" w:hAnsi="Arial"/>
          <w:b w:val="0"/>
          <w:i/>
          <w:color w:val="6D7282"/>
          <w:sz w:val="18"/>
        </w:rPr>
        <w:t>Endpoint names are logical and must be confirmed in solution design. The behavioural contracts, scoping and evidence are requirements.</w:t>
      </w:r>
    </w:p>
    <w:tbl>
      <w:tblPr>
        <w:tblStyle w:val="TableGrid"/>
        <w:tblW w:type="dxa" w:w="9360"/>
        <w:tblLayout w:type="fixed"/>
        <w:tblLook w:firstColumn="1" w:firstRow="1" w:lastColumn="0" w:lastRow="0" w:noHBand="0" w:noVBand="1" w:val="04A0"/>
        <w:jc w:val="left"/>
        <w:tblInd w:w="120" w:type="dxa"/>
      </w:tblPr>
      <w:tblGrid>
        <w:gridCol w:w="1600"/>
        <w:gridCol w:w="2950"/>
        <w:gridCol w:w="4810"/>
      </w:tblGrid>
      <w:tr>
        <w:trPr>
          <w:tblHeader/>
        </w:trPr>
        <w:tc>
          <w:tcPr>
            <w:tcW w:type="dxa" w:w="1600"/>
            <w:tcMar>
              <w:top w:w="80" w:type="dxa"/>
              <w:start w:w="120" w:type="dxa"/>
              <w:bottom w:w="80" w:type="dxa"/>
              <w:end w:w="120" w:type="dxa"/>
            </w:tcMar>
            <w:vAlign w:val="center"/>
            <w:shd w:fill="18264F"/>
          </w:tcPr>
          <w:p>
            <w:pPr>
              <w:spacing w:after="0"/>
            </w:pPr>
            <w:r>
              <w:rPr>
                <w:rFonts w:ascii="Arial" w:hAnsi="Arial"/>
                <w:b/>
                <w:i w:val="0"/>
                <w:color w:val="FFFFFF"/>
                <w:sz w:val="15"/>
              </w:rPr>
              <w:t>Capability</w:t>
            </w:r>
          </w:p>
        </w:tc>
        <w:tc>
          <w:tcPr>
            <w:tcW w:type="dxa" w:w="2950"/>
            <w:tcMar>
              <w:top w:w="80" w:type="dxa"/>
              <w:start w:w="120" w:type="dxa"/>
              <w:bottom w:w="80" w:type="dxa"/>
              <w:end w:w="120" w:type="dxa"/>
            </w:tcMar>
            <w:vAlign w:val="center"/>
            <w:shd w:fill="18264F"/>
          </w:tcPr>
          <w:p>
            <w:pPr>
              <w:spacing w:after="0"/>
            </w:pPr>
            <w:r>
              <w:rPr>
                <w:rFonts w:ascii="Arial" w:hAnsi="Arial"/>
                <w:b/>
                <w:i w:val="0"/>
                <w:color w:val="FFFFFF"/>
                <w:sz w:val="15"/>
              </w:rPr>
              <w:t>Logical operations</w:t>
            </w:r>
          </w:p>
        </w:tc>
        <w:tc>
          <w:tcPr>
            <w:tcW w:type="dxa" w:w="4810"/>
            <w:tcMar>
              <w:top w:w="80" w:type="dxa"/>
              <w:start w:w="120" w:type="dxa"/>
              <w:bottom w:w="80" w:type="dxa"/>
              <w:end w:w="120" w:type="dxa"/>
            </w:tcMar>
            <w:vAlign w:val="center"/>
            <w:shd w:fill="18264F"/>
          </w:tcPr>
          <w:p>
            <w:pPr>
              <w:spacing w:after="0"/>
            </w:pPr>
            <w:r>
              <w:rPr>
                <w:rFonts w:ascii="Arial" w:hAnsi="Arial"/>
                <w:b/>
                <w:i w:val="0"/>
                <w:color w:val="FFFFFF"/>
                <w:sz w:val="15"/>
              </w:rPr>
              <w:t>Contract requirements</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Context and catalogue</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resolve context; list tenants/programmes/editions; fetch publication</w:t>
            </w:r>
          </w:p>
        </w:tc>
        <w:tc>
          <w:tcPr>
            <w:tcW w:type="dxa" w:w="4810"/>
            <w:tcMar>
              <w:top w:w="80" w:type="dxa"/>
              <w:start w:w="120" w:type="dxa"/>
              <w:bottom w:w="80" w:type="dxa"/>
              <w:end w:w="120" w:type="dxa"/>
            </w:tcMar>
            <w:vAlign w:val="center"/>
          </w:tcPr>
          <w:p>
            <w:pPr>
              <w:spacing w:after="0" w:line="245" w:lineRule="auto"/>
            </w:pPr>
            <w:r>
              <w:rPr>
                <w:rFonts w:ascii="Arial" w:hAnsi="Arial"/>
                <w:b w:val="0"/>
                <w:i w:val="0"/>
                <w:color w:val="17213A"/>
                <w:sz w:val="15"/>
              </w:rPr>
              <w:t>Cacheable reads vary by tenant, language, entitlement and release; no hidden cross-tenant fallback.</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Learning delivery</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get path/chapter/lesson/verse; append evidence; get derived progress</w:t>
            </w:r>
          </w:p>
        </w:tc>
        <w:tc>
          <w:tcPr>
            <w:tcW w:type="dxa" w:w="4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Published immutable resources; append-only evidence; version returned with next eligible action.</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Assessment</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start attempt; save response; submit; retrieve result/remediation</w:t>
            </w:r>
          </w:p>
        </w:tc>
        <w:tc>
          <w:tcPr>
            <w:tcW w:type="dxa" w:w="4810"/>
            <w:tcMar>
              <w:top w:w="80" w:type="dxa"/>
              <w:start w:w="120" w:type="dxa"/>
              <w:bottom w:w="80" w:type="dxa"/>
              <w:end w:w="120" w:type="dxa"/>
            </w:tcMar>
            <w:vAlign w:val="center"/>
          </w:tcPr>
          <w:p>
            <w:pPr>
              <w:spacing w:after="0" w:line="245" w:lineRule="auto"/>
            </w:pPr>
            <w:r>
              <w:rPr>
                <w:rFonts w:ascii="Arial" w:hAnsi="Arial"/>
                <w:b w:val="0"/>
                <w:i w:val="0"/>
                <w:color w:val="17213A"/>
                <w:sz w:val="15"/>
              </w:rPr>
              <w:t>Attempt and item versions fixed at start; idempotent submit; accommodation and policy captured.</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Personal library</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bookmarks; private notes; downloads; preferences; data rights</w:t>
            </w:r>
          </w:p>
        </w:tc>
        <w:tc>
          <w:tcPr>
            <w:tcW w:type="dxa" w:w="4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Private-by-default scopes, encryption, retention classification and user-visible sync state.</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Teacher</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cohorts; assignments; submissions; feedback; outcome reports</w:t>
            </w:r>
          </w:p>
        </w:tc>
        <w:tc>
          <w:tcPr>
            <w:tcW w:type="dxa" w:w="4810"/>
            <w:tcMar>
              <w:top w:w="80" w:type="dxa"/>
              <w:start w:w="120" w:type="dxa"/>
              <w:bottom w:w="80" w:type="dxa"/>
              <w:end w:w="120" w:type="dxa"/>
            </w:tcMar>
            <w:vAlign w:val="center"/>
          </w:tcPr>
          <w:p>
            <w:pPr>
              <w:spacing w:after="0" w:line="245" w:lineRule="auto"/>
            </w:pPr>
            <w:r>
              <w:rPr>
                <w:rFonts w:ascii="Arial" w:hAnsi="Arial"/>
                <w:b w:val="0"/>
                <w:i w:val="0"/>
                <w:color w:val="17213A"/>
                <w:sz w:val="15"/>
              </w:rPr>
              <w:t>Cohort assignment enforced server-side; private reflections excluded; exports audited.</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Content and editions</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draft; compare; review; approve; publish; retract; rights</w:t>
            </w:r>
          </w:p>
        </w:tc>
        <w:tc>
          <w:tcPr>
            <w:tcW w:type="dxa" w:w="4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Immutable release, provenance graph, dual control where configured and distribution status.</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Tenant administration</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users/roles; programmes; policies; integrations; certificates</w:t>
            </w:r>
          </w:p>
        </w:tc>
        <w:tc>
          <w:tcPr>
            <w:tcW w:type="dxa" w:w="4810"/>
            <w:tcMar>
              <w:top w:w="80" w:type="dxa"/>
              <w:start w:w="120" w:type="dxa"/>
              <w:bottom w:w="80" w:type="dxa"/>
              <w:end w:w="120" w:type="dxa"/>
            </w:tcMar>
            <w:vAlign w:val="center"/>
          </w:tcPr>
          <w:p>
            <w:pPr>
              <w:spacing w:after="0" w:line="245" w:lineRule="auto"/>
            </w:pPr>
            <w:r>
              <w:rPr>
                <w:rFonts w:ascii="Arial" w:hAnsi="Arial"/>
                <w:b w:val="0"/>
                <w:i w:val="0"/>
                <w:color w:val="17213A"/>
                <w:sz w:val="15"/>
              </w:rPr>
              <w:t>Delegated tenant scope; preview before high-trust mutation; job and audit status.</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Platform operations</w:t>
            </w:r>
          </w:p>
        </w:tc>
        <w:tc>
          <w:tcPr>
            <w:tcW w:type="dxa" w:w="29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tenants; flags; health; distribution; elevation; security events</w:t>
            </w:r>
          </w:p>
        </w:tc>
        <w:tc>
          <w:tcPr>
            <w:tcW w:type="dxa" w:w="48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Privileged scopes, reason/approval, time limit, privacy masking and tamper-evident audit.</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Sync</w:t>
            </w:r>
          </w:p>
        </w:tc>
        <w:tc>
          <w:tcPr>
            <w:tcW w:type="dxa" w:w="2950"/>
            <w:tcMar>
              <w:top w:w="80" w:type="dxa"/>
              <w:start w:w="120" w:type="dxa"/>
              <w:bottom w:w="80" w:type="dxa"/>
              <w:end w:w="120" w:type="dxa"/>
            </w:tcMar>
            <w:vAlign w:val="center"/>
          </w:tcPr>
          <w:p>
            <w:pPr>
              <w:spacing w:after="0" w:line="245" w:lineRule="auto"/>
            </w:pPr>
            <w:r>
              <w:rPr>
                <w:rFonts w:ascii="Arial" w:hAnsi="Arial"/>
                <w:b w:val="0"/>
                <w:i w:val="0"/>
                <w:color w:val="17213A"/>
                <w:sz w:val="15"/>
              </w:rPr>
              <w:t>push client events; pull changes; acknowledge; resolve conflict</w:t>
            </w:r>
          </w:p>
        </w:tc>
        <w:tc>
          <w:tcPr>
            <w:tcW w:type="dxa" w:w="4810"/>
            <w:tcMar>
              <w:top w:w="80" w:type="dxa"/>
              <w:start w:w="120" w:type="dxa"/>
              <w:bottom w:w="80" w:type="dxa"/>
              <w:end w:w="120" w:type="dxa"/>
            </w:tcMar>
            <w:vAlign w:val="center"/>
          </w:tcPr>
          <w:p>
            <w:pPr>
              <w:spacing w:after="0" w:line="245" w:lineRule="auto"/>
            </w:pPr>
            <w:r>
              <w:rPr>
                <w:rFonts w:ascii="Arial" w:hAnsi="Arial"/>
                <w:b w:val="0"/>
                <w:i w:val="0"/>
                <w:color w:val="17213A"/>
                <w:sz w:val="15"/>
              </w:rPr>
              <w:t>Monotonic cursor, durable event ID, per-item result and rights/retraction priority.</w:t>
            </w:r>
          </w:p>
        </w:tc>
      </w:tr>
    </w:tbl>
    <w:p>
      <w:pPr>
        <w:sectPr>
          <w:pgSz w:w="12240" w:h="15840"/>
          <w:pgMar w:top="1440" w:right="1440" w:bottom="1440" w:left="1440" w:header="708" w:footer="708" w:gutter="0"/>
          <w:cols w:space="720"/>
          <w:docGrid w:linePitch="360"/>
        </w:sectPr>
      </w:pPr>
    </w:p>
    <w:p>
      <w:pPr>
        <w:pStyle w:val="Heading2"/>
      </w:pPr>
      <w:r>
        <w:t>9.2 Core data contracts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tcMar>
              <w:top w:w="80" w:type="dxa"/>
              <w:start w:w="120" w:type="dxa"/>
              <w:bottom w:w="80" w:type="dxa"/>
              <w:end w:w="120" w:type="dxa"/>
            </w:tcMar>
            <w:vAlign w:val="center"/>
            <w:shd w:fill="18264F"/>
          </w:tcPr>
          <w:p>
            <w:pPr>
              <w:spacing w:after="0"/>
            </w:pPr>
            <w:r>
              <w:rPr>
                <w:rFonts w:ascii="Arial" w:hAnsi="Arial"/>
                <w:b/>
                <w:i w:val="0"/>
                <w:color w:val="FFFFFF"/>
                <w:sz w:val="16"/>
              </w:rPr>
              <w:t>Contract</w:t>
            </w:r>
          </w:p>
        </w:tc>
        <w:tc>
          <w:tcPr>
            <w:tcW w:type="dxa" w:w="7460"/>
            <w:tcMar>
              <w:top w:w="80" w:type="dxa"/>
              <w:start w:w="120" w:type="dxa"/>
              <w:bottom w:w="80" w:type="dxa"/>
              <w:end w:w="120" w:type="dxa"/>
            </w:tcMar>
            <w:vAlign w:val="center"/>
            <w:shd w:fill="18264F"/>
          </w:tcPr>
          <w:p>
            <w:pPr>
              <w:spacing w:after="0"/>
            </w:pPr>
            <w:r>
              <w:rPr>
                <w:rFonts w:ascii="Arial" w:hAnsi="Arial"/>
                <w:b/>
                <w:i w:val="0"/>
                <w:color w:val="FFFFFF"/>
                <w:sz w:val="16"/>
              </w:rPr>
              <w:t>Required fields / rules</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ContextEnvelope</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tenantId; programmeId?; cohortId?; editionId; language; roleScopes; entitlement; age/consent policy; contextVersion; permittedWorkspaces.</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EditionDescriptor</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editionId; organisation/tradition; translatorCommentator; authority; language; version; effectiveAt; status; provenance; rightsSummary; equivalenceMapId?.</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ResourceEnvelope</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resourceId; resourceType; canonicalReference?; version; editionId; publicationStatus; effectiveAt; rightsState; contentHash; permittedActions.</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LearningState</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learnerId; enrolmentId; activity/chapter/programme state; evidenceRefs; attemptPolicy; revisionReason; nextAction; derivedAt; resourceVersion.</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ActionDescriptor</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actionId; accessibleLabel; method/target; enabled; disabledReasonCode?; confirmation; idempotencyRequired; requiredScope.</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SyncEnvelope</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deviceId; clientEventId; baseVersion; occurredAt; syncCursor; operation; payload; consentClass; per-item result and authoritativeVersion.</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ErrorEnvelope</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stable code; localisable message key/parameters; field errors; retryable; supportReference; correlationId; safe context; no stack or sensitive object data.</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AuditEvent</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actor/service; tenant; elevation?; action; object/version; before/after hash; reason; approver?; result; timestamp; correlationId; retention class.</w:t>
            </w:r>
          </w:p>
        </w:tc>
      </w:tr>
    </w:tbl>
    <w:p>
      <w:pPr>
        <w:pStyle w:val="Heading2"/>
      </w:pPr>
      <w:r>
        <w:t>Domain modelling rules</w:t>
      </w:r>
    </w:p>
    <w:p>
      <w:pPr>
        <w:pStyle w:val="ListBullet"/>
      </w:pPr>
      <w:r>
        <w:rPr>
          <w:rFonts w:ascii="Arial" w:hAnsi="Arial"/>
          <w:b w:val="0"/>
          <w:i w:val="0"/>
          <w:color w:val="17213A"/>
          <w:sz w:val="20"/>
        </w:rPr>
        <w:t>Use immutable IDs and effective-dated versions for scripture layers, editions, rights, policies, assessments, rubrics, equivalence maps and certificates.</w:t>
      </w:r>
    </w:p>
    <w:p>
      <w:pPr>
        <w:pStyle w:val="ListBullet"/>
      </w:pPr>
      <w:r>
        <w:rPr>
          <w:rFonts w:ascii="Arial" w:hAnsi="Arial"/>
          <w:b w:val="0"/>
          <w:i w:val="0"/>
          <w:color w:val="17213A"/>
          <w:sz w:val="20"/>
        </w:rPr>
        <w:t>Separate canonical scripture reference from translation, commentary, transliteration, glossary and learning explanation. Each layer has its own authority, language, rights and version.</w:t>
      </w:r>
    </w:p>
    <w:p>
      <w:pPr>
        <w:pStyle w:val="ListBullet"/>
      </w:pPr>
      <w:r>
        <w:rPr>
          <w:rFonts w:ascii="Arial" w:hAnsi="Arial"/>
          <w:b w:val="0"/>
          <w:i w:val="0"/>
          <w:color w:val="17213A"/>
          <w:sz w:val="20"/>
        </w:rPr>
        <w:t>Model organisation, tenant, organisational unit, programme and cohort separately; do not overload one identifier to mean all five.</w:t>
      </w:r>
    </w:p>
    <w:p>
      <w:pPr>
        <w:pStyle w:val="ListBullet"/>
      </w:pPr>
      <w:r>
        <w:rPr>
          <w:rFonts w:ascii="Arial" w:hAnsi="Arial"/>
          <w:b w:val="0"/>
          <w:i w:val="0"/>
          <w:color w:val="17213A"/>
          <w:sz w:val="20"/>
        </w:rPr>
        <w:t>Separate operational learning evidence, derived progress, analytics events and private learner content so retention and access policies can differ.</w:t>
      </w:r>
    </w:p>
    <w:p>
      <w:pPr>
        <w:sectPr>
          <w:pgSz w:w="12240" w:h="15840"/>
          <w:pgMar w:top="1440" w:right="1440" w:bottom="1440" w:left="1440" w:header="708" w:footer="708" w:gutter="0"/>
          <w:cols w:space="720"/>
          <w:docGrid w:linePitch="360"/>
        </w:sectPr>
      </w:pPr>
    </w:p>
    <w:p>
      <w:pPr>
        <w:pStyle w:val="Heading2"/>
      </w:pPr>
      <w:r>
        <w:t>9.3 Mutation, concurrency and error contract</w:t>
      </w:r>
    </w:p>
    <w:tbl>
      <w:tblPr>
        <w:tblStyle w:val="TableGrid"/>
        <w:tblW w:type="dxa" w:w="9360"/>
        <w:tblLayout w:type="fixed"/>
        <w:tblLook w:firstColumn="1" w:firstRow="1" w:lastColumn="0" w:lastRow="0" w:noHBand="0" w:noVBand="1" w:val="04A0"/>
        <w:jc w:val="left"/>
        <w:tblInd w:w="120" w:type="dxa"/>
      </w:tblPr>
      <w:tblGrid>
        <w:gridCol w:w="1600"/>
        <w:gridCol w:w="4140"/>
        <w:gridCol w:w="3620"/>
      </w:tblGrid>
      <w:tr>
        <w:trPr>
          <w:tblHeader/>
        </w:trPr>
        <w:tc>
          <w:tcPr>
            <w:tcW w:type="dxa" w:w="1600"/>
            <w:tcMar>
              <w:top w:w="80" w:type="dxa"/>
              <w:start w:w="120" w:type="dxa"/>
              <w:bottom w:w="80" w:type="dxa"/>
              <w:end w:w="120" w:type="dxa"/>
            </w:tcMar>
            <w:vAlign w:val="center"/>
            <w:shd w:fill="18264F"/>
          </w:tcPr>
          <w:p>
            <w:pPr>
              <w:spacing w:after="0"/>
            </w:pPr>
            <w:r>
              <w:rPr>
                <w:rFonts w:ascii="Arial" w:hAnsi="Arial"/>
                <w:b/>
                <w:i w:val="0"/>
                <w:color w:val="FFFFFF"/>
                <w:sz w:val="15"/>
              </w:rPr>
              <w:t>Concern</w:t>
            </w:r>
          </w:p>
        </w:tc>
        <w:tc>
          <w:tcPr>
            <w:tcW w:type="dxa" w:w="4140"/>
            <w:tcMar>
              <w:top w:w="80" w:type="dxa"/>
              <w:start w:w="120" w:type="dxa"/>
              <w:bottom w:w="80" w:type="dxa"/>
              <w:end w:w="120" w:type="dxa"/>
            </w:tcMar>
            <w:vAlign w:val="center"/>
            <w:shd w:fill="18264F"/>
          </w:tcPr>
          <w:p>
            <w:pPr>
              <w:spacing w:after="0"/>
            </w:pPr>
            <w:r>
              <w:rPr>
                <w:rFonts w:ascii="Arial" w:hAnsi="Arial"/>
                <w:b/>
                <w:i w:val="0"/>
                <w:color w:val="FFFFFF"/>
                <w:sz w:val="15"/>
              </w:rPr>
              <w:t>Minimum contract</w:t>
            </w:r>
          </w:p>
        </w:tc>
        <w:tc>
          <w:tcPr>
            <w:tcW w:type="dxa" w:w="3620"/>
            <w:tcMar>
              <w:top w:w="80" w:type="dxa"/>
              <w:start w:w="120" w:type="dxa"/>
              <w:bottom w:w="80" w:type="dxa"/>
              <w:end w:w="120" w:type="dxa"/>
            </w:tcMar>
            <w:vAlign w:val="center"/>
            <w:shd w:fill="18264F"/>
          </w:tcPr>
          <w:p>
            <w:pPr>
              <w:spacing w:after="0"/>
            </w:pPr>
            <w:r>
              <w:rPr>
                <w:rFonts w:ascii="Arial" w:hAnsi="Arial"/>
                <w:b/>
                <w:i w:val="0"/>
                <w:color w:val="FFFFFF"/>
                <w:sz w:val="15"/>
              </w:rPr>
              <w:t>UI obligation</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Idempotency</w:t>
            </w:r>
          </w:p>
        </w:tc>
        <w:tc>
          <w:tcPr>
            <w:tcW w:type="dxa" w:w="4140"/>
            <w:tcMar>
              <w:top w:w="80" w:type="dxa"/>
              <w:start w:w="120" w:type="dxa"/>
              <w:bottom w:w="80" w:type="dxa"/>
              <w:end w:w="120" w:type="dxa"/>
            </w:tcMar>
            <w:vAlign w:val="center"/>
          </w:tcPr>
          <w:p>
            <w:pPr>
              <w:spacing w:after="0" w:line="245" w:lineRule="auto"/>
            </w:pPr>
            <w:r>
              <w:rPr>
                <w:rFonts w:ascii="Arial" w:hAnsi="Arial"/>
                <w:b w:val="0"/>
                <w:i w:val="0"/>
                <w:color w:val="17213A"/>
                <w:sz w:val="15"/>
              </w:rPr>
              <w:t>Client supplies durable key for retryable mutations; server returns same logical result.</w:t>
            </w:r>
          </w:p>
        </w:tc>
        <w:tc>
          <w:tcPr>
            <w:tcW w:type="dxa" w:w="3620"/>
            <w:tcMar>
              <w:top w:w="80" w:type="dxa"/>
              <w:start w:w="120" w:type="dxa"/>
              <w:bottom w:w="80" w:type="dxa"/>
              <w:end w:w="120" w:type="dxa"/>
            </w:tcMar>
            <w:vAlign w:val="center"/>
          </w:tcPr>
          <w:p>
            <w:pPr>
              <w:spacing w:after="0" w:line="245" w:lineRule="auto"/>
            </w:pPr>
            <w:r>
              <w:rPr>
                <w:rFonts w:ascii="Arial" w:hAnsi="Arial"/>
                <w:b w:val="0"/>
                <w:i w:val="0"/>
                <w:color w:val="17213A"/>
                <w:sz w:val="15"/>
              </w:rPr>
              <w:t>Retry must not duplicate enrolment, evidence, submission, publication or invitation.</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Optimistic concurrency</w:t>
            </w:r>
          </w:p>
        </w:tc>
        <w:tc>
          <w:tcPr>
            <w:tcW w:type="dxa" w:w="414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Mutation includes base version/ETag; conflict returns current version and safe diff metadata.</w:t>
            </w:r>
          </w:p>
        </w:tc>
        <w:tc>
          <w:tcPr>
            <w:tcW w:type="dxa" w:w="36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Preserve input; explain conflict; refresh or merge explicitly.</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Validation</w:t>
            </w:r>
          </w:p>
        </w:tc>
        <w:tc>
          <w:tcPr>
            <w:tcW w:type="dxa" w:w="4140"/>
            <w:tcMar>
              <w:top w:w="80" w:type="dxa"/>
              <w:start w:w="120" w:type="dxa"/>
              <w:bottom w:w="80" w:type="dxa"/>
              <w:end w:w="120" w:type="dxa"/>
            </w:tcMar>
            <w:vAlign w:val="center"/>
          </w:tcPr>
          <w:p>
            <w:pPr>
              <w:spacing w:after="0" w:line="245" w:lineRule="auto"/>
            </w:pPr>
            <w:r>
              <w:rPr>
                <w:rFonts w:ascii="Arial" w:hAnsi="Arial"/>
                <w:b w:val="0"/>
                <w:i w:val="0"/>
                <w:color w:val="17213A"/>
                <w:sz w:val="15"/>
              </w:rPr>
              <w:t>Stable field/path errors and rule codes; localisable parameters.</w:t>
            </w:r>
          </w:p>
        </w:tc>
        <w:tc>
          <w:tcPr>
            <w:tcW w:type="dxa" w:w="3620"/>
            <w:tcMar>
              <w:top w:w="80" w:type="dxa"/>
              <w:start w:w="120" w:type="dxa"/>
              <w:bottom w:w="80" w:type="dxa"/>
              <w:end w:w="120" w:type="dxa"/>
            </w:tcMar>
            <w:vAlign w:val="center"/>
          </w:tcPr>
          <w:p>
            <w:pPr>
              <w:spacing w:after="0" w:line="245" w:lineRule="auto"/>
            </w:pPr>
            <w:r>
              <w:rPr>
                <w:rFonts w:ascii="Arial" w:hAnsi="Arial"/>
                <w:b w:val="0"/>
                <w:i w:val="0"/>
                <w:color w:val="17213A"/>
                <w:sz w:val="15"/>
              </w:rPr>
              <w:t>Focus summary then first invalid field; retain values; no colour-only error.</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Long-running work</w:t>
            </w:r>
          </w:p>
        </w:tc>
        <w:tc>
          <w:tcPr>
            <w:tcW w:type="dxa" w:w="414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202/job resource with status, progress, retry and cancellation policy.</w:t>
            </w:r>
          </w:p>
        </w:tc>
        <w:tc>
          <w:tcPr>
            <w:tcW w:type="dxa" w:w="36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Persistent job state for imports, exports, releases and distribution.</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Partial success</w:t>
            </w:r>
          </w:p>
        </w:tc>
        <w:tc>
          <w:tcPr>
            <w:tcW w:type="dxa" w:w="4140"/>
            <w:tcMar>
              <w:top w:w="80" w:type="dxa"/>
              <w:start w:w="120" w:type="dxa"/>
              <w:bottom w:w="80" w:type="dxa"/>
              <w:end w:w="120" w:type="dxa"/>
            </w:tcMar>
            <w:vAlign w:val="center"/>
          </w:tcPr>
          <w:p>
            <w:pPr>
              <w:spacing w:after="0" w:line="245" w:lineRule="auto"/>
            </w:pPr>
            <w:r>
              <w:rPr>
                <w:rFonts w:ascii="Arial" w:hAnsi="Arial"/>
                <w:b w:val="0"/>
                <w:i w:val="0"/>
                <w:color w:val="17213A"/>
                <w:sz w:val="15"/>
              </w:rPr>
              <w:t>Per-item status for bulk and sync operations; transaction boundary declared.</w:t>
            </w:r>
          </w:p>
        </w:tc>
        <w:tc>
          <w:tcPr>
            <w:tcW w:type="dxa" w:w="3620"/>
            <w:tcMar>
              <w:top w:w="80" w:type="dxa"/>
              <w:start w:w="120" w:type="dxa"/>
              <w:bottom w:w="80" w:type="dxa"/>
              <w:end w:w="120" w:type="dxa"/>
            </w:tcMar>
            <w:vAlign w:val="center"/>
          </w:tcPr>
          <w:p>
            <w:pPr>
              <w:spacing w:after="0" w:line="245" w:lineRule="auto"/>
            </w:pPr>
            <w:r>
              <w:rPr>
                <w:rFonts w:ascii="Arial" w:hAnsi="Arial"/>
                <w:b w:val="0"/>
                <w:i w:val="0"/>
                <w:color w:val="17213A"/>
                <w:sz w:val="15"/>
              </w:rPr>
              <w:t>Show succeeded, failed and unprocessed items; allow safe retry.</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Rate / service failure</w:t>
            </w:r>
          </w:p>
        </w:tc>
        <w:tc>
          <w:tcPr>
            <w:tcW w:type="dxa" w:w="414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Retryable flag, Retry-After where applicable and support reference.</w:t>
            </w:r>
          </w:p>
        </w:tc>
        <w:tc>
          <w:tcPr>
            <w:tcW w:type="dxa" w:w="362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Backoff without data loss; communicate degraded scope and freshness.</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Authorisation</w:t>
            </w:r>
          </w:p>
        </w:tc>
        <w:tc>
          <w:tcPr>
            <w:tcW w:type="dxa" w:w="4140"/>
            <w:tcMar>
              <w:top w:w="80" w:type="dxa"/>
              <w:start w:w="120" w:type="dxa"/>
              <w:bottom w:w="80" w:type="dxa"/>
              <w:end w:w="120" w:type="dxa"/>
            </w:tcMar>
            <w:vAlign w:val="center"/>
          </w:tcPr>
          <w:p>
            <w:pPr>
              <w:spacing w:after="0" w:line="245" w:lineRule="auto"/>
            </w:pPr>
            <w:r>
              <w:rPr>
                <w:rFonts w:ascii="Arial" w:hAnsi="Arial"/>
                <w:b w:val="0"/>
                <w:i w:val="0"/>
                <w:color w:val="17213A"/>
                <w:sz w:val="15"/>
              </w:rPr>
              <w:t>Server resolves tenant/object/action scope every time.</w:t>
            </w:r>
          </w:p>
        </w:tc>
        <w:tc>
          <w:tcPr>
            <w:tcW w:type="dxa" w:w="3620"/>
            <w:tcMar>
              <w:top w:w="80" w:type="dxa"/>
              <w:start w:w="120" w:type="dxa"/>
              <w:bottom w:w="80" w:type="dxa"/>
              <w:end w:w="120" w:type="dxa"/>
            </w:tcMar>
            <w:vAlign w:val="center"/>
          </w:tcPr>
          <w:p>
            <w:pPr>
              <w:spacing w:after="0" w:line="245" w:lineRule="auto"/>
            </w:pPr>
            <w:r>
              <w:rPr>
                <w:rFonts w:ascii="Arial" w:hAnsi="Arial"/>
                <w:b w:val="0"/>
                <w:i w:val="0"/>
                <w:color w:val="17213A"/>
                <w:sz w:val="15"/>
              </w:rPr>
              <w:t>Disabled affordance may guide; hidden data is never inferred from error detail.</w:t>
            </w:r>
          </w:p>
        </w:tc>
      </w:tr>
    </w:tbl>
    <w:p>
      <w:pPr>
        <w:pStyle w:val="Heading2"/>
      </w:pPr>
      <w:r>
        <w:t>Security and tenant-isolation acceptance</w:t>
      </w:r>
    </w:p>
    <w:p>
      <w:pPr>
        <w:pStyle w:val="ListBullet"/>
      </w:pPr>
      <w:r>
        <w:rPr>
          <w:rFonts w:ascii="Arial" w:hAnsi="Arial"/>
          <w:b w:val="0"/>
          <w:i w:val="0"/>
          <w:color w:val="17213A"/>
          <w:sz w:val="20"/>
        </w:rPr>
        <w:t>Tenant context is enforced in authentication, authorisation, database queries, cache keys, object storage, search indexes, queues, exports, background jobs, media URLs and analytics destinations.</w:t>
      </w:r>
    </w:p>
    <w:p>
      <w:pPr>
        <w:pStyle w:val="ListBullet"/>
      </w:pPr>
      <w:r>
        <w:rPr>
          <w:rFonts w:ascii="Arial" w:hAnsi="Arial"/>
          <w:b w:val="0"/>
          <w:i w:val="0"/>
          <w:color w:val="17213A"/>
          <w:sz w:val="20"/>
        </w:rPr>
        <w:t>Automated negative tests attempt cross-tenant ID substitution for every resource class and privileged mutation. Passing UI tests without service-level isolation evidence is insufficient.</w:t>
      </w:r>
    </w:p>
    <w:p>
      <w:pPr>
        <w:pStyle w:val="ListBullet"/>
      </w:pPr>
      <w:r>
        <w:rPr>
          <w:rFonts w:ascii="Arial" w:hAnsi="Arial"/>
          <w:b w:val="0"/>
          <w:i w:val="0"/>
          <w:color w:val="17213A"/>
          <w:sz w:val="20"/>
        </w:rPr>
        <w:t>Tokens and logs contain the minimum scope; secrets, scripture licensing payloads, learner free text and sensitive inference are excluded from telemetry by default.</w:t>
      </w:r>
    </w:p>
    <w:p>
      <w:pPr>
        <w:sectPr>
          <w:pgSz w:w="12240" w:h="15840"/>
          <w:pgMar w:top="1440" w:right="1440" w:bottom="1440" w:left="1440" w:header="708" w:footer="708" w:gutter="0"/>
          <w:cols w:space="720"/>
          <w:docGrid w:linePitch="360"/>
        </w:sectPr>
      </w:pPr>
    </w:p>
    <w:p>
      <w:pPr>
        <w:pStyle w:val="Heading2"/>
      </w:pPr>
      <w:r>
        <w:t>9.4 Offline sync precedence</w:t>
      </w:r>
    </w:p>
    <w:tbl>
      <w:tblPr>
        <w:tblStyle w:val="TableGrid"/>
        <w:tblW w:type="dxa" w:w="9360"/>
        <w:tblLayout w:type="fixed"/>
        <w:tblLook w:firstColumn="1" w:firstRow="1" w:lastColumn="0" w:lastRow="0" w:noHBand="0" w:noVBand="1" w:val="04A0"/>
        <w:jc w:val="left"/>
        <w:tblInd w:w="120" w:type="dxa"/>
      </w:tblPr>
      <w:tblGrid>
        <w:gridCol w:w="1700"/>
        <w:gridCol w:w="3300"/>
        <w:gridCol w:w="4360"/>
      </w:tblGrid>
      <w:tr>
        <w:trPr>
          <w:tblHeader/>
        </w:trPr>
        <w:tc>
          <w:tcPr>
            <w:tcW w:type="dxa" w:w="1700"/>
            <w:tcMar>
              <w:top w:w="80" w:type="dxa"/>
              <w:start w:w="120" w:type="dxa"/>
              <w:bottom w:w="80" w:type="dxa"/>
              <w:end w:w="120" w:type="dxa"/>
            </w:tcMar>
            <w:vAlign w:val="center"/>
            <w:shd w:fill="18264F"/>
          </w:tcPr>
          <w:p>
            <w:pPr>
              <w:spacing w:after="0"/>
            </w:pPr>
            <w:r>
              <w:rPr>
                <w:rFonts w:ascii="Arial" w:hAnsi="Arial"/>
                <w:b/>
                <w:i w:val="0"/>
                <w:color w:val="FFFFFF"/>
                <w:sz w:val="16"/>
              </w:rPr>
              <w:t>Data class</w:t>
            </w:r>
          </w:p>
        </w:tc>
        <w:tc>
          <w:tcPr>
            <w:tcW w:type="dxa" w:w="3300"/>
            <w:tcMar>
              <w:top w:w="80" w:type="dxa"/>
              <w:start w:w="120" w:type="dxa"/>
              <w:bottom w:w="80" w:type="dxa"/>
              <w:end w:w="120" w:type="dxa"/>
            </w:tcMar>
            <w:vAlign w:val="center"/>
            <w:shd w:fill="18264F"/>
          </w:tcPr>
          <w:p>
            <w:pPr>
              <w:spacing w:after="0"/>
            </w:pPr>
            <w:r>
              <w:rPr>
                <w:rFonts w:ascii="Arial" w:hAnsi="Arial"/>
                <w:b/>
                <w:i w:val="0"/>
                <w:color w:val="FFFFFF"/>
                <w:sz w:val="16"/>
              </w:rPr>
              <w:t>Offline action</w:t>
            </w:r>
          </w:p>
        </w:tc>
        <w:tc>
          <w:tcPr>
            <w:tcW w:type="dxa" w:w="4360"/>
            <w:tcMar>
              <w:top w:w="80" w:type="dxa"/>
              <w:start w:w="120" w:type="dxa"/>
              <w:bottom w:w="80" w:type="dxa"/>
              <w:end w:w="120" w:type="dxa"/>
            </w:tcMar>
            <w:vAlign w:val="center"/>
            <w:shd w:fill="18264F"/>
          </w:tcPr>
          <w:p>
            <w:pPr>
              <w:spacing w:after="0"/>
            </w:pPr>
            <w:r>
              <w:rPr>
                <w:rFonts w:ascii="Arial" w:hAnsi="Arial"/>
                <w:b/>
                <w:i w:val="0"/>
                <w:color w:val="FFFFFF"/>
                <w:sz w:val="16"/>
              </w:rPr>
              <w:t>Conflict rule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Published content</w:t>
            </w:r>
          </w:p>
        </w:tc>
        <w:tc>
          <w:tcPr>
            <w:tcW w:type="dxa" w:w="3300"/>
            <w:tcMar>
              <w:top w:w="80" w:type="dxa"/>
              <w:start w:w="120" w:type="dxa"/>
              <w:bottom w:w="80" w:type="dxa"/>
              <w:end w:w="120" w:type="dxa"/>
            </w:tcMar>
            <w:vAlign w:val="center"/>
          </w:tcPr>
          <w:p>
            <w:pPr>
              <w:spacing w:after="0" w:line="245" w:lineRule="auto"/>
            </w:pPr>
            <w:r>
              <w:rPr>
                <w:rFonts w:ascii="Arial" w:hAnsi="Arial"/>
                <w:b w:val="0"/>
                <w:i w:val="0"/>
                <w:color w:val="17213A"/>
                <w:sz w:val="16"/>
              </w:rPr>
              <w:t>Read downloaded immutable package.</w:t>
            </w:r>
          </w:p>
        </w:tc>
        <w:tc>
          <w:tcPr>
            <w:tcW w:type="dxa" w:w="4360"/>
            <w:tcMar>
              <w:top w:w="80" w:type="dxa"/>
              <w:start w:w="120" w:type="dxa"/>
              <w:bottom w:w="80" w:type="dxa"/>
              <w:end w:w="120" w:type="dxa"/>
            </w:tcMar>
            <w:vAlign w:val="center"/>
          </w:tcPr>
          <w:p>
            <w:pPr>
              <w:spacing w:after="0" w:line="245" w:lineRule="auto"/>
            </w:pPr>
            <w:r>
              <w:rPr>
                <w:rFonts w:ascii="Arial" w:hAnsi="Arial"/>
                <w:b w:val="0"/>
                <w:i w:val="0"/>
                <w:color w:val="17213A"/>
                <w:sz w:val="16"/>
              </w:rPr>
              <w:t>Server retraction/rights expiry wins; package is disabled and securely removed.</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Progress evidence</w:t>
            </w:r>
          </w:p>
        </w:tc>
        <w:tc>
          <w:tcPr>
            <w:tcW w:type="dxa" w:w="3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Append completion/practice events.</w:t>
            </w:r>
          </w:p>
        </w:tc>
        <w:tc>
          <w:tcPr>
            <w:tcW w:type="dxa" w:w="43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De-duplicate by clientEventId; retain both lawful non-conflicting events.</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Bookmark</w:t>
            </w:r>
          </w:p>
        </w:tc>
        <w:tc>
          <w:tcPr>
            <w:tcW w:type="dxa" w:w="3300"/>
            <w:tcMar>
              <w:top w:w="80" w:type="dxa"/>
              <w:start w:w="120" w:type="dxa"/>
              <w:bottom w:w="80" w:type="dxa"/>
              <w:end w:w="120" w:type="dxa"/>
            </w:tcMar>
            <w:vAlign w:val="center"/>
          </w:tcPr>
          <w:p>
            <w:pPr>
              <w:spacing w:after="0" w:line="245" w:lineRule="auto"/>
            </w:pPr>
            <w:r>
              <w:rPr>
                <w:rFonts w:ascii="Arial" w:hAnsi="Arial"/>
                <w:b w:val="0"/>
                <w:i w:val="0"/>
                <w:color w:val="17213A"/>
                <w:sz w:val="16"/>
              </w:rPr>
              <w:t>Add/remove with timestamped operation.</w:t>
            </w:r>
          </w:p>
        </w:tc>
        <w:tc>
          <w:tcPr>
            <w:tcW w:type="dxa" w:w="4360"/>
            <w:tcMar>
              <w:top w:w="80" w:type="dxa"/>
              <w:start w:w="120" w:type="dxa"/>
              <w:bottom w:w="80" w:type="dxa"/>
              <w:end w:w="120" w:type="dxa"/>
            </w:tcMar>
            <w:vAlign w:val="center"/>
          </w:tcPr>
          <w:p>
            <w:pPr>
              <w:spacing w:after="0" w:line="245" w:lineRule="auto"/>
            </w:pPr>
            <w:r>
              <w:rPr>
                <w:rFonts w:ascii="Arial" w:hAnsi="Arial"/>
                <w:b w:val="0"/>
                <w:i w:val="0"/>
                <w:color w:val="17213A"/>
                <w:sz w:val="16"/>
              </w:rPr>
              <w:t>Latest valid user intent wins; history need not be exposed.</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Private note</w:t>
            </w:r>
          </w:p>
        </w:tc>
        <w:tc>
          <w:tcPr>
            <w:tcW w:type="dxa" w:w="3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Create/edit encrypted local draft.</w:t>
            </w:r>
          </w:p>
        </w:tc>
        <w:tc>
          <w:tcPr>
            <w:tcW w:type="dxa" w:w="43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Never discard silently; retain both versions or require explicit merge.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Assessment response</w:t>
            </w:r>
          </w:p>
        </w:tc>
        <w:tc>
          <w:tcPr>
            <w:tcW w:type="dxa" w:w="3300"/>
            <w:tcMar>
              <w:top w:w="80" w:type="dxa"/>
              <w:start w:w="120" w:type="dxa"/>
              <w:bottom w:w="80" w:type="dxa"/>
              <w:end w:w="120" w:type="dxa"/>
            </w:tcMar>
            <w:vAlign w:val="center"/>
          </w:tcPr>
          <w:p>
            <w:pPr>
              <w:spacing w:after="0" w:line="245" w:lineRule="auto"/>
            </w:pPr>
            <w:r>
              <w:rPr>
                <w:rFonts w:ascii="Arial" w:hAnsi="Arial"/>
                <w:b w:val="0"/>
                <w:i w:val="0"/>
                <w:color w:val="17213A"/>
                <w:sz w:val="16"/>
              </w:rPr>
              <w:t>Save locally only when policy allows.</w:t>
            </w:r>
          </w:p>
        </w:tc>
        <w:tc>
          <w:tcPr>
            <w:tcW w:type="dxa" w:w="4360"/>
            <w:tcMar>
              <w:top w:w="80" w:type="dxa"/>
              <w:start w:w="120" w:type="dxa"/>
              <w:bottom w:w="80" w:type="dxa"/>
              <w:end w:w="120" w:type="dxa"/>
            </w:tcMar>
            <w:vAlign w:val="center"/>
          </w:tcPr>
          <w:p>
            <w:pPr>
              <w:spacing w:after="0" w:line="245" w:lineRule="auto"/>
            </w:pPr>
            <w:r>
              <w:rPr>
                <w:rFonts w:ascii="Arial" w:hAnsi="Arial"/>
                <w:b w:val="0"/>
                <w:i w:val="0"/>
                <w:color w:val="17213A"/>
                <w:sz w:val="16"/>
              </w:rPr>
              <w:t>Attempt policy and server submission state win; duplicate submit returns original result.</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Preferences</w:t>
            </w:r>
          </w:p>
        </w:tc>
        <w:tc>
          <w:tcPr>
            <w:tcW w:type="dxa" w:w="3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Change device-capable settings.</w:t>
            </w:r>
          </w:p>
        </w:tc>
        <w:tc>
          <w:tcPr>
            <w:tcW w:type="dxa" w:w="43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Field-level merge where safe; policy-controlled values remain server authoritative.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6"/>
              </w:rPr>
              <w:t>Admin/content mutation</w:t>
            </w:r>
          </w:p>
        </w:tc>
        <w:tc>
          <w:tcPr>
            <w:tcW w:type="dxa" w:w="3300"/>
            <w:tcMar>
              <w:top w:w="80" w:type="dxa"/>
              <w:start w:w="120" w:type="dxa"/>
              <w:bottom w:w="80" w:type="dxa"/>
              <w:end w:w="120" w:type="dxa"/>
            </w:tcMar>
            <w:vAlign w:val="center"/>
          </w:tcPr>
          <w:p>
            <w:pPr>
              <w:spacing w:after="0" w:line="245" w:lineRule="auto"/>
            </w:pPr>
            <w:r>
              <w:rPr>
                <w:rFonts w:ascii="Arial" w:hAnsi="Arial"/>
                <w:b w:val="0"/>
                <w:i w:val="0"/>
                <w:color w:val="17213A"/>
                <w:sz w:val="16"/>
              </w:rPr>
              <w:t>Read-only reference cache at most.</w:t>
            </w:r>
          </w:p>
        </w:tc>
        <w:tc>
          <w:tcPr>
            <w:tcW w:type="dxa" w:w="4360"/>
            <w:tcMar>
              <w:top w:w="80" w:type="dxa"/>
              <w:start w:w="120" w:type="dxa"/>
              <w:bottom w:w="80" w:type="dxa"/>
              <w:end w:w="120" w:type="dxa"/>
            </w:tcMar>
            <w:vAlign w:val="center"/>
          </w:tcPr>
          <w:p>
            <w:pPr>
              <w:spacing w:after="0" w:line="245" w:lineRule="auto"/>
            </w:pPr>
            <w:r>
              <w:rPr>
                <w:rFonts w:ascii="Arial" w:hAnsi="Arial"/>
                <w:b w:val="0"/>
                <w:i w:val="0"/>
                <w:color w:val="17213A"/>
                <w:sz w:val="16"/>
              </w:rPr>
              <w:t>No offline publish, role, rights, policy, retraction or elevation mutation.</w:t>
            </w:r>
          </w:p>
        </w:tc>
      </w:tr>
    </w:tbl>
    <w:p>
      <w:pPr>
        <w:pStyle w:val="Heading2"/>
      </w:pPr>
      <w:r>
        <w:t>Compatibility and observability</w:t>
      </w:r>
    </w:p>
    <w:p>
      <w:pPr>
        <w:pStyle w:val="ListBullet"/>
      </w:pPr>
      <w:r>
        <w:rPr>
          <w:rFonts w:ascii="Arial" w:hAnsi="Arial"/>
          <w:b w:val="0"/>
          <w:i w:val="0"/>
          <w:color w:val="17213A"/>
          <w:sz w:val="20"/>
        </w:rPr>
        <w:t>Web and native clients declare supported API contract versions. The server may require update before a rights-, assessment- or policy-sensitive action that an old client cannot represent safely.</w:t>
      </w:r>
    </w:p>
    <w:p>
      <w:pPr>
        <w:pStyle w:val="ListBullet"/>
      </w:pPr>
      <w:r>
        <w:rPr>
          <w:rFonts w:ascii="Arial" w:hAnsi="Arial"/>
          <w:b w:val="0"/>
          <w:i w:val="0"/>
          <w:color w:val="17213A"/>
          <w:sz w:val="20"/>
        </w:rPr>
        <w:t>Each user-visible failure carries a support reference mapped to correlation ID, service health and safe diagnostics. Support tools must not expose private notes/reflections.</w:t>
      </w:r>
    </w:p>
    <w:p>
      <w:pPr>
        <w:pStyle w:val="ListBullet"/>
      </w:pPr>
      <w:r>
        <w:rPr>
          <w:rFonts w:ascii="Arial" w:hAnsi="Arial"/>
          <w:b w:val="0"/>
          <w:i w:val="0"/>
          <w:color w:val="17213A"/>
          <w:sz w:val="20"/>
        </w:rPr>
        <w:t>Service objectives, error budgets, backups, recovery targets, data residency and penetration-testing scope are discovery decisions recorded in the decision log before production acceptance.</w:t>
      </w:r>
    </w:p>
    <w:p>
      <w:pPr>
        <w:sectPr>
          <w:pgSz w:w="12240" w:h="15840"/>
          <w:pgMar w:top="1440" w:right="1440" w:bottom="1440" w:left="1440" w:header="708" w:footer="708" w:gutter="0"/>
          <w:cols w:space="720"/>
          <w:docGrid w:linePitch="360"/>
        </w:sectPr>
      </w:pPr>
    </w:p>
    <w:p>
      <w:pPr>
        <w:pStyle w:val="Heading1"/>
      </w:pPr>
      <w:r>
        <w:t>10. Accessibility, localisation and responsible analytics</w:t>
      </w:r>
    </w:p>
    <w:p>
      <w:pPr>
        <w:pStyle w:val="Heading2"/>
      </w:pPr>
      <w:r>
        <w:t>Accessibility acceptance</w:t>
      </w:r>
    </w:p>
    <w:p>
      <w:pPr>
        <w:pStyle w:val="ListBullet"/>
      </w:pPr>
      <w:r>
        <w:rPr>
          <w:rFonts w:ascii="Arial" w:hAnsi="Arial"/>
          <w:b w:val="0"/>
          <w:i w:val="0"/>
          <w:color w:val="17213A"/>
          <w:sz w:val="20"/>
        </w:rPr>
        <w:t>Target WCAG 2.2 Level AA for web and relevant mobile guidance, including keyboard, switch, screen reader, text reflow, reduced motion and accessible authentication.</w:t>
      </w:r>
    </w:p>
    <w:p>
      <w:pPr>
        <w:pStyle w:val="ListBullet"/>
      </w:pPr>
      <w:r>
        <w:rPr>
          <w:rFonts w:ascii="Arial" w:hAnsi="Arial"/>
          <w:b w:val="0"/>
          <w:i w:val="0"/>
          <w:color w:val="17213A"/>
          <w:sz w:val="20"/>
        </w:rPr>
        <w:t>Test scripture scripts, diacritics, transliteration, dynamic type, audio controls, assessments and error states with target assistive technologies.</w:t>
      </w:r>
    </w:p>
    <w:p>
      <w:pPr>
        <w:pStyle w:val="ListBullet"/>
      </w:pPr>
      <w:r>
        <w:rPr>
          <w:rFonts w:ascii="Arial" w:hAnsi="Arial"/>
          <w:b w:val="0"/>
          <w:i w:val="0"/>
          <w:color w:val="17213A"/>
          <w:sz w:val="20"/>
        </w:rPr>
        <w:t>Do not rely on colour, shape or position alone for edition, status, correctness, approval or risk.</w:t>
      </w:r>
    </w:p>
    <w:tbl>
      <w:tblPr>
        <w:tblStyle w:val="TableGrid"/>
        <w:tblW w:type="dxa" w:w="9360"/>
        <w:tblLayout w:type="fixed"/>
        <w:tblLook w:firstColumn="1" w:firstRow="1" w:lastColumn="0" w:lastRow="0" w:noHBand="0" w:noVBand="1" w:val="04A0"/>
        <w:jc w:val="left"/>
        <w:tblInd w:w="120" w:type="dxa"/>
      </w:tblPr>
      <w:tblGrid>
        <w:gridCol w:w="1700"/>
        <w:gridCol w:w="7660"/>
      </w:tblGrid>
      <w:tr>
        <w:trPr>
          <w:tblHeader/>
        </w:trPr>
        <w:tc>
          <w:tcPr>
            <w:tcW w:type="dxa" w:w="1700"/>
            <w:tcMar>
              <w:top w:w="80" w:type="dxa"/>
              <w:start w:w="120" w:type="dxa"/>
              <w:bottom w:w="80" w:type="dxa"/>
              <w:end w:w="120" w:type="dxa"/>
            </w:tcMar>
            <w:vAlign w:val="center"/>
            <w:shd w:fill="18264F"/>
          </w:tcPr>
          <w:p>
            <w:pPr>
              <w:spacing w:after="0"/>
            </w:pPr>
            <w:r>
              <w:rPr>
                <w:rFonts w:ascii="Arial" w:hAnsi="Arial"/>
                <w:b/>
                <w:i w:val="0"/>
                <w:color w:val="FFFFFF"/>
                <w:sz w:val="15"/>
              </w:rPr>
              <w:t>Experience</w:t>
            </w:r>
          </w:p>
        </w:tc>
        <w:tc>
          <w:tcPr>
            <w:tcW w:type="dxa" w:w="7660"/>
            <w:tcMar>
              <w:top w:w="80" w:type="dxa"/>
              <w:start w:w="120" w:type="dxa"/>
              <w:bottom w:w="80" w:type="dxa"/>
              <w:end w:w="120" w:type="dxa"/>
            </w:tcMar>
            <w:vAlign w:val="center"/>
            <w:shd w:fill="18264F"/>
          </w:tcPr>
          <w:p>
            <w:pPr>
              <w:spacing w:after="0"/>
            </w:pPr>
            <w:r>
              <w:rPr>
                <w:rFonts w:ascii="Arial" w:hAnsi="Arial"/>
                <w:b/>
                <w:i w:val="0"/>
                <w:color w:val="FFFFFF"/>
                <w:sz w:val="15"/>
              </w:rPr>
              <w:t>Manual acceptance evidence</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Structure and navigation</w:t>
            </w:r>
          </w:p>
        </w:tc>
        <w:tc>
          <w:tcPr>
            <w:tcW w:type="dxa" w:w="7660"/>
            <w:tcMar>
              <w:top w:w="80" w:type="dxa"/>
              <w:start w:w="120" w:type="dxa"/>
              <w:bottom w:w="80" w:type="dxa"/>
              <w:end w:w="120" w:type="dxa"/>
            </w:tcMar>
            <w:vAlign w:val="center"/>
          </w:tcPr>
          <w:p>
            <w:pPr>
              <w:spacing w:after="0" w:line="245" w:lineRule="auto"/>
            </w:pPr>
            <w:r>
              <w:rPr>
                <w:rFonts w:ascii="Arial" w:hAnsi="Arial"/>
                <w:b w:val="0"/>
                <w:i w:val="0"/>
                <w:color w:val="17213A"/>
                <w:sz w:val="15"/>
              </w:rPr>
              <w:t>Landmarks/headings are logical; skip mechanism works; page title and focus update on route change; deep links announce resolved context.</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Keyboard and switch</w:t>
            </w:r>
          </w:p>
        </w:tc>
        <w:tc>
          <w:tcPr>
            <w:tcW w:type="dxa" w:w="7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Every action, disclosure, editor and media control is reachable, visibly focused, operable and dismissible without pointer or trap.</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Reflow and text</w:t>
            </w:r>
          </w:p>
        </w:tc>
        <w:tc>
          <w:tcPr>
            <w:tcW w:type="dxa" w:w="7660"/>
            <w:tcMar>
              <w:top w:w="80" w:type="dxa"/>
              <w:start w:w="120" w:type="dxa"/>
              <w:bottom w:w="80" w:type="dxa"/>
              <w:end w:w="120" w:type="dxa"/>
            </w:tcMar>
            <w:vAlign w:val="center"/>
          </w:tcPr>
          <w:p>
            <w:pPr>
              <w:spacing w:after="0" w:line="245" w:lineRule="auto"/>
            </w:pPr>
            <w:r>
              <w:rPr>
                <w:rFonts w:ascii="Arial" w:hAnsi="Arial"/>
                <w:b w:val="0"/>
                <w:i w:val="0"/>
                <w:color w:val="17213A"/>
                <w:sz w:val="15"/>
              </w:rPr>
              <w:t>Core journeys work at 400% browser zoom / 320 CSS px reflow and at supported native dynamic-type sizes without lost content or action.</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Screen reader</w:t>
            </w:r>
          </w:p>
        </w:tc>
        <w:tc>
          <w:tcPr>
            <w:tcW w:type="dxa" w:w="7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Named controls, state, validation, progress, edition/source labels, tables and live status are understandable in tested browser/AT pairs, VoiceOver and TalkBack.</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Media</w:t>
            </w:r>
          </w:p>
        </w:tc>
        <w:tc>
          <w:tcPr>
            <w:tcW w:type="dxa" w:w="7660"/>
            <w:tcMar>
              <w:top w:w="80" w:type="dxa"/>
              <w:start w:w="120" w:type="dxa"/>
              <w:bottom w:w="80" w:type="dxa"/>
              <w:end w:w="120" w:type="dxa"/>
            </w:tcMar>
            <w:vAlign w:val="center"/>
          </w:tcPr>
          <w:p>
            <w:pPr>
              <w:spacing w:after="0" w:line="245" w:lineRule="auto"/>
            </w:pPr>
            <w:r>
              <w:rPr>
                <w:rFonts w:ascii="Arial" w:hAnsi="Arial"/>
                <w:b w:val="0"/>
                <w:i w:val="0"/>
                <w:color w:val="17213A"/>
                <w:sz w:val="15"/>
              </w:rPr>
              <w:t>Captions, transcript, keyboard controls, playback status and audio-description/alternative policy are complete for every required language.</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Scripture</w:t>
            </w:r>
          </w:p>
        </w:tc>
        <w:tc>
          <w:tcPr>
            <w:tcW w:type="dxa" w:w="7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Devanagari/other scripts and diacritics render correctly; reading order keeps source, transliteration, translation and commentary distinct.</w:t>
            </w:r>
          </w:p>
        </w:tc>
      </w:tr>
      <w:tr>
        <w:trPr>
          <w:cantSplit/>
        </w:trPr>
        <w:tc>
          <w:tcPr>
            <w:tcW w:type="dxa" w:w="1700"/>
            <w:tcMar>
              <w:top w:w="80" w:type="dxa"/>
              <w:start w:w="120" w:type="dxa"/>
              <w:bottom w:w="80" w:type="dxa"/>
              <w:end w:w="120" w:type="dxa"/>
            </w:tcMar>
            <w:vAlign w:val="center"/>
          </w:tcPr>
          <w:p>
            <w:pPr>
              <w:spacing w:after="0" w:line="245" w:lineRule="auto"/>
            </w:pPr>
            <w:r>
              <w:rPr>
                <w:rFonts w:ascii="Arial" w:hAnsi="Arial"/>
                <w:b w:val="0"/>
                <w:i w:val="0"/>
                <w:color w:val="17213A"/>
                <w:sz w:val="15"/>
              </w:rPr>
              <w:t>Assessment / auth</w:t>
            </w:r>
          </w:p>
        </w:tc>
        <w:tc>
          <w:tcPr>
            <w:tcW w:type="dxa" w:w="7660"/>
            <w:tcMar>
              <w:top w:w="80" w:type="dxa"/>
              <w:start w:w="120" w:type="dxa"/>
              <w:bottom w:w="80" w:type="dxa"/>
              <w:end w:w="120" w:type="dxa"/>
            </w:tcMar>
            <w:vAlign w:val="center"/>
          </w:tcPr>
          <w:p>
            <w:pPr>
              <w:spacing w:after="0" w:line="245" w:lineRule="auto"/>
            </w:pPr>
            <w:r>
              <w:rPr>
                <w:rFonts w:ascii="Arial" w:hAnsi="Arial"/>
                <w:b w:val="0"/>
                <w:i w:val="0"/>
                <w:color w:val="17213A"/>
                <w:sz w:val="15"/>
              </w:rPr>
              <w:t>Timing, focus, instructions, error prevention, accessible authentication and retry do not disadvantage assistive-technology users.</w:t>
            </w:r>
          </w:p>
        </w:tc>
      </w:tr>
      <w:tr>
        <w:trPr>
          <w:cantSplit/>
        </w:trPr>
        <w:tc>
          <w:tcPr>
            <w:tcW w:type="dxa" w:w="17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Motion / contrast</w:t>
            </w:r>
          </w:p>
        </w:tc>
        <w:tc>
          <w:tcPr>
            <w:tcW w:type="dxa" w:w="76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Reduced motion is respected; focus, text, icons, charts and status meet approved contrast; no information relies on colour alone.</w:t>
            </w:r>
          </w:p>
        </w:tc>
      </w:tr>
    </w:tbl>
    <w:p>
      <w:pPr>
        <w:sectPr>
          <w:pgSz w:w="12240" w:h="15840"/>
          <w:pgMar w:top="1440" w:right="1440" w:bottom="1440" w:left="1440" w:header="708" w:footer="708" w:gutter="0"/>
          <w:cols w:space="720"/>
          <w:docGrid w:linePitch="360"/>
        </w:sectPr>
      </w:pPr>
    </w:p>
    <w:p>
      <w:pPr>
        <w:pStyle w:val="Heading2"/>
      </w:pPr>
      <w:r>
        <w:t>10.1 Localisation contract</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6"/>
              </w:rPr>
              <w:t>Layer</w:t>
            </w:r>
          </w:p>
        </w:tc>
        <w:tc>
          <w:tcPr>
            <w:tcW w:type="dxa" w:w="7560"/>
            <w:tcMar>
              <w:top w:w="80" w:type="dxa"/>
              <w:start w:w="120" w:type="dxa"/>
              <w:bottom w:w="80" w:type="dxa"/>
              <w:end w:w="120" w:type="dxa"/>
            </w:tcMar>
            <w:vAlign w:val="center"/>
            <w:shd w:fill="18264F"/>
          </w:tcPr>
          <w:p>
            <w:pPr>
              <w:spacing w:after="0"/>
            </w:pPr>
            <w:r>
              <w:rPr>
                <w:rFonts w:ascii="Arial" w:hAnsi="Arial"/>
                <w:b/>
                <w:i w:val="0"/>
                <w:color w:val="FFFFFF"/>
                <w:sz w:val="16"/>
              </w:rPr>
              <w:t>Requirement</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Interface</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Externalised strings, pluralisation, grammatical variables, directionality, locale formats, sorting, search normalisation and translated validation.</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Scripture</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Independent script, source text, transliteration, word meaning, translation and commentary layers; edition controls terminology and fallback.</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Typography</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Script-aware font stack with Devanagari coverage and diacritics; line height tested; no text embedded in images.</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Media</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Per-language audio, captions, transcripts, description, thumbnails and rights; fallback is explicit, never silent.</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Programme</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Local schedule, age band, policy, curriculum terms, assessment language and certificate wording.</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Operations</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Per-language release completeness, reviewers, support coverage, fallback and rights status.</w:t>
            </w:r>
          </w:p>
        </w:tc>
      </w:tr>
    </w:tbl>
    <w:p>
      <w:pPr>
        <w:pStyle w:val="Heading2"/>
      </w:pPr>
      <w:r>
        <w:t>Localisation verification</w:t>
      </w:r>
    </w:p>
    <w:p>
      <w:pPr>
        <w:pStyle w:val="ListBullet"/>
      </w:pPr>
      <w:r>
        <w:rPr>
          <w:rFonts w:ascii="Arial" w:hAnsi="Arial"/>
          <w:b w:val="0"/>
          <w:i w:val="0"/>
          <w:color w:val="17213A"/>
          <w:sz w:val="20"/>
        </w:rPr>
        <w:t>Pseudo-localisation covers at least 35% text expansion, long unbreakable tokens, bidirectional readiness, non-Latin digits where applicable and mirrored directional icons.</w:t>
      </w:r>
    </w:p>
    <w:p>
      <w:pPr>
        <w:pStyle w:val="ListBullet"/>
      </w:pPr>
      <w:r>
        <w:rPr>
          <w:rFonts w:ascii="Arial" w:hAnsi="Arial"/>
          <w:b w:val="0"/>
          <w:i w:val="0"/>
          <w:color w:val="17213A"/>
          <w:sz w:val="20"/>
        </w:rPr>
        <w:t>Search supports approved equivalence among Devanagari, transliteration and common spellings without altering canonical source text or losing edition filters.</w:t>
      </w:r>
    </w:p>
    <w:p>
      <w:pPr>
        <w:pStyle w:val="ListBullet"/>
      </w:pPr>
      <w:r>
        <w:rPr>
          <w:rFonts w:ascii="Arial" w:hAnsi="Arial"/>
          <w:b w:val="0"/>
          <w:i w:val="0"/>
          <w:color w:val="17213A"/>
          <w:sz w:val="20"/>
        </w:rPr>
        <w:t>A language can be released only when interface, content, captions/transcripts, validation, policies, support and rights meet the programme completeness gate. Missing layers are disclosed before enrolment.</w:t>
      </w:r>
    </w:p>
    <w:p>
      <w:pPr>
        <w:sectPr>
          <w:pgSz w:w="12240" w:h="15840"/>
          <w:pgMar w:top="1440" w:right="1440" w:bottom="1440" w:left="1440" w:header="708" w:footer="708" w:gutter="0"/>
          <w:cols w:space="720"/>
          <w:docGrid w:linePitch="360"/>
        </w:sectPr>
      </w:pPr>
    </w:p>
    <w:p>
      <w:pPr>
        <w:pStyle w:val="Heading2"/>
      </w:pPr>
      <w:r>
        <w:t>10.2 Responsible analytics</w:t>
      </w:r>
    </w:p>
    <w:p>
      <w:pPr>
        <w:pStyle w:val="ListBullet"/>
      </w:pPr>
      <w:r>
        <w:rPr>
          <w:rFonts w:ascii="Arial" w:hAnsi="Arial"/>
          <w:b w:val="0"/>
          <w:i w:val="0"/>
          <w:color w:val="17213A"/>
          <w:sz w:val="20"/>
        </w:rPr>
        <w:t>Events are purpose-bound and exclude private reflections, free-text notes and sensitive religious inferences.</w:t>
      </w:r>
    </w:p>
    <w:p>
      <w:pPr>
        <w:pStyle w:val="ListBullet"/>
      </w:pPr>
      <w:r>
        <w:rPr>
          <w:rFonts w:ascii="Arial" w:hAnsi="Arial"/>
          <w:b w:val="0"/>
          <w:i w:val="0"/>
          <w:color w:val="17213A"/>
          <w:sz w:val="20"/>
        </w:rPr>
        <w:t>Recommended core events: context_resolved, course_started, activity_completed, outcome_demonstrated, revision_started, assessment_submitted, certificate_issued, offline_sync_completed and content_issue_reported.</w:t>
      </w:r>
    </w:p>
    <w:p>
      <w:pPr>
        <w:pStyle w:val="ListBullet"/>
      </w:pPr>
      <w:r>
        <w:rPr>
          <w:rFonts w:ascii="Arial" w:hAnsi="Arial"/>
          <w:b w:val="0"/>
          <w:i w:val="0"/>
          <w:color w:val="17213A"/>
          <w:sz w:val="20"/>
        </w:rPr>
        <w:t>Every event carries tenant, programme, edition, language, resource version and consent classification as permitted.</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6"/>
              </w:rPr>
              <w:t>Rule</w:t>
            </w:r>
          </w:p>
        </w:tc>
        <w:tc>
          <w:tcPr>
            <w:tcW w:type="dxa" w:w="7560"/>
            <w:tcMar>
              <w:top w:w="80" w:type="dxa"/>
              <w:start w:w="120" w:type="dxa"/>
              <w:bottom w:w="80" w:type="dxa"/>
              <w:end w:w="120" w:type="dxa"/>
            </w:tcMar>
            <w:vAlign w:val="center"/>
            <w:shd w:fill="18264F"/>
          </w:tcPr>
          <w:p>
            <w:pPr>
              <w:spacing w:after="0"/>
            </w:pPr>
            <w:r>
              <w:rPr>
                <w:rFonts w:ascii="Arial" w:hAnsi="Arial"/>
                <w:b/>
                <w:i w:val="0"/>
                <w:color w:val="FFFFFF"/>
                <w:sz w:val="16"/>
              </w:rPr>
              <w:t>Acceptance evidence</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Minimisation</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Reviewed schema shows no scripture search terms, reflection text, note text, assessment free text or inferred belief in general analytics.</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Consent and purpose</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Event registry records purpose, lawful basis/consent class, owner, retention, destinations and deletion behaviour.</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Tenant control</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Tenant analytics, exports and configured destinations are scoped; suppression and residency rules are testable.</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Quality</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Event IDs, versions and validation prevent silent schema drift; derived metrics link to documented definitions.</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Learner dignity</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No public ranking, manipulative streak pressure or spiritual-value score; teachers receive actionable learning evidence only.</w:t>
            </w:r>
          </w:p>
        </w:tc>
      </w:tr>
    </w:tbl>
    <w:p>
      <w:pPr>
        <w:sectPr>
          <w:pgSz w:w="12240" w:h="15840"/>
          <w:pgMar w:top="1440" w:right="1440" w:bottom="1440" w:left="1440" w:header="708" w:footer="708" w:gutter="0"/>
          <w:cols w:space="720"/>
          <w:docGrid w:linePitch="360"/>
        </w:sectPr>
      </w:pPr>
    </w:p>
    <w:p>
      <w:pPr>
        <w:pStyle w:val="Heading1"/>
      </w:pPr>
      <w:r>
        <w:t>11. Vendor delivery, evidence and acceptance criteria</w:t>
      </w:r>
    </w:p>
    <w:p>
      <w:pPr>
        <w:pStyle w:val="Heading2"/>
      </w:pPr>
      <w:r>
        <w:t>Required delivery package</w:t>
      </w:r>
    </w:p>
    <w:tbl>
      <w:tblPr>
        <w:tblStyle w:val="TableGrid"/>
        <w:tblW w:type="dxa" w:w="9360"/>
        <w:tblLayout w:type="fixed"/>
        <w:tblLook w:firstColumn="1" w:firstRow="1" w:lastColumn="0" w:lastRow="0" w:noHBand="0" w:noVBand="1" w:val="04A0"/>
        <w:jc w:val="left"/>
        <w:tblInd w:w="120" w:type="dxa"/>
      </w:tblPr>
      <w:tblGrid>
        <w:gridCol w:w="1800"/>
        <w:gridCol w:w="3850"/>
        <w:gridCol w:w="371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5"/>
              </w:rPr>
              <w:t>Deliverable</w:t>
            </w:r>
          </w:p>
        </w:tc>
        <w:tc>
          <w:tcPr>
            <w:tcW w:type="dxa" w:w="3850"/>
            <w:tcMar>
              <w:top w:w="80" w:type="dxa"/>
              <w:start w:w="120" w:type="dxa"/>
              <w:bottom w:w="80" w:type="dxa"/>
              <w:end w:w="120" w:type="dxa"/>
            </w:tcMar>
            <w:vAlign w:val="center"/>
            <w:shd w:fill="18264F"/>
          </w:tcPr>
          <w:p>
            <w:pPr>
              <w:spacing w:after="0"/>
            </w:pPr>
            <w:r>
              <w:rPr>
                <w:rFonts w:ascii="Arial" w:hAnsi="Arial"/>
                <w:b/>
                <w:i w:val="0"/>
                <w:color w:val="FFFFFF"/>
                <w:sz w:val="15"/>
              </w:rPr>
              <w:t>Minimum contents</w:t>
            </w:r>
          </w:p>
        </w:tc>
        <w:tc>
          <w:tcPr>
            <w:tcW w:type="dxa" w:w="3710"/>
            <w:tcMar>
              <w:top w:w="80" w:type="dxa"/>
              <w:start w:w="120" w:type="dxa"/>
              <w:bottom w:w="80" w:type="dxa"/>
              <w:end w:w="120" w:type="dxa"/>
            </w:tcMar>
            <w:vAlign w:val="center"/>
            <w:shd w:fill="18264F"/>
          </w:tcPr>
          <w:p>
            <w:pPr>
              <w:spacing w:after="0"/>
            </w:pPr>
            <w:r>
              <w:rPr>
                <w:rFonts w:ascii="Arial" w:hAnsi="Arial"/>
                <w:b/>
                <w:i w:val="0"/>
                <w:color w:val="FFFFFF"/>
                <w:sz w:val="15"/>
              </w:rPr>
              <w:t>Acceptance evidence</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Information architecture</w:t>
            </w:r>
          </w:p>
        </w:tc>
        <w:tc>
          <w:tcPr>
            <w:tcW w:type="dxa" w:w="3850"/>
            <w:tcMar>
              <w:top w:w="80" w:type="dxa"/>
              <w:start w:w="120" w:type="dxa"/>
              <w:bottom w:w="80" w:type="dxa"/>
              <w:end w:w="120" w:type="dxa"/>
            </w:tcMar>
            <w:vAlign w:val="center"/>
          </w:tcPr>
          <w:p>
            <w:pPr>
              <w:spacing w:after="0" w:line="245" w:lineRule="auto"/>
            </w:pPr>
            <w:r>
              <w:rPr>
                <w:rFonts w:ascii="Arial" w:hAnsi="Arial"/>
                <w:b w:val="0"/>
                <w:i w:val="0"/>
                <w:color w:val="17213A"/>
                <w:sz w:val="15"/>
              </w:rPr>
              <w:t>Route/deep-link registry for all 75 IDs; six workspaces; context and navigation rules.</w:t>
            </w:r>
          </w:p>
        </w:tc>
        <w:tc>
          <w:tcPr>
            <w:tcW w:type="dxa" w:w="3710"/>
            <w:tcMar>
              <w:top w:w="80" w:type="dxa"/>
              <w:start w:w="120" w:type="dxa"/>
              <w:bottom w:w="80" w:type="dxa"/>
              <w:end w:w="120" w:type="dxa"/>
            </w:tcMar>
            <w:vAlign w:val="center"/>
          </w:tcPr>
          <w:p>
            <w:pPr>
              <w:spacing w:after="0" w:line="245" w:lineRule="auto"/>
            </w:pPr>
            <w:r>
              <w:rPr>
                <w:rFonts w:ascii="Arial" w:hAnsi="Arial"/>
                <w:b w:val="0"/>
                <w:i w:val="0"/>
                <w:color w:val="17213A"/>
                <w:sz w:val="15"/>
              </w:rPr>
              <w:t>Traceability matrix has no orphan screen, route, role or state.</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Experience design</w:t>
            </w:r>
          </w:p>
        </w:tc>
        <w:tc>
          <w:tcPr>
            <w:tcW w:type="dxa" w:w="38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Clickable critical journeys for web, iOS and Android; high-risk, empty, error, offline and recovery states.</w:t>
            </w:r>
          </w:p>
        </w:tc>
        <w:tc>
          <w:tcPr>
            <w:tcW w:type="dxa" w:w="37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Research report, issue log and Living Bliss approval of resolved findings.</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Design system</w:t>
            </w:r>
          </w:p>
        </w:tc>
        <w:tc>
          <w:tcPr>
            <w:tcW w:type="dxa" w:w="3850"/>
            <w:tcMar>
              <w:top w:w="80" w:type="dxa"/>
              <w:start w:w="120" w:type="dxa"/>
              <w:bottom w:w="80" w:type="dxa"/>
              <w:end w:w="120" w:type="dxa"/>
            </w:tcMar>
            <w:vAlign w:val="center"/>
          </w:tcPr>
          <w:p>
            <w:pPr>
              <w:spacing w:after="0" w:line="245" w:lineRule="auto"/>
            </w:pPr>
            <w:r>
              <w:rPr>
                <w:rFonts w:ascii="Arial" w:hAnsi="Arial"/>
                <w:b w:val="0"/>
                <w:i w:val="0"/>
                <w:color w:val="17213A"/>
                <w:sz w:val="15"/>
              </w:rPr>
              <w:t>Living Bliss tokens, tenant-safe theming, components, content patterns, accessibility semantics and versioning.</w:t>
            </w:r>
          </w:p>
        </w:tc>
        <w:tc>
          <w:tcPr>
            <w:tcW w:type="dxa" w:w="3710"/>
            <w:tcMar>
              <w:top w:w="80" w:type="dxa"/>
              <w:start w:w="120" w:type="dxa"/>
              <w:bottom w:w="80" w:type="dxa"/>
              <w:end w:w="120" w:type="dxa"/>
            </w:tcMar>
            <w:vAlign w:val="center"/>
          </w:tcPr>
          <w:p>
            <w:pPr>
              <w:spacing w:after="0" w:line="245" w:lineRule="auto"/>
            </w:pPr>
            <w:r>
              <w:rPr>
                <w:rFonts w:ascii="Arial" w:hAnsi="Arial"/>
                <w:b w:val="0"/>
                <w:i w:val="0"/>
                <w:color w:val="17213A"/>
                <w:sz w:val="15"/>
              </w:rPr>
              <w:t>Coded catalogue/Storybook equivalent with visual and interaction tests.</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Screen specifications</w:t>
            </w:r>
          </w:p>
        </w:tc>
        <w:tc>
          <w:tcPr>
            <w:tcW w:type="dxa" w:w="38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Data, content, actions, validation, permissions, events, state transitions and responsive annotations.</w:t>
            </w:r>
          </w:p>
        </w:tc>
        <w:tc>
          <w:tcPr>
            <w:tcW w:type="dxa" w:w="37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Each screen ID has backlog and acceptance links.</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Architecture and APIs</w:t>
            </w:r>
          </w:p>
        </w:tc>
        <w:tc>
          <w:tcPr>
            <w:tcW w:type="dxa" w:w="3850"/>
            <w:tcMar>
              <w:top w:w="80" w:type="dxa"/>
              <w:start w:w="120" w:type="dxa"/>
              <w:bottom w:w="80" w:type="dxa"/>
              <w:end w:w="120" w:type="dxa"/>
            </w:tcMar>
            <w:vAlign w:val="center"/>
          </w:tcPr>
          <w:p>
            <w:pPr>
              <w:spacing w:after="0" w:line="245" w:lineRule="auto"/>
            </w:pPr>
            <w:r>
              <w:rPr>
                <w:rFonts w:ascii="Arial" w:hAnsi="Arial"/>
                <w:b w:val="0"/>
                <w:i w:val="0"/>
                <w:color w:val="17213A"/>
                <w:sz w:val="15"/>
              </w:rPr>
              <w:t>Context/edition model, service boundaries, OpenAPI or equivalent schemas, error/sync contracts and ADRs.</w:t>
            </w:r>
          </w:p>
        </w:tc>
        <w:tc>
          <w:tcPr>
            <w:tcW w:type="dxa" w:w="3710"/>
            <w:tcMar>
              <w:top w:w="80" w:type="dxa"/>
              <w:start w:w="120" w:type="dxa"/>
              <w:bottom w:w="80" w:type="dxa"/>
              <w:end w:w="120" w:type="dxa"/>
            </w:tcMar>
            <w:vAlign w:val="center"/>
          </w:tcPr>
          <w:p>
            <w:pPr>
              <w:spacing w:after="0" w:line="245" w:lineRule="auto"/>
            </w:pPr>
            <w:r>
              <w:rPr>
                <w:rFonts w:ascii="Arial" w:hAnsi="Arial"/>
                <w:b w:val="0"/>
                <w:i w:val="0"/>
                <w:color w:val="17213A"/>
                <w:sz w:val="15"/>
              </w:rPr>
              <w:t>Contract tests and threat-model review; breaking-change policy agreed.</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Content and edition model</w:t>
            </w:r>
          </w:p>
        </w:tc>
        <w:tc>
          <w:tcPr>
            <w:tcW w:type="dxa" w:w="38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Structured scripture layers, workflow, rights ledger, releases, equivalence and retraction.</w:t>
            </w:r>
          </w:p>
        </w:tc>
        <w:tc>
          <w:tcPr>
            <w:tcW w:type="dxa" w:w="37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Representative edition imported, reviewed, published, switched and retracted end to end.</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5"/>
              </w:rPr>
              <w:t>Quality and security</w:t>
            </w:r>
          </w:p>
        </w:tc>
        <w:tc>
          <w:tcPr>
            <w:tcW w:type="dxa" w:w="3850"/>
            <w:tcMar>
              <w:top w:w="80" w:type="dxa"/>
              <w:start w:w="120" w:type="dxa"/>
              <w:bottom w:w="80" w:type="dxa"/>
              <w:end w:w="120" w:type="dxa"/>
            </w:tcMar>
            <w:vAlign w:val="center"/>
          </w:tcPr>
          <w:p>
            <w:pPr>
              <w:spacing w:after="0" w:line="245" w:lineRule="auto"/>
            </w:pPr>
            <w:r>
              <w:rPr>
                <w:rFonts w:ascii="Arial" w:hAnsi="Arial"/>
                <w:b w:val="0"/>
                <w:i w:val="0"/>
                <w:color w:val="17213A"/>
                <w:sz w:val="15"/>
              </w:rPr>
              <w:t>Test strategy, automation, accessibility, performance, device/browser matrix, security/privacy/safeguarding.</w:t>
            </w:r>
          </w:p>
        </w:tc>
        <w:tc>
          <w:tcPr>
            <w:tcW w:type="dxa" w:w="3710"/>
            <w:tcMar>
              <w:top w:w="80" w:type="dxa"/>
              <w:start w:w="120" w:type="dxa"/>
              <w:bottom w:w="80" w:type="dxa"/>
              <w:end w:w="120" w:type="dxa"/>
            </w:tcMar>
            <w:vAlign w:val="center"/>
          </w:tcPr>
          <w:p>
            <w:pPr>
              <w:spacing w:after="0" w:line="245" w:lineRule="auto"/>
            </w:pPr>
            <w:r>
              <w:rPr>
                <w:rFonts w:ascii="Arial" w:hAnsi="Arial"/>
                <w:b w:val="0"/>
                <w:i w:val="0"/>
                <w:color w:val="17213A"/>
                <w:sz w:val="15"/>
              </w:rPr>
              <w:t>Dashboards and release evidence show agreed gates passed.</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Operations and handover</w:t>
            </w:r>
          </w:p>
        </w:tc>
        <w:tc>
          <w:tcPr>
            <w:tcW w:type="dxa" w:w="38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Environments, IaC, CI/CD, monitoring, runbooks, backup/recovery, support, training and source access.</w:t>
            </w:r>
          </w:p>
        </w:tc>
        <w:tc>
          <w:tcPr>
            <w:tcW w:type="dxa" w:w="37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Recovery/rollback rehearsal, support drill and Living Bliss handover sign-off.</w:t>
            </w:r>
          </w:p>
        </w:tc>
      </w:tr>
    </w:tbl>
    <w:p>
      <w:pPr>
        <w:sectPr>
          <w:pgSz w:w="12240" w:h="15840"/>
          <w:pgMar w:top="1440" w:right="1440" w:bottom="1440" w:left="1440" w:header="708" w:footer="708" w:gutter="0"/>
          <w:cols w:space="720"/>
          <w:docGrid w:linePitch="360"/>
        </w:sectPr>
      </w:pPr>
    </w:p>
    <w:p>
      <w:pPr>
        <w:pStyle w:val="Heading2"/>
      </w:pPr>
      <w:r>
        <w:t>11.1 Stage gates</w:t>
      </w:r>
    </w:p>
    <w:tbl>
      <w:tblPr>
        <w:tblStyle w:val="TableGrid"/>
        <w:tblW w:type="dxa" w:w="9360"/>
        <w:tblLayout w:type="fixed"/>
        <w:tblLook w:firstColumn="1" w:firstRow="1" w:lastColumn="0" w:lastRow="0" w:noHBand="0" w:noVBand="1" w:val="04A0"/>
        <w:jc w:val="left"/>
        <w:tblInd w:w="120" w:type="dxa"/>
      </w:tblPr>
      <w:tblGrid>
        <w:gridCol w:w="1600"/>
        <w:gridCol w:w="5030"/>
        <w:gridCol w:w="2730"/>
      </w:tblGrid>
      <w:tr>
        <w:trPr>
          <w:tblHeader/>
        </w:trPr>
        <w:tc>
          <w:tcPr>
            <w:tcW w:type="dxa" w:w="1600"/>
            <w:tcMar>
              <w:top w:w="80" w:type="dxa"/>
              <w:start w:w="120" w:type="dxa"/>
              <w:bottom w:w="80" w:type="dxa"/>
              <w:end w:w="120" w:type="dxa"/>
            </w:tcMar>
            <w:vAlign w:val="center"/>
            <w:shd w:fill="18264F"/>
          </w:tcPr>
          <w:p>
            <w:pPr>
              <w:spacing w:after="0"/>
            </w:pPr>
            <w:r>
              <w:rPr>
                <w:rFonts w:ascii="Arial" w:hAnsi="Arial"/>
                <w:b/>
                <w:i w:val="0"/>
                <w:color w:val="FFFFFF"/>
                <w:sz w:val="15"/>
              </w:rPr>
              <w:t>Gate</w:t>
            </w:r>
          </w:p>
        </w:tc>
        <w:tc>
          <w:tcPr>
            <w:tcW w:type="dxa" w:w="5030"/>
            <w:tcMar>
              <w:top w:w="80" w:type="dxa"/>
              <w:start w:w="120" w:type="dxa"/>
              <w:bottom w:w="80" w:type="dxa"/>
              <w:end w:w="120" w:type="dxa"/>
            </w:tcMar>
            <w:vAlign w:val="center"/>
            <w:shd w:fill="18264F"/>
          </w:tcPr>
          <w:p>
            <w:pPr>
              <w:spacing w:after="0"/>
            </w:pPr>
            <w:r>
              <w:rPr>
                <w:rFonts w:ascii="Arial" w:hAnsi="Arial"/>
                <w:b/>
                <w:i w:val="0"/>
                <w:color w:val="FFFFFF"/>
                <w:sz w:val="15"/>
              </w:rPr>
              <w:t>Exit criteria</w:t>
            </w:r>
          </w:p>
        </w:tc>
        <w:tc>
          <w:tcPr>
            <w:tcW w:type="dxa" w:w="2730"/>
            <w:tcMar>
              <w:top w:w="80" w:type="dxa"/>
              <w:start w:w="120" w:type="dxa"/>
              <w:bottom w:w="80" w:type="dxa"/>
              <w:end w:w="120" w:type="dxa"/>
            </w:tcMar>
            <w:vAlign w:val="center"/>
            <w:shd w:fill="18264F"/>
          </w:tcPr>
          <w:p>
            <w:pPr>
              <w:spacing w:after="0"/>
            </w:pPr>
            <w:r>
              <w:rPr>
                <w:rFonts w:ascii="Arial" w:hAnsi="Arial"/>
                <w:b/>
                <w:i w:val="0"/>
                <w:color w:val="FFFFFF"/>
                <w:sz w:val="15"/>
              </w:rPr>
              <w:t>Approval</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Discovery baseline</w:t>
            </w:r>
          </w:p>
        </w:tc>
        <w:tc>
          <w:tcPr>
            <w:tcW w:type="dxa" w:w="5030"/>
            <w:tcMar>
              <w:top w:w="80" w:type="dxa"/>
              <w:start w:w="120" w:type="dxa"/>
              <w:bottom w:w="80" w:type="dxa"/>
              <w:end w:w="120" w:type="dxa"/>
            </w:tcMar>
            <w:vAlign w:val="center"/>
          </w:tcPr>
          <w:p>
            <w:pPr>
              <w:spacing w:after="0" w:line="245" w:lineRule="auto"/>
            </w:pPr>
            <w:r>
              <w:rPr>
                <w:rFonts w:ascii="Arial" w:hAnsi="Arial"/>
                <w:b w:val="0"/>
                <w:i w:val="0"/>
                <w:color w:val="17213A"/>
                <w:sz w:val="15"/>
              </w:rPr>
              <w:t>Assumptions/decisions logged; user/tenant research complete; 75-screen traceability, MVP boundary, risks, estimates and delivery plan agreed.</w:t>
            </w:r>
          </w:p>
        </w:tc>
        <w:tc>
          <w:tcPr>
            <w:tcW w:type="dxa" w:w="2730"/>
            <w:tcMar>
              <w:top w:w="80" w:type="dxa"/>
              <w:start w:w="120" w:type="dxa"/>
              <w:bottom w:w="80" w:type="dxa"/>
              <w:end w:w="120" w:type="dxa"/>
            </w:tcMar>
            <w:vAlign w:val="center"/>
          </w:tcPr>
          <w:p>
            <w:pPr>
              <w:spacing w:after="0" w:line="245" w:lineRule="auto"/>
            </w:pPr>
            <w:r>
              <w:rPr>
                <w:rFonts w:ascii="Arial" w:hAnsi="Arial"/>
                <w:b w:val="0"/>
                <w:i w:val="0"/>
                <w:color w:val="17213A"/>
                <w:sz w:val="15"/>
              </w:rPr>
              <w:t>Living Bliss product owner; architecture/security leads.</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Experience and architecture</w:t>
            </w:r>
          </w:p>
        </w:tc>
        <w:tc>
          <w:tcPr>
            <w:tcW w:type="dxa" w:w="503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Critical prototypes validated; design-system direction, domain model, API/sync/error contracts and threat model approved.</w:t>
            </w:r>
          </w:p>
        </w:tc>
        <w:tc>
          <w:tcPr>
            <w:tcW w:type="dxa" w:w="273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Product, design, scholarly/content and technical authorities.</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Alpha</w:t>
            </w:r>
          </w:p>
        </w:tc>
        <w:tc>
          <w:tcPr>
            <w:tcW w:type="dxa" w:w="5030"/>
            <w:tcMar>
              <w:top w:w="80" w:type="dxa"/>
              <w:start w:w="120" w:type="dxa"/>
              <w:bottom w:w="80" w:type="dxa"/>
              <w:end w:w="120" w:type="dxa"/>
            </w:tcMar>
            <w:vAlign w:val="center"/>
          </w:tcPr>
          <w:p>
            <w:pPr>
              <w:spacing w:after="0" w:line="245" w:lineRule="auto"/>
            </w:pPr>
            <w:r>
              <w:rPr>
                <w:rFonts w:ascii="Arial" w:hAnsi="Arial"/>
                <w:b w:val="0"/>
                <w:i w:val="0"/>
                <w:color w:val="17213A"/>
                <w:sz w:val="15"/>
              </w:rPr>
              <w:t>Vertical slices prove context isolation, one edition, foundations + chapter loop, assessment, offline sync and admin/content release.</w:t>
            </w:r>
          </w:p>
        </w:tc>
        <w:tc>
          <w:tcPr>
            <w:tcW w:type="dxa" w:w="2730"/>
            <w:tcMar>
              <w:top w:w="80" w:type="dxa"/>
              <w:start w:w="120" w:type="dxa"/>
              <w:bottom w:w="80" w:type="dxa"/>
              <w:end w:w="120" w:type="dxa"/>
            </w:tcMar>
            <w:vAlign w:val="center"/>
          </w:tcPr>
          <w:p>
            <w:pPr>
              <w:spacing w:after="0" w:line="245" w:lineRule="auto"/>
            </w:pPr>
            <w:r>
              <w:rPr>
                <w:rFonts w:ascii="Arial" w:hAnsi="Arial"/>
                <w:b w:val="0"/>
                <w:i w:val="0"/>
                <w:color w:val="17213A"/>
                <w:sz w:val="15"/>
              </w:rPr>
              <w:t>Product owner and quality/security leads.</w:t>
            </w:r>
          </w:p>
        </w:tc>
      </w:tr>
      <w:tr>
        <w:trPr>
          <w:cantSplit/>
        </w:trPr>
        <w:tc>
          <w:tcPr>
            <w:tcW w:type="dxa" w:w="16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Pilot / beta</w:t>
            </w:r>
          </w:p>
        </w:tc>
        <w:tc>
          <w:tcPr>
            <w:tcW w:type="dxa" w:w="503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Representative tenant themes, languages, roles, integrations and devices pass; migration, support and analytics operate.</w:t>
            </w:r>
          </w:p>
        </w:tc>
        <w:tc>
          <w:tcPr>
            <w:tcW w:type="dxa" w:w="273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Pilot tenants and Living Bliss acceptance group.</w:t>
            </w:r>
          </w:p>
        </w:tc>
      </w:tr>
      <w:tr>
        <w:trPr>
          <w:cantSplit/>
        </w:trPr>
        <w:tc>
          <w:tcPr>
            <w:tcW w:type="dxa" w:w="1600"/>
            <w:tcMar>
              <w:top w:w="80" w:type="dxa"/>
              <w:start w:w="120" w:type="dxa"/>
              <w:bottom w:w="80" w:type="dxa"/>
              <w:end w:w="120" w:type="dxa"/>
            </w:tcMar>
            <w:vAlign w:val="center"/>
          </w:tcPr>
          <w:p>
            <w:pPr>
              <w:spacing w:after="0" w:line="245" w:lineRule="auto"/>
            </w:pPr>
            <w:r>
              <w:rPr>
                <w:rFonts w:ascii="Arial" w:hAnsi="Arial"/>
                <w:b w:val="0"/>
                <w:i w:val="0"/>
                <w:color w:val="17213A"/>
                <w:sz w:val="15"/>
              </w:rPr>
              <w:t>Production readiness</w:t>
            </w:r>
          </w:p>
        </w:tc>
        <w:tc>
          <w:tcPr>
            <w:tcW w:type="dxa" w:w="5030"/>
            <w:tcMar>
              <w:top w:w="80" w:type="dxa"/>
              <w:start w:w="120" w:type="dxa"/>
              <w:bottom w:w="80" w:type="dxa"/>
              <w:end w:w="120" w:type="dxa"/>
            </w:tcMar>
            <w:vAlign w:val="center"/>
          </w:tcPr>
          <w:p>
            <w:pPr>
              <w:spacing w:after="0" w:line="245" w:lineRule="auto"/>
            </w:pPr>
            <w:r>
              <w:rPr>
                <w:rFonts w:ascii="Arial" w:hAnsi="Arial"/>
                <w:b w:val="0"/>
                <w:i w:val="0"/>
                <w:color w:val="17213A"/>
                <w:sz w:val="15"/>
              </w:rPr>
              <w:t>All definition-of-done evidence, rollback/recovery, accessibility, penetration remediation, support and ownership complete.</w:t>
            </w:r>
          </w:p>
        </w:tc>
        <w:tc>
          <w:tcPr>
            <w:tcW w:type="dxa" w:w="2730"/>
            <w:tcMar>
              <w:top w:w="80" w:type="dxa"/>
              <w:start w:w="120" w:type="dxa"/>
              <w:bottom w:w="80" w:type="dxa"/>
              <w:end w:w="120" w:type="dxa"/>
            </w:tcMar>
            <w:vAlign w:val="center"/>
          </w:tcPr>
          <w:p>
            <w:pPr>
              <w:spacing w:after="0" w:line="245" w:lineRule="auto"/>
            </w:pPr>
            <w:r>
              <w:rPr>
                <w:rFonts w:ascii="Arial" w:hAnsi="Arial"/>
                <w:b w:val="0"/>
                <w:i w:val="0"/>
                <w:color w:val="17213A"/>
                <w:sz w:val="15"/>
              </w:rPr>
              <w:t>Named release authority.</w:t>
            </w:r>
          </w:p>
        </w:tc>
      </w:tr>
    </w:tbl>
    <w:p>
      <w:pPr>
        <w:pStyle w:val="Heading2"/>
      </w:pPr>
      <w:r>
        <w:t>Change control</w:t>
      </w:r>
    </w:p>
    <w:p>
      <w:pPr>
        <w:pStyle w:val="ListBullet"/>
      </w:pPr>
      <w:r>
        <w:rPr>
          <w:rFonts w:ascii="Arial" w:hAnsi="Arial"/>
          <w:b w:val="0"/>
          <w:i w:val="0"/>
          <w:color w:val="17213A"/>
          <w:sz w:val="20"/>
        </w:rPr>
        <w:t>A proposed screen merge, role change, edition rule, offline limitation or acceptance waiver includes impact on screen IDs, journeys, APIs, content, privacy, accessibility, cost, schedule and tests.</w:t>
      </w:r>
    </w:p>
    <w:p>
      <w:pPr>
        <w:pStyle w:val="ListBullet"/>
      </w:pPr>
      <w:r>
        <w:rPr>
          <w:rFonts w:ascii="Arial" w:hAnsi="Arial"/>
          <w:b w:val="0"/>
          <w:i w:val="0"/>
          <w:color w:val="17213A"/>
          <w:sz w:val="20"/>
        </w:rPr>
        <w:t>No assumption becomes product behaviour solely because it appears in an estimate. The decision log records owner, due date, options, recommendation and approval.</w:t>
      </w:r>
    </w:p>
    <w:p>
      <w:pPr>
        <w:pStyle w:val="ListBullet"/>
      </w:pPr>
      <w:r>
        <w:rPr>
          <w:rFonts w:ascii="Arial" w:hAnsi="Arial"/>
          <w:b w:val="0"/>
          <w:i w:val="0"/>
          <w:color w:val="17213A"/>
          <w:sz w:val="20"/>
        </w:rPr>
        <w:t>Acceptance is evidence-based. Demonstration alone does not replace repeatable tests, artefacts, source access or operational proof.</w:t>
      </w:r>
    </w:p>
    <w:p>
      <w:pPr>
        <w:sectPr>
          <w:pgSz w:w="12240" w:h="15840"/>
          <w:pgMar w:top="1440" w:right="1440" w:bottom="1440" w:left="1440" w:header="708" w:footer="708" w:gutter="0"/>
          <w:cols w:space="720"/>
          <w:docGrid w:linePitch="360"/>
        </w:sectPr>
      </w:pPr>
    </w:p>
    <w:p>
      <w:pPr>
        <w:pStyle w:val="Heading2"/>
      </w:pPr>
      <w:r>
        <w:t>11.2 Release definition of done</w:t>
      </w:r>
    </w:p>
    <w:tbl>
      <w:tblPr>
        <w:tblStyle w:val="TableGrid"/>
        <w:tblW w:type="dxa" w:w="9360"/>
        <w:tblLayout w:type="fixed"/>
        <w:tblLook w:firstColumn="1" w:firstRow="1" w:lastColumn="0" w:lastRow="0" w:noHBand="0" w:noVBand="1" w:val="04A0"/>
        <w:jc w:val="left"/>
        <w:tblInd w:w="120" w:type="dxa"/>
      </w:tblPr>
      <w:tblGrid>
        <w:gridCol w:w="1750"/>
        <w:gridCol w:w="7610"/>
      </w:tblGrid>
      <w:tr>
        <w:trPr>
          <w:tblHeader/>
        </w:trPr>
        <w:tc>
          <w:tcPr>
            <w:tcW w:type="dxa" w:w="1750"/>
            <w:tcMar>
              <w:top w:w="80" w:type="dxa"/>
              <w:start w:w="120" w:type="dxa"/>
              <w:bottom w:w="80" w:type="dxa"/>
              <w:end w:w="120" w:type="dxa"/>
            </w:tcMar>
            <w:vAlign w:val="center"/>
            <w:shd w:fill="18264F"/>
          </w:tcPr>
          <w:p>
            <w:pPr>
              <w:spacing w:after="0"/>
            </w:pPr>
            <w:r>
              <w:rPr>
                <w:rFonts w:ascii="Arial" w:hAnsi="Arial"/>
                <w:b/>
                <w:i w:val="0"/>
                <w:color w:val="FFFFFF"/>
                <w:sz w:val="15"/>
              </w:rPr>
              <w:t>Gate</w:t>
            </w:r>
          </w:p>
        </w:tc>
        <w:tc>
          <w:tcPr>
            <w:tcW w:type="dxa" w:w="7610"/>
            <w:tcMar>
              <w:top w:w="80" w:type="dxa"/>
              <w:start w:w="120" w:type="dxa"/>
              <w:bottom w:w="80" w:type="dxa"/>
              <w:end w:w="120" w:type="dxa"/>
            </w:tcMar>
            <w:vAlign w:val="center"/>
            <w:shd w:fill="18264F"/>
          </w:tcPr>
          <w:p>
            <w:pPr>
              <w:spacing w:after="0"/>
            </w:pPr>
            <w:r>
              <w:rPr>
                <w:rFonts w:ascii="Arial" w:hAnsi="Arial"/>
                <w:b/>
                <w:i w:val="0"/>
                <w:color w:val="FFFFFF"/>
                <w:sz w:val="15"/>
              </w:rPr>
              <w:t>Evidence required</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5"/>
              </w:rPr>
              <w:t>Functional</w:t>
            </w:r>
          </w:p>
        </w:tc>
        <w:tc>
          <w:tcPr>
            <w:tcW w:type="dxa" w:w="7610"/>
            <w:tcMar>
              <w:top w:w="80" w:type="dxa"/>
              <w:start w:w="120" w:type="dxa"/>
              <w:bottom w:w="80" w:type="dxa"/>
              <w:end w:w="120" w:type="dxa"/>
            </w:tcMar>
            <w:vAlign w:val="center"/>
          </w:tcPr>
          <w:p>
            <w:pPr>
              <w:spacing w:after="0" w:line="245" w:lineRule="auto"/>
            </w:pPr>
            <w:r>
              <w:rPr>
                <w:rFonts w:ascii="Arial" w:hAnsi="Arial"/>
                <w:b w:val="0"/>
                <w:i w:val="0"/>
                <w:color w:val="17213A"/>
                <w:sz w:val="15"/>
              </w:rPr>
              <w:t>Permitted actions, validation, persistence, status, navigation and recovery pass against screen-level acceptance criteria.</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Responsive</w:t>
            </w:r>
          </w:p>
        </w:tc>
        <w:tc>
          <w:tcPr>
            <w:tcW w:type="dxa" w:w="76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Approved widths, orientations, browser/device matrix, dynamic type and virtual keyboard pass automated and manual regression.</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5"/>
              </w:rPr>
              <w:t>Accessibility</w:t>
            </w:r>
          </w:p>
        </w:tc>
        <w:tc>
          <w:tcPr>
            <w:tcW w:type="dxa" w:w="7610"/>
            <w:tcMar>
              <w:top w:w="80" w:type="dxa"/>
              <w:start w:w="120" w:type="dxa"/>
              <w:bottom w:w="80" w:type="dxa"/>
              <w:end w:w="120" w:type="dxa"/>
            </w:tcMar>
            <w:vAlign w:val="center"/>
          </w:tcPr>
          <w:p>
            <w:pPr>
              <w:spacing w:after="0" w:line="245" w:lineRule="auto"/>
            </w:pPr>
            <w:r>
              <w:rPr>
                <w:rFonts w:ascii="Arial" w:hAnsi="Arial"/>
                <w:b w:val="0"/>
                <w:i w:val="0"/>
                <w:color w:val="17213A"/>
                <w:sz w:val="15"/>
              </w:rPr>
              <w:t>Automated checks plus manual keyboard, screen-reader, reflow, contrast, media and cognitive review pass; critical journeys tested by representative disabled participants.</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Tenant integrity</w:t>
            </w:r>
          </w:p>
        </w:tc>
        <w:tc>
          <w:tcPr>
            <w:tcW w:type="dxa" w:w="76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Automated cross-tenant negative tests pass across UI, API, storage, search, cache, jobs, exports and analytics.</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5"/>
              </w:rPr>
              <w:t>Content integrity</w:t>
            </w:r>
          </w:p>
        </w:tc>
        <w:tc>
          <w:tcPr>
            <w:tcW w:type="dxa" w:w="7610"/>
            <w:tcMar>
              <w:top w:w="80" w:type="dxa"/>
              <w:start w:w="120" w:type="dxa"/>
              <w:bottom w:w="80" w:type="dxa"/>
              <w:end w:w="120" w:type="dxa"/>
            </w:tcMar>
            <w:vAlign w:val="center"/>
          </w:tcPr>
          <w:p>
            <w:pPr>
              <w:spacing w:after="0" w:line="245" w:lineRule="auto"/>
            </w:pPr>
            <w:r>
              <w:rPr>
                <w:rFonts w:ascii="Arial" w:hAnsi="Arial"/>
                <w:b w:val="0"/>
                <w:i w:val="0"/>
                <w:color w:val="17213A"/>
                <w:sz w:val="15"/>
              </w:rPr>
              <w:t>Source layers, canonical reference, edition, authority, version, rights, approval and retraction remain visible and traceable.</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Localisation</w:t>
            </w:r>
          </w:p>
        </w:tc>
        <w:tc>
          <w:tcPr>
            <w:tcW w:type="dxa" w:w="76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Target locale package is complete; scripts/diacritics, expansion, fallback, search, captions, policies and certificate wording pass.</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5"/>
              </w:rPr>
              <w:t>Offline</w:t>
            </w:r>
          </w:p>
        </w:tc>
        <w:tc>
          <w:tcPr>
            <w:tcW w:type="dxa" w:w="7610"/>
            <w:tcMar>
              <w:top w:w="80" w:type="dxa"/>
              <w:start w:w="120" w:type="dxa"/>
              <w:bottom w:w="80" w:type="dxa"/>
              <w:end w:w="120" w:type="dxa"/>
            </w:tcMar>
            <w:vAlign w:val="center"/>
          </w:tcPr>
          <w:p>
            <w:pPr>
              <w:spacing w:after="0" w:line="245" w:lineRule="auto"/>
            </w:pPr>
            <w:r>
              <w:rPr>
                <w:rFonts w:ascii="Arial" w:hAnsi="Arial"/>
                <w:b w:val="0"/>
                <w:i w:val="0"/>
                <w:color w:val="17213A"/>
                <w:sz w:val="15"/>
              </w:rPr>
              <w:t>Download, encryption, queue, idempotency, conflict, expiry, retraction, storage pressure and client-upgrade paths pass.</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Security/privacy</w:t>
            </w:r>
          </w:p>
        </w:tc>
        <w:tc>
          <w:tcPr>
            <w:tcW w:type="dxa" w:w="76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Threat model, scans, privacy/safeguarding review, penetration fixes, retention/deletion and audit controls pass.</w:t>
            </w:r>
          </w:p>
        </w:tc>
      </w:tr>
      <w:tr>
        <w:trPr>
          <w:cantSplit/>
        </w:trPr>
        <w:tc>
          <w:tcPr>
            <w:tcW w:type="dxa" w:w="1750"/>
            <w:tcMar>
              <w:top w:w="80" w:type="dxa"/>
              <w:start w:w="120" w:type="dxa"/>
              <w:bottom w:w="80" w:type="dxa"/>
              <w:end w:w="120" w:type="dxa"/>
            </w:tcMar>
            <w:vAlign w:val="center"/>
          </w:tcPr>
          <w:p>
            <w:pPr>
              <w:spacing w:after="0" w:line="245" w:lineRule="auto"/>
            </w:pPr>
            <w:r>
              <w:rPr>
                <w:rFonts w:ascii="Arial" w:hAnsi="Arial"/>
                <w:b w:val="0"/>
                <w:i w:val="0"/>
                <w:color w:val="17213A"/>
                <w:sz w:val="15"/>
              </w:rPr>
              <w:t>Performance/reliability</w:t>
            </w:r>
          </w:p>
        </w:tc>
        <w:tc>
          <w:tcPr>
            <w:tcW w:type="dxa" w:w="7610"/>
            <w:tcMar>
              <w:top w:w="80" w:type="dxa"/>
              <w:start w:w="120" w:type="dxa"/>
              <w:bottom w:w="80" w:type="dxa"/>
              <w:end w:w="120" w:type="dxa"/>
            </w:tcMar>
            <w:vAlign w:val="center"/>
          </w:tcPr>
          <w:p>
            <w:pPr>
              <w:spacing w:after="0" w:line="245" w:lineRule="auto"/>
            </w:pPr>
            <w:r>
              <w:rPr>
                <w:rFonts w:ascii="Arial" w:hAnsi="Arial"/>
                <w:b w:val="0"/>
                <w:i w:val="0"/>
                <w:color w:val="17213A"/>
                <w:sz w:val="15"/>
              </w:rPr>
              <w:t>Agreed budgets and service objectives pass under representative tenant/content/roster scale; recovery and rollback rehearsed.</w:t>
            </w:r>
          </w:p>
        </w:tc>
      </w:tr>
      <w:tr>
        <w:trPr>
          <w:cantSplit/>
        </w:trPr>
        <w:tc>
          <w:tcPr>
            <w:tcW w:type="dxa" w:w="17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Operational</w:t>
            </w:r>
          </w:p>
        </w:tc>
        <w:tc>
          <w:tcPr>
            <w:tcW w:type="dxa" w:w="76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5"/>
              </w:rPr>
              <w:t>Monitoring, alerts, audit, feature flags, runbooks, support references, migration, training, licences and source handover are complete.</w:t>
            </w:r>
          </w:p>
        </w:tc>
      </w:tr>
    </w:tbl>
    <w:p>
      <w:pPr>
        <w:sectPr>
          <w:pgSz w:w="12240" w:h="15840"/>
          <w:pgMar w:top="1440" w:right="1440" w:bottom="1440" w:left="1440" w:header="708" w:footer="708" w:gutter="0"/>
          <w:cols w:space="720"/>
          <w:docGrid w:linePitch="360"/>
        </w:sectPr>
      </w:pPr>
    </w:p>
    <w:p>
      <w:pPr>
        <w:pStyle w:val="Heading2"/>
      </w:pPr>
      <w:r>
        <w:t>11.3 Minimum acceptance scenarios</w:t>
      </w:r>
    </w:p>
    <w:tbl>
      <w:tblPr>
        <w:tblStyle w:val="TableGrid"/>
        <w:tblW w:type="dxa" w:w="9360"/>
        <w:tblLayout w:type="fixed"/>
        <w:tblLook w:firstColumn="1" w:firstRow="1" w:lastColumn="0" w:lastRow="0" w:noHBand="0" w:noVBand="1" w:val="04A0"/>
        <w:jc w:val="left"/>
        <w:tblInd w:w="120" w:type="dxa"/>
      </w:tblPr>
      <w:tblGrid>
        <w:gridCol w:w="1050"/>
        <w:gridCol w:w="4300"/>
        <w:gridCol w:w="4010"/>
      </w:tblGrid>
      <w:tr>
        <w:trPr>
          <w:tblHeader/>
        </w:trPr>
        <w:tc>
          <w:tcPr>
            <w:tcW w:type="dxa" w:w="1050"/>
            <w:tcMar>
              <w:top w:w="80" w:type="dxa"/>
              <w:start w:w="120" w:type="dxa"/>
              <w:bottom w:w="80" w:type="dxa"/>
              <w:end w:w="120" w:type="dxa"/>
            </w:tcMar>
            <w:vAlign w:val="center"/>
            <w:shd w:fill="18264F"/>
          </w:tcPr>
          <w:p>
            <w:pPr>
              <w:spacing w:after="0"/>
            </w:pPr>
            <w:r>
              <w:rPr>
                <w:rFonts w:ascii="Arial" w:hAnsi="Arial"/>
                <w:b/>
                <w:i w:val="0"/>
                <w:color w:val="FFFFFF"/>
                <w:sz w:val="14"/>
              </w:rPr>
              <w:t>ID</w:t>
            </w:r>
          </w:p>
        </w:tc>
        <w:tc>
          <w:tcPr>
            <w:tcW w:type="dxa" w:w="4300"/>
            <w:tcMar>
              <w:top w:w="80" w:type="dxa"/>
              <w:start w:w="120" w:type="dxa"/>
              <w:bottom w:w="80" w:type="dxa"/>
              <w:end w:w="120" w:type="dxa"/>
            </w:tcMar>
            <w:vAlign w:val="center"/>
            <w:shd w:fill="18264F"/>
          </w:tcPr>
          <w:p>
            <w:pPr>
              <w:spacing w:after="0"/>
            </w:pPr>
            <w:r>
              <w:rPr>
                <w:rFonts w:ascii="Arial" w:hAnsi="Arial"/>
                <w:b/>
                <w:i w:val="0"/>
                <w:color w:val="FFFFFF"/>
                <w:sz w:val="14"/>
              </w:rPr>
              <w:t>Scenario</w:t>
            </w:r>
          </w:p>
        </w:tc>
        <w:tc>
          <w:tcPr>
            <w:tcW w:type="dxa" w:w="4010"/>
            <w:tcMar>
              <w:top w:w="80" w:type="dxa"/>
              <w:start w:w="120" w:type="dxa"/>
              <w:bottom w:w="80" w:type="dxa"/>
              <w:end w:w="120" w:type="dxa"/>
            </w:tcMar>
            <w:vAlign w:val="center"/>
            <w:shd w:fill="18264F"/>
          </w:tcPr>
          <w:p>
            <w:pPr>
              <w:spacing w:after="0"/>
            </w:pPr>
            <w:r>
              <w:rPr>
                <w:rFonts w:ascii="Arial" w:hAnsi="Arial"/>
                <w:b/>
                <w:i w:val="0"/>
                <w:color w:val="FFFFFF"/>
                <w:sz w:val="14"/>
              </w:rPr>
              <w:t>Pass condition</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AC-01</w:t>
            </w:r>
          </w:p>
        </w:tc>
        <w:tc>
          <w:tcPr>
            <w:tcW w:type="dxa" w:w="4300"/>
            <w:tcMar>
              <w:top w:w="80" w:type="dxa"/>
              <w:start w:w="120" w:type="dxa"/>
              <w:bottom w:w="80" w:type="dxa"/>
              <w:end w:w="120" w:type="dxa"/>
            </w:tcMar>
            <w:vAlign w:val="center"/>
          </w:tcPr>
          <w:p>
            <w:pPr>
              <w:spacing w:after="0" w:line="245" w:lineRule="auto"/>
            </w:pPr>
            <w:r>
              <w:rPr>
                <w:rFonts w:ascii="Arial" w:hAnsi="Arial"/>
                <w:b w:val="0"/>
                <w:i w:val="0"/>
                <w:color w:val="17213A"/>
                <w:sz w:val="14"/>
              </w:rPr>
              <w:t>Resolve two tenants on the same build with different branding, policies and editions.</w:t>
            </w:r>
          </w:p>
        </w:tc>
        <w:tc>
          <w:tcPr>
            <w:tcW w:type="dxa" w:w="4010"/>
            <w:tcMar>
              <w:top w:w="80" w:type="dxa"/>
              <w:start w:w="120" w:type="dxa"/>
              <w:bottom w:w="80" w:type="dxa"/>
              <w:end w:w="120" w:type="dxa"/>
            </w:tcMar>
            <w:vAlign w:val="center"/>
          </w:tcPr>
          <w:p>
            <w:pPr>
              <w:spacing w:after="0" w:line="245" w:lineRule="auto"/>
            </w:pPr>
            <w:r>
              <w:rPr>
                <w:rFonts w:ascii="Arial" w:hAnsi="Arial"/>
                <w:b w:val="0"/>
                <w:i w:val="0"/>
                <w:color w:val="17213A"/>
                <w:sz w:val="14"/>
              </w:rPr>
              <w:t>No code fork; context is visible; cache/search/data remain isolated.</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AC-02</w:t>
            </w:r>
          </w:p>
        </w:tc>
        <w:tc>
          <w:tcPr>
            <w:tcW w:type="dxa" w:w="4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Deep-link into a learner lesson after sign-in and entitlement resolution.</w:t>
            </w:r>
          </w:p>
        </w:tc>
        <w:tc>
          <w:tcPr>
            <w:tcW w:type="dxa" w:w="40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Returns to intended resource/version or explains denial and safe recovery.</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AC-03</w:t>
            </w:r>
          </w:p>
        </w:tc>
        <w:tc>
          <w:tcPr>
            <w:tcW w:type="dxa" w:w="4300"/>
            <w:tcMar>
              <w:top w:w="80" w:type="dxa"/>
              <w:start w:w="120" w:type="dxa"/>
              <w:bottom w:w="80" w:type="dxa"/>
              <w:end w:w="120" w:type="dxa"/>
            </w:tcMar>
            <w:vAlign w:val="center"/>
          </w:tcPr>
          <w:p>
            <w:pPr>
              <w:spacing w:after="0" w:line="245" w:lineRule="auto"/>
            </w:pPr>
            <w:r>
              <w:rPr>
                <w:rFonts w:ascii="Arial" w:hAnsi="Arial"/>
                <w:b w:val="0"/>
                <w:i w:val="0"/>
                <w:color w:val="17213A"/>
                <w:sz w:val="14"/>
              </w:rPr>
              <w:t>Complete foundations, diagnostic and one full chapter loop.</w:t>
            </w:r>
          </w:p>
        </w:tc>
        <w:tc>
          <w:tcPr>
            <w:tcW w:type="dxa" w:w="4010"/>
            <w:tcMar>
              <w:top w:w="80" w:type="dxa"/>
              <w:start w:w="120" w:type="dxa"/>
              <w:bottom w:w="80" w:type="dxa"/>
              <w:end w:w="120" w:type="dxa"/>
            </w:tcMar>
            <w:vAlign w:val="center"/>
          </w:tcPr>
          <w:p>
            <w:pPr>
              <w:spacing w:after="0" w:line="245" w:lineRule="auto"/>
            </w:pPr>
            <w:r>
              <w:rPr>
                <w:rFonts w:ascii="Arial" w:hAnsi="Arial"/>
                <w:b w:val="0"/>
                <w:i w:val="0"/>
                <w:color w:val="17213A"/>
                <w:sz w:val="14"/>
              </w:rPr>
              <w:t>Every gate is explainable; evidence is append-only; resume works across devices.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AC-04</w:t>
            </w:r>
          </w:p>
        </w:tc>
        <w:tc>
          <w:tcPr>
            <w:tcW w:type="dxa" w:w="4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Switch to a non-equivalent edition mid-course.</w:t>
            </w:r>
          </w:p>
        </w:tc>
        <w:tc>
          <w:tcPr>
            <w:tcW w:type="dxa" w:w="40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Impact preview appears; no silent carry-over; prior history remains traceable.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AC-05</w:t>
            </w:r>
          </w:p>
        </w:tc>
        <w:tc>
          <w:tcPr>
            <w:tcW w:type="dxa" w:w="4300"/>
            <w:tcMar>
              <w:top w:w="80" w:type="dxa"/>
              <w:start w:w="120" w:type="dxa"/>
              <w:bottom w:w="80" w:type="dxa"/>
              <w:end w:w="120" w:type="dxa"/>
            </w:tcMar>
            <w:vAlign w:val="center"/>
          </w:tcPr>
          <w:p>
            <w:pPr>
              <w:spacing w:after="0" w:line="245" w:lineRule="auto"/>
            </w:pPr>
            <w:r>
              <w:rPr>
                <w:rFonts w:ascii="Arial" w:hAnsi="Arial"/>
                <w:b w:val="0"/>
                <w:i w:val="0"/>
                <w:color w:val="17213A"/>
                <w:sz w:val="14"/>
              </w:rPr>
              <w:t>Submit the same assessment twice after a network timeout.</w:t>
            </w:r>
          </w:p>
        </w:tc>
        <w:tc>
          <w:tcPr>
            <w:tcW w:type="dxa" w:w="4010"/>
            <w:tcMar>
              <w:top w:w="80" w:type="dxa"/>
              <w:start w:w="120" w:type="dxa"/>
              <w:bottom w:w="80" w:type="dxa"/>
              <w:end w:w="120" w:type="dxa"/>
            </w:tcMar>
            <w:vAlign w:val="center"/>
          </w:tcPr>
          <w:p>
            <w:pPr>
              <w:spacing w:after="0" w:line="245" w:lineRule="auto"/>
            </w:pPr>
            <w:r>
              <w:rPr>
                <w:rFonts w:ascii="Arial" w:hAnsi="Arial"/>
                <w:b w:val="0"/>
                <w:i w:val="0"/>
                <w:color w:val="17213A"/>
                <w:sz w:val="14"/>
              </w:rPr>
              <w:t>One attempt is committed; retry returns the original result.</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AC-06</w:t>
            </w:r>
          </w:p>
        </w:tc>
        <w:tc>
          <w:tcPr>
            <w:tcW w:type="dxa" w:w="4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Create an offline note conflict and a queued progress event.</w:t>
            </w:r>
          </w:p>
        </w:tc>
        <w:tc>
          <w:tcPr>
            <w:tcW w:type="dxa" w:w="40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No note text is lost; progress de-duplicates; status is understandable.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AC-07</w:t>
            </w:r>
          </w:p>
        </w:tc>
        <w:tc>
          <w:tcPr>
            <w:tcW w:type="dxa" w:w="4300"/>
            <w:tcMar>
              <w:top w:w="80" w:type="dxa"/>
              <w:start w:w="120" w:type="dxa"/>
              <w:bottom w:w="80" w:type="dxa"/>
              <w:end w:w="120" w:type="dxa"/>
            </w:tcMar>
            <w:vAlign w:val="center"/>
          </w:tcPr>
          <w:p>
            <w:pPr>
              <w:spacing w:after="0" w:line="245" w:lineRule="auto"/>
            </w:pPr>
            <w:r>
              <w:rPr>
                <w:rFonts w:ascii="Arial" w:hAnsi="Arial"/>
                <w:b w:val="0"/>
                <w:i w:val="0"/>
                <w:color w:val="17213A"/>
                <w:sz w:val="14"/>
              </w:rPr>
              <w:t>Retract an edition item while it exists in a mobile download.</w:t>
            </w:r>
          </w:p>
        </w:tc>
        <w:tc>
          <w:tcPr>
            <w:tcW w:type="dxa" w:w="4010"/>
            <w:tcMar>
              <w:top w:w="80" w:type="dxa"/>
              <w:start w:w="120" w:type="dxa"/>
              <w:bottom w:w="80" w:type="dxa"/>
              <w:end w:w="120" w:type="dxa"/>
            </w:tcMar>
            <w:vAlign w:val="center"/>
          </w:tcPr>
          <w:p>
            <w:pPr>
              <w:spacing w:after="0" w:line="245" w:lineRule="auto"/>
            </w:pPr>
            <w:r>
              <w:rPr>
                <w:rFonts w:ascii="Arial" w:hAnsi="Arial"/>
                <w:b w:val="0"/>
                <w:i w:val="0"/>
                <w:color w:val="17213A"/>
                <w:sz w:val="14"/>
              </w:rPr>
              <w:t>Web/search/cache/package access closes; user receives explanation; lawful evidence remains.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AC-08</w:t>
            </w:r>
          </w:p>
        </w:tc>
        <w:tc>
          <w:tcPr>
            <w:tcW w:type="dxa" w:w="4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Teacher requests another cohort by substituted identifier.</w:t>
            </w:r>
          </w:p>
        </w:tc>
        <w:tc>
          <w:tcPr>
            <w:tcW w:type="dxa" w:w="40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Service denies without disclosing roster; event is auditable.</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AC-09</w:t>
            </w:r>
          </w:p>
        </w:tc>
        <w:tc>
          <w:tcPr>
            <w:tcW w:type="dxa" w:w="4300"/>
            <w:tcMar>
              <w:top w:w="80" w:type="dxa"/>
              <w:start w:w="120" w:type="dxa"/>
              <w:bottom w:w="80" w:type="dxa"/>
              <w:end w:w="120" w:type="dxa"/>
            </w:tcMar>
            <w:vAlign w:val="center"/>
          </w:tcPr>
          <w:p>
            <w:pPr>
              <w:spacing w:after="0" w:line="245" w:lineRule="auto"/>
            </w:pPr>
            <w:r>
              <w:rPr>
                <w:rFonts w:ascii="Arial" w:hAnsi="Arial"/>
                <w:b w:val="0"/>
                <w:i w:val="0"/>
                <w:color w:val="17213A"/>
                <w:sz w:val="14"/>
              </w:rPr>
              <w:t>Publisher releases content with missing rights or approval.</w:t>
            </w:r>
          </w:p>
        </w:tc>
        <w:tc>
          <w:tcPr>
            <w:tcW w:type="dxa" w:w="4010"/>
            <w:tcMar>
              <w:top w:w="80" w:type="dxa"/>
              <w:start w:w="120" w:type="dxa"/>
              <w:bottom w:w="80" w:type="dxa"/>
              <w:end w:w="120" w:type="dxa"/>
            </w:tcMar>
            <w:vAlign w:val="center"/>
          </w:tcPr>
          <w:p>
            <w:pPr>
              <w:spacing w:after="0" w:line="245" w:lineRule="auto"/>
            </w:pPr>
            <w:r>
              <w:rPr>
                <w:rFonts w:ascii="Arial" w:hAnsi="Arial"/>
                <w:b w:val="0"/>
                <w:i w:val="0"/>
                <w:color w:val="17213A"/>
                <w:sz w:val="14"/>
              </w:rPr>
              <w:t>Release is blocked with field/rule evidence and no distribution begins.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AC-10</w:t>
            </w:r>
          </w:p>
        </w:tc>
        <w:tc>
          <w:tcPr>
            <w:tcW w:type="dxa" w:w="4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Support opens and closes approved elevation.</w:t>
            </w:r>
          </w:p>
        </w:tc>
        <w:tc>
          <w:tcPr>
            <w:tcW w:type="dxa" w:w="40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Masking, time limit, visible status and immutable audit evidence work.</w:t>
            </w:r>
          </w:p>
        </w:tc>
      </w:tr>
      <w:tr>
        <w:trPr>
          <w:cantSplit/>
        </w:trPr>
        <w:tc>
          <w:tcPr>
            <w:tcW w:type="dxa" w:w="1050"/>
            <w:tcMar>
              <w:top w:w="80" w:type="dxa"/>
              <w:start w:w="120" w:type="dxa"/>
              <w:bottom w:w="80" w:type="dxa"/>
              <w:end w:w="120" w:type="dxa"/>
            </w:tcMar>
            <w:vAlign w:val="center"/>
          </w:tcPr>
          <w:p>
            <w:pPr>
              <w:spacing w:after="0" w:line="245" w:lineRule="auto"/>
            </w:pPr>
            <w:r>
              <w:rPr>
                <w:rFonts w:ascii="Arial" w:hAnsi="Arial"/>
                <w:b w:val="0"/>
                <w:i w:val="0"/>
                <w:color w:val="17213A"/>
                <w:sz w:val="14"/>
              </w:rPr>
              <w:t>AC-11</w:t>
            </w:r>
          </w:p>
        </w:tc>
        <w:tc>
          <w:tcPr>
            <w:tcW w:type="dxa" w:w="4300"/>
            <w:tcMar>
              <w:top w:w="80" w:type="dxa"/>
              <w:start w:w="120" w:type="dxa"/>
              <w:bottom w:w="80" w:type="dxa"/>
              <w:end w:w="120" w:type="dxa"/>
            </w:tcMar>
            <w:vAlign w:val="center"/>
          </w:tcPr>
          <w:p>
            <w:pPr>
              <w:spacing w:after="0" w:line="245" w:lineRule="auto"/>
            </w:pPr>
            <w:r>
              <w:rPr>
                <w:rFonts w:ascii="Arial" w:hAnsi="Arial"/>
                <w:b w:val="0"/>
                <w:i w:val="0"/>
                <w:color w:val="17213A"/>
                <w:sz w:val="14"/>
              </w:rPr>
              <w:t>Run a critical journey at 320 CSS px, keyboard-only and with target screen readers.</w:t>
            </w:r>
          </w:p>
        </w:tc>
        <w:tc>
          <w:tcPr>
            <w:tcW w:type="dxa" w:w="4010"/>
            <w:tcMar>
              <w:top w:w="80" w:type="dxa"/>
              <w:start w:w="120" w:type="dxa"/>
              <w:bottom w:w="80" w:type="dxa"/>
              <w:end w:w="120" w:type="dxa"/>
            </w:tcMar>
            <w:vAlign w:val="center"/>
          </w:tcPr>
          <w:p>
            <w:pPr>
              <w:spacing w:after="0" w:line="245" w:lineRule="auto"/>
            </w:pPr>
            <w:r>
              <w:rPr>
                <w:rFonts w:ascii="Arial" w:hAnsi="Arial"/>
                <w:b w:val="0"/>
                <w:i w:val="0"/>
                <w:color w:val="17213A"/>
                <w:sz w:val="14"/>
              </w:rPr>
              <w:t>No lost action/content; logical focus, names, errors and status pass.</w:t>
            </w:r>
          </w:p>
        </w:tc>
      </w:tr>
      <w:tr>
        <w:trPr>
          <w:cantSplit/>
        </w:trPr>
        <w:tc>
          <w:tcPr>
            <w:tcW w:type="dxa" w:w="105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AC-12</w:t>
            </w:r>
          </w:p>
        </w:tc>
        <w:tc>
          <w:tcPr>
            <w:tcW w:type="dxa" w:w="43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Release a second language with long strings and Devanagari/diacritics.</w:t>
            </w:r>
          </w:p>
        </w:tc>
        <w:tc>
          <w:tcPr>
            <w:tcW w:type="dxa" w:w="4010"/>
            <w:shd w:fill="F5EFE2"/>
            <w:tcMar>
              <w:top w:w="80" w:type="dxa"/>
              <w:start w:w="120" w:type="dxa"/>
              <w:bottom w:w="80" w:type="dxa"/>
              <w:end w:w="120" w:type="dxa"/>
            </w:tcMar>
            <w:vAlign w:val="center"/>
          </w:tcPr>
          <w:p>
            <w:pPr>
              <w:spacing w:after="0" w:line="245" w:lineRule="auto"/>
            </w:pPr>
            <w:r>
              <w:rPr>
                <w:rFonts w:ascii="Arial" w:hAnsi="Arial"/>
                <w:b w:val="0"/>
                <w:i w:val="0"/>
                <w:color w:val="17213A"/>
                <w:sz w:val="14"/>
              </w:rPr>
              <w:t>Typography, layout, search, media/policy completeness and fallback pass.</w:t>
            </w:r>
          </w:p>
        </w:tc>
      </w:tr>
    </w:tbl>
    <w:p>
      <w:pPr>
        <w:sectPr>
          <w:pgSz w:w="12240" w:h="15840"/>
          <w:pgMar w:top="1440" w:right="1440" w:bottom="1440" w:left="1440" w:header="708" w:footer="708" w:gutter="0"/>
          <w:cols w:space="720"/>
          <w:docGrid w:linePitch="360"/>
        </w:sectPr>
      </w:pPr>
    </w:p>
    <w:p>
      <w:pPr>
        <w:pStyle w:val="Heading2"/>
      </w:pPr>
      <w:r>
        <w:t>11.4 Required vendor proposal response</w:t>
      </w:r>
    </w:p>
    <w:p>
      <w:pPr>
        <w:pStyle w:val="ListBullet"/>
      </w:pPr>
      <w:r>
        <w:rPr>
          <w:rFonts w:ascii="Arial" w:hAnsi="Arial"/>
          <w:b w:val="0"/>
          <w:i w:val="0"/>
          <w:color w:val="17213A"/>
          <w:sz w:val="20"/>
        </w:rPr>
        <w:t>Understanding of the product vision, explicit assumptions, risks and recommended scope changes.</w:t>
      </w:r>
    </w:p>
    <w:p>
      <w:pPr>
        <w:pStyle w:val="ListBullet"/>
      </w:pPr>
      <w:r>
        <w:rPr>
          <w:rFonts w:ascii="Arial" w:hAnsi="Arial"/>
          <w:b w:val="0"/>
          <w:i w:val="0"/>
          <w:color w:val="17213A"/>
          <w:sz w:val="20"/>
        </w:rPr>
        <w:t>Six-week discovery approach, research participants, artefacts, decisions and acceptance plan.</w:t>
      </w:r>
    </w:p>
    <w:p>
      <w:pPr>
        <w:pStyle w:val="ListBullet"/>
      </w:pPr>
      <w:r>
        <w:rPr>
          <w:rFonts w:ascii="Arial" w:hAnsi="Arial"/>
          <w:b w:val="0"/>
          <w:i w:val="0"/>
          <w:color w:val="17213A"/>
          <w:sz w:val="20"/>
        </w:rPr>
        <w:t>Solution architecture, build/buy choices, data model, tenancy, edition/content, integration and offline strategy.</w:t>
      </w:r>
    </w:p>
    <w:p>
      <w:pPr>
        <w:pStyle w:val="ListBullet"/>
      </w:pPr>
      <w:r>
        <w:rPr>
          <w:rFonts w:ascii="Arial" w:hAnsi="Arial"/>
          <w:b w:val="0"/>
          <w:i w:val="0"/>
          <w:color w:val="17213A"/>
          <w:sz w:val="20"/>
        </w:rPr>
        <w:t>Experience and design-system approach for responsive web, iOS, Android, accessibility and localisation.</w:t>
      </w:r>
    </w:p>
    <w:p>
      <w:pPr>
        <w:pStyle w:val="ListBullet"/>
      </w:pPr>
      <w:r>
        <w:rPr>
          <w:rFonts w:ascii="Arial" w:hAnsi="Arial"/>
          <w:b w:val="0"/>
          <w:i w:val="0"/>
          <w:color w:val="17213A"/>
          <w:sz w:val="20"/>
        </w:rPr>
        <w:t>Delivery plan, milestones, team by role, dependencies, client responsibilities and named decision points.</w:t>
      </w:r>
    </w:p>
    <w:p>
      <w:pPr>
        <w:pStyle w:val="ListBullet"/>
      </w:pPr>
      <w:r>
        <w:rPr>
          <w:rFonts w:ascii="Arial" w:hAnsi="Arial"/>
          <w:b w:val="0"/>
          <w:i w:val="0"/>
          <w:color w:val="17213A"/>
          <w:sz w:val="20"/>
        </w:rPr>
        <w:t>Quality, security, privacy, child safeguarding, DevOps, service management, support and warranty model.</w:t>
      </w:r>
    </w:p>
    <w:p>
      <w:pPr>
        <w:pStyle w:val="ListBullet"/>
      </w:pPr>
      <w:r>
        <w:rPr>
          <w:rFonts w:ascii="Arial" w:hAnsi="Arial"/>
          <w:b w:val="0"/>
          <w:i w:val="0"/>
          <w:color w:val="17213A"/>
          <w:sz w:val="20"/>
        </w:rPr>
        <w:t>Itemised commercial proposal for discovery, build, content/media assumptions, licences, hosting, support and change rates.</w:t>
      </w:r>
    </w:p>
    <w:p>
      <w:pPr>
        <w:pStyle w:val="ListBullet"/>
      </w:pPr>
      <w:r>
        <w:rPr>
          <w:rFonts w:ascii="Arial" w:hAnsi="Arial"/>
          <w:b w:val="0"/>
          <w:i w:val="0"/>
          <w:color w:val="17213A"/>
          <w:sz w:val="20"/>
        </w:rPr>
        <w:t>IP ownership, repository/source access, portability, subcontractors, exit/transition assistance and data export.</w:t>
      </w:r>
    </w:p>
    <w:p>
      <w:pPr>
        <w:pStyle w:val="ListBullet"/>
      </w:pPr>
      <w:r>
        <w:rPr>
          <w:rFonts w:ascii="Arial" w:hAnsi="Arial"/>
          <w:b w:val="0"/>
          <w:i w:val="0"/>
          <w:color w:val="17213A"/>
          <w:sz w:val="20"/>
        </w:rPr>
        <w:t>Comparable multi-tenant learning/mobile work, references and a demonstration mapped to the acceptance scenarios.</w:t>
      </w:r>
    </w:p>
    <w:p>
      <w:pPr>
        <w:pStyle w:val="Heading2"/>
      </w:pPr>
      <w:r>
        <w:t>Commercial estimation rules</w:t>
      </w:r>
    </w:p>
    <w:p>
      <w:pPr>
        <w:pStyle w:val="ListBullet"/>
      </w:pPr>
      <w:r>
        <w:rPr>
          <w:rFonts w:ascii="Arial" w:hAnsi="Arial"/>
          <w:b w:val="0"/>
          <w:i w:val="0"/>
          <w:color w:val="17213A"/>
          <w:sz w:val="20"/>
        </w:rPr>
        <w:t>Estimate assumptions state supported languages, tenants, users, roster size, media/storage, integrations, offline scope, content migration and service levels; uncertain items are ranges with validation tasks.</w:t>
      </w:r>
    </w:p>
    <w:p>
      <w:pPr>
        <w:pStyle w:val="ListBullet"/>
      </w:pPr>
      <w:r>
        <w:rPr>
          <w:rFonts w:ascii="Arial" w:hAnsi="Arial"/>
          <w:b w:val="0"/>
          <w:i w:val="0"/>
          <w:color w:val="17213A"/>
          <w:sz w:val="20"/>
        </w:rPr>
        <w:t>The estimate separates reusable platform capability from tenant configuration and content production. Named-organisation custom forks are not an acceptable scaling strategy.</w:t>
      </w:r>
    </w:p>
    <w:p>
      <w:pPr>
        <w:spacing w:before="100" w:after="140"/>
        <w:ind w:left="115" w:right="29"/>
        <w:shd w:fill="E3F1E8"/>
        <w:pBdr>
          <w:top w:val="single" w:sz="3" w:color="34805B" w:space="7"/>
          <w:left w:val="single" w:sz="14" w:color="34805B" w:space="7"/>
          <w:bottom w:val="single" w:sz="3" w:color="34805B" w:space="7"/>
          <w:right w:val="single" w:sz="3" w:color="34805B" w:space="7"/>
        </w:pBdr>
      </w:pPr>
      <w:r>
        <w:rPr>
          <w:rFonts w:ascii="Arial" w:hAnsi="Arial"/>
          <w:b/>
          <w:i w:val="0"/>
          <w:color w:val="34805B"/>
          <w:sz w:val="19"/>
        </w:rPr>
        <w:t xml:space="preserve">RECOMMENDED PROCUREMENT STEP: </w:t>
      </w:r>
      <w:r>
        <w:rPr>
          <w:rFonts w:ascii="Arial" w:hAnsi="Arial"/>
          <w:b w:val="0"/>
          <w:i w:val="0"/>
          <w:color w:val="17213A"/>
          <w:sz w:val="19"/>
        </w:rPr>
        <w:t>Commission a six-week paid discovery and UX validation phase. Require the vendor to return validated prototypes, a production design-system foundation, architecture/API contracts, a prioritised traceable backlog, risk register and fixed-assumption implementation plan.</w:t>
      </w:r>
    </w:p>
    <w:p>
      <w:pPr>
        <w:sectPr>
          <w:pgSz w:w="12240" w:h="15840"/>
          <w:pgMar w:top="1440" w:right="1440" w:bottom="1440" w:left="1440" w:header="708" w:footer="708" w:gutter="0"/>
          <w:cols w:space="720"/>
          <w:docGrid w:linePitch="360"/>
        </w:sectPr>
      </w:pPr>
    </w:p>
    <w:p>
      <w:pPr>
        <w:pStyle w:val="Heading1"/>
      </w:pPr>
      <w:r>
        <w:t>Appendix A. Traceability, decisions and glossary</w:t>
      </w:r>
    </w:p>
    <w:p>
      <w:pPr>
        <w:pStyle w:val="Heading2"/>
      </w:pPr>
      <w:r>
        <w:t>Traceability model</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trPr>
        <w:tc>
          <w:tcPr>
            <w:tcW w:type="dxa" w:w="1800"/>
            <w:tcMar>
              <w:top w:w="80" w:type="dxa"/>
              <w:start w:w="120" w:type="dxa"/>
              <w:bottom w:w="80" w:type="dxa"/>
              <w:end w:w="120" w:type="dxa"/>
            </w:tcMar>
            <w:vAlign w:val="center"/>
            <w:shd w:fill="18264F"/>
          </w:tcPr>
          <w:p>
            <w:pPr>
              <w:spacing w:after="0"/>
            </w:pPr>
            <w:r>
              <w:rPr>
                <w:rFonts w:ascii="Arial" w:hAnsi="Arial"/>
                <w:b/>
                <w:i w:val="0"/>
                <w:color w:val="FFFFFF"/>
                <w:sz w:val="16"/>
              </w:rPr>
              <w:t>Artefact</w:t>
            </w:r>
          </w:p>
        </w:tc>
        <w:tc>
          <w:tcPr>
            <w:tcW w:type="dxa" w:w="7560"/>
            <w:tcMar>
              <w:top w:w="80" w:type="dxa"/>
              <w:start w:w="120" w:type="dxa"/>
              <w:bottom w:w="80" w:type="dxa"/>
              <w:end w:w="120" w:type="dxa"/>
            </w:tcMar>
            <w:vAlign w:val="center"/>
            <w:shd w:fill="18264F"/>
          </w:tcPr>
          <w:p>
            <w:pPr>
              <w:spacing w:after="0"/>
            </w:pPr>
            <w:r>
              <w:rPr>
                <w:rFonts w:ascii="Arial" w:hAnsi="Arial"/>
                <w:b/>
                <w:i w:val="0"/>
                <w:color w:val="FFFFFF"/>
                <w:sz w:val="16"/>
              </w:rPr>
              <w:t>Required identifiers</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Design frame</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Screen ID; state; viewport/device; role; tenant/programme/edition context; design-system version.</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Backlog item</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Screen/workflow IDs; requirement; acceptance scenario; API/data dependency; owner; release.</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API/schema</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Capability; consuming screen IDs; tenant/role scope; version; errors; contract tests.</w:t>
            </w:r>
          </w:p>
        </w:tc>
      </w:tr>
      <w:tr>
        <w:trPr>
          <w:cantSplit/>
        </w:trPr>
        <w:tc>
          <w:tcPr>
            <w:tcW w:type="dxa" w:w="18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Test</w:t>
            </w:r>
          </w:p>
        </w:tc>
        <w:tc>
          <w:tcPr>
            <w:tcW w:type="dxa" w:w="75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Screen/workflow/acceptance ID; fixture context; precondition; expected state; evidence location.</w:t>
            </w:r>
          </w:p>
        </w:tc>
      </w:tr>
      <w:tr>
        <w:trPr>
          <w:cantSplit/>
        </w:trPr>
        <w:tc>
          <w:tcPr>
            <w:tcW w:type="dxa" w:w="1800"/>
            <w:tcMar>
              <w:top w:w="80" w:type="dxa"/>
              <w:start w:w="120" w:type="dxa"/>
              <w:bottom w:w="80" w:type="dxa"/>
              <w:end w:w="120" w:type="dxa"/>
            </w:tcMar>
            <w:vAlign w:val="center"/>
          </w:tcPr>
          <w:p>
            <w:pPr>
              <w:spacing w:after="0" w:line="245" w:lineRule="auto"/>
            </w:pPr>
            <w:r>
              <w:rPr>
                <w:rFonts w:ascii="Arial" w:hAnsi="Arial"/>
                <w:b w:val="0"/>
                <w:i w:val="0"/>
                <w:color w:val="17213A"/>
                <w:sz w:val="16"/>
              </w:rPr>
              <w:t>Release evidence</w:t>
            </w:r>
          </w:p>
        </w:tc>
        <w:tc>
          <w:tcPr>
            <w:tcW w:type="dxa" w:w="7560"/>
            <w:tcMar>
              <w:top w:w="80" w:type="dxa"/>
              <w:start w:w="120" w:type="dxa"/>
              <w:bottom w:w="80" w:type="dxa"/>
              <w:end w:w="120" w:type="dxa"/>
            </w:tcMar>
            <w:vAlign w:val="center"/>
          </w:tcPr>
          <w:p>
            <w:pPr>
              <w:spacing w:after="0" w:line="245" w:lineRule="auto"/>
            </w:pPr>
            <w:r>
              <w:rPr>
                <w:rFonts w:ascii="Arial" w:hAnsi="Arial"/>
                <w:b w:val="0"/>
                <w:i w:val="0"/>
                <w:color w:val="17213A"/>
                <w:sz w:val="16"/>
              </w:rPr>
              <w:t>Build/release; tenant/edition/language scope; gates; waivers; approvals; rollback.</w:t>
            </w:r>
          </w:p>
        </w:tc>
      </w:tr>
    </w:tbl>
    <w:p>
      <w:pPr>
        <w:pStyle w:val="Heading2"/>
      </w:pPr>
      <w:r>
        <w:t>Discovery decision register — minimum topics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tcMar>
              <w:top w:w="80" w:type="dxa"/>
              <w:start w:w="120" w:type="dxa"/>
              <w:bottom w:w="80" w:type="dxa"/>
              <w:end w:w="120" w:type="dxa"/>
            </w:tcMar>
            <w:vAlign w:val="center"/>
            <w:shd w:fill="18264F"/>
          </w:tcPr>
          <w:p>
            <w:pPr>
              <w:spacing w:after="0"/>
            </w:pPr>
            <w:r>
              <w:rPr>
                <w:rFonts w:ascii="Arial" w:hAnsi="Arial"/>
                <w:b/>
                <w:i w:val="0"/>
                <w:color w:val="FFFFFF"/>
                <w:sz w:val="16"/>
              </w:rPr>
              <w:t>Decision</w:t>
            </w:r>
          </w:p>
        </w:tc>
        <w:tc>
          <w:tcPr>
            <w:tcW w:type="dxa" w:w="7460"/>
            <w:tcMar>
              <w:top w:w="80" w:type="dxa"/>
              <w:start w:w="120" w:type="dxa"/>
              <w:bottom w:w="80" w:type="dxa"/>
              <w:end w:w="120" w:type="dxa"/>
            </w:tcMar>
            <w:vAlign w:val="center"/>
            <w:shd w:fill="18264F"/>
          </w:tcPr>
          <w:p>
            <w:pPr>
              <w:spacing w:after="0"/>
            </w:pPr>
            <w:r>
              <w:rPr>
                <w:rFonts w:ascii="Arial" w:hAnsi="Arial"/>
                <w:b/>
                <w:i w:val="0"/>
                <w:color w:val="FFFFFF"/>
                <w:sz w:val="16"/>
              </w:rPr>
              <w:t>Required outcome</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MVP boundary</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Which of 75 screens ship in each release, with no loss of final-state traceability.</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Edition governance</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Named authorities, review dimensions, equivalence approval and retraction process.</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Content platform</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Authoring/CMS approach, import formats, media pipeline, preview and migration.</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Identity / minors</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Authentication methods, tenant SSO, age bands, consent and safeguarding by jurisdiction.</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Mobile / offline</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Native technology, package size, assessment policy, expiry checks and app distribution.</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Non-functional targets</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Scale, performance budgets, availability, RTO/RPO, data residency, support and audit retention.</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Launch languages</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Completeness gate, font/script support, content/media/support ownership and fallback.</w:t>
            </w:r>
          </w:p>
        </w:tc>
      </w:tr>
    </w:tbl>
    <w:p>
      <w:pPr>
        <w:sectPr>
          <w:pgSz w:w="12240" w:h="15840"/>
          <w:pgMar w:top="1440" w:right="1440" w:bottom="1440" w:left="1440" w:header="708" w:footer="708" w:gutter="0"/>
          <w:cols w:space="720"/>
          <w:docGrid w:linePitch="360"/>
        </w:sectPr>
      </w:pPr>
    </w:p>
    <w:p>
      <w:pPr>
        <w:pStyle w:val="Heading1"/>
      </w:pPr>
      <w:r>
        <w:t>Glossary</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trPr>
        <w:tc>
          <w:tcPr>
            <w:tcW w:type="dxa" w:w="1900"/>
            <w:tcMar>
              <w:top w:w="80" w:type="dxa"/>
              <w:start w:w="120" w:type="dxa"/>
              <w:bottom w:w="80" w:type="dxa"/>
              <w:end w:w="120" w:type="dxa"/>
            </w:tcMar>
            <w:vAlign w:val="center"/>
            <w:shd w:fill="18264F"/>
          </w:tcPr>
          <w:p>
            <w:pPr>
              <w:spacing w:after="0"/>
            </w:pPr>
            <w:r>
              <w:rPr>
                <w:rFonts w:ascii="Arial" w:hAnsi="Arial"/>
                <w:b/>
                <w:i w:val="0"/>
                <w:color w:val="FFFFFF"/>
                <w:sz w:val="16"/>
              </w:rPr>
              <w:t>Term</w:t>
            </w:r>
          </w:p>
        </w:tc>
        <w:tc>
          <w:tcPr>
            <w:tcW w:type="dxa" w:w="7460"/>
            <w:tcMar>
              <w:top w:w="80" w:type="dxa"/>
              <w:start w:w="120" w:type="dxa"/>
              <w:bottom w:w="80" w:type="dxa"/>
              <w:end w:w="120" w:type="dxa"/>
            </w:tcMar>
            <w:vAlign w:val="center"/>
            <w:shd w:fill="18264F"/>
          </w:tcPr>
          <w:p>
            <w:pPr>
              <w:spacing w:after="0"/>
            </w:pPr>
            <w:r>
              <w:rPr>
                <w:rFonts w:ascii="Arial" w:hAnsi="Arial"/>
                <w:b/>
                <w:i w:val="0"/>
                <w:color w:val="FFFFFF"/>
                <w:sz w:val="16"/>
              </w:rPr>
              <w:t>Meaning in this specification</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Tenant</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A securely isolated organisational configuration and data boundary; not necessarily the same as a legal organisation.</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Organisation / unit</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The institution and optional delegated structure represented within a tenant.</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Programme</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A versioned learning offer: audience, course/path, edition, policy, assessment and certificate rules.</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Edition</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An authorised, versioned collection of scripture/translation/commentary and learning layers with provenance and rights.</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Release</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An immutable, effective-dated publication of content/configuration to a defined tenant, audience, language and channel scope.</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Evidence</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Append-only record that an eligible learning or assessment action occurred under a named resource and policy version.</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Derived progress</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Current status calculated from valid evidence and active programme rules; it can be recomputed and explained.</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Equivalence map</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Approved, versioned mapping of outcomes/assessments between editions or programme versions.</w:t>
            </w:r>
          </w:p>
        </w:tc>
      </w:tr>
      <w:tr>
        <w:trPr>
          <w:cantSplit/>
        </w:trPr>
        <w:tc>
          <w:tcPr>
            <w:tcW w:type="dxa" w:w="1900"/>
            <w:tcMar>
              <w:top w:w="80" w:type="dxa"/>
              <w:start w:w="120" w:type="dxa"/>
              <w:bottom w:w="80" w:type="dxa"/>
              <w:end w:w="120" w:type="dxa"/>
            </w:tcMar>
            <w:vAlign w:val="center"/>
          </w:tcPr>
          <w:p>
            <w:pPr>
              <w:spacing w:after="0" w:line="245" w:lineRule="auto"/>
            </w:pPr>
            <w:r>
              <w:rPr>
                <w:rFonts w:ascii="Arial" w:hAnsi="Arial"/>
                <w:b w:val="0"/>
                <w:i w:val="0"/>
                <w:color w:val="17213A"/>
                <w:sz w:val="16"/>
              </w:rPr>
              <w:t>Retraction</w:t>
            </w:r>
          </w:p>
        </w:tc>
        <w:tc>
          <w:tcPr>
            <w:tcW w:type="dxa" w:w="7460"/>
            <w:tcMar>
              <w:top w:w="80" w:type="dxa"/>
              <w:start w:w="120" w:type="dxa"/>
              <w:bottom w:w="80" w:type="dxa"/>
              <w:end w:w="120" w:type="dxa"/>
            </w:tcMar>
            <w:vAlign w:val="center"/>
          </w:tcPr>
          <w:p>
            <w:pPr>
              <w:spacing w:after="0" w:line="245" w:lineRule="auto"/>
            </w:pPr>
            <w:r>
              <w:rPr>
                <w:rFonts w:ascii="Arial" w:hAnsi="Arial"/>
                <w:b w:val="0"/>
                <w:i w:val="0"/>
                <w:color w:val="17213A"/>
                <w:sz w:val="16"/>
              </w:rPr>
              <w:t>Withdrawal of a release or asset from future access while retaining lawful audit and learning history.</w:t>
            </w:r>
          </w:p>
        </w:tc>
      </w:tr>
      <w:tr>
        <w:trPr>
          <w:cantSplit/>
        </w:trPr>
        <w:tc>
          <w:tcPr>
            <w:tcW w:type="dxa" w:w="190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Elevation</w:t>
            </w:r>
          </w:p>
        </w:tc>
        <w:tc>
          <w:tcPr>
            <w:tcW w:type="dxa" w:w="7460"/>
            <w:shd w:fill="F5EFE2"/>
            <w:tcMar>
              <w:top w:w="80" w:type="dxa"/>
              <w:start w:w="120" w:type="dxa"/>
              <w:bottom w:w="80" w:type="dxa"/>
              <w:end w:w="120" w:type="dxa"/>
            </w:tcMar>
            <w:vAlign w:val="center"/>
          </w:tcPr>
          <w:p>
            <w:pPr>
              <w:spacing w:after="0" w:line="245" w:lineRule="auto"/>
            </w:pPr>
            <w:r>
              <w:rPr>
                <w:rFonts w:ascii="Arial" w:hAnsi="Arial"/>
                <w:b w:val="0"/>
                <w:i w:val="0"/>
                <w:color w:val="17213A"/>
                <w:sz w:val="16"/>
              </w:rPr>
              <w:t>Time-bound, approved and audited privileged support access with privacy masking and stated reason.</w:t>
            </w:r>
          </w:p>
        </w:tc>
      </w:tr>
    </w:tbl>
    <w:p>
      <w:pPr>
        <w:pStyle w:val="Heading2"/>
      </w:pPr>
      <w:r>
        <w:t>Vendor acknowledgement</w:t>
      </w:r>
    </w:p>
    <w:p>
      <w:pPr>
        <w:spacing w:before="0" w:after="100"/>
      </w:pPr>
      <w:r>
        <w:rPr>
          <w:rFonts w:ascii="Arial" w:hAnsi="Arial"/>
          <w:b w:val="0"/>
          <w:i w:val="0"/>
          <w:color w:val="17213A"/>
          <w:sz w:val="21"/>
        </w:rPr>
        <w:t>In its response, the development organisation should identify accepted requirements, proposed variations, discovery decisions, dependencies and exclusions. Silence is not treated as an approved variation.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D7282"/>
        <w:sz w:val="16"/>
      </w:rPr>
      <w:t xml:space="preserve">Living Bliss · 31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18264F"/>
        <w:sz w:val="16"/>
      </w:rPr>
      <w:t>LIVING BLISS  |  UI WIREFRAMES &amp; TECHNICAL DESIGN  |  VENDOR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8264F"/>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43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E74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Bliss Bhagavad Gita Learning Platform — UI Wireframes and Technical Design</dc:title>
  <dc:subject>Complete interface inventory and functional wireframes for web, mobile and institutional workspaces</dc:subject>
  <dc:creator>Living Bliss</dc:creator>
  <cp:keywords>Bhagavad Gita, wireframes, UX, technical design, web, mobile, teacher, content studio, multi-tenant</cp:keywords>
  <dc:description>generated by python-docx</dc:description>
  <cp:lastModifiedBy/>
  <cp:revision>1</cp:revision>
  <dcterms:created xsi:type="dcterms:W3CDTF">2013-12-23T23:15:00Z</dcterms:created>
  <dcterms:modified xsi:type="dcterms:W3CDTF">2013-12-23T23:15:00Z</dcterms:modified>
  <cp:category/>
</cp:coreProperties>
</file>