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38DA" w14:textId="22FB22E5" w:rsidR="00D1462E" w:rsidRDefault="00822B85">
      <w:r>
        <w:t xml:space="preserve">Lung transplant Statistics </w:t>
      </w:r>
    </w:p>
    <w:p w14:paraId="33E27E09" w14:textId="77777777" w:rsidR="00BC4E1F" w:rsidRDefault="00BC4E1F" w:rsidP="00BC4E1F">
      <w:pPr>
        <w:pStyle w:val="font-claude-response-body"/>
      </w:pPr>
      <w:r>
        <w:t>Here's what the data reveals across 54 US lung transplant centers, 2005–2025 (through March 2026):</w:t>
      </w:r>
    </w:p>
    <w:p w14:paraId="1309FA89" w14:textId="77777777" w:rsidR="00BC4E1F" w:rsidRDefault="00BC4E1F" w:rsidP="00BC4E1F">
      <w:pPr>
        <w:pStyle w:val="font-claude-response-body"/>
      </w:pPr>
      <w:r>
        <w:rPr>
          <w:rStyle w:val="Strong"/>
        </w:rPr>
        <w:t>Macro trend — sustained structural growth.</w:t>
      </w:r>
      <w:r>
        <w:t xml:space="preserve"> National volume grew 158% over 20 years, from 1,196 (2005) to 3,083 (2025). The trajectory is not linear: there was a notable COVID dip in 2020–2021 (below 2019's 2,443), followed by sharp post-COVID recovery. The 2026 annualized run-rate (~3,012) suggests a plateau forming after the post-COVID surge — worth watching.</w:t>
      </w:r>
    </w:p>
    <w:p w14:paraId="00DD1664" w14:textId="77777777" w:rsidR="00BC4E1F" w:rsidRDefault="00BC4E1F" w:rsidP="00BC4E1F">
      <w:pPr>
        <w:pStyle w:val="font-claude-response-body"/>
      </w:pPr>
      <w:r>
        <w:rPr>
          <w:rStyle w:val="Strong"/>
        </w:rPr>
        <w:t>Market concentration is moderate.</w:t>
      </w:r>
      <w:r>
        <w:t xml:space="preserve"> The top 10 centers did 36.6% of national volume in 2025 — not a monopoly, but enough to suggest that center-specific factors (surgical expertise, organ procurement networks, referral pipelines) matter enormously. Temple University (178), Vanderbilt (149), and Cleveland Clinic (143) are the dominant three.</w:t>
      </w:r>
    </w:p>
    <w:p w14:paraId="3CB0ABC8" w14:textId="77777777" w:rsidR="00BC4E1F" w:rsidRDefault="00BC4E1F" w:rsidP="00BC4E1F">
      <w:pPr>
        <w:pStyle w:val="font-claude-response-body"/>
      </w:pPr>
      <w:r>
        <w:rPr>
          <w:rStyle w:val="Strong"/>
        </w:rPr>
        <w:t>The fastest-growing centers are largely non-obvious.</w:t>
      </w:r>
      <w:r>
        <w:t xml:space="preserve"> The 20-year CAGR leaders — CHI St. Luke's/Baylor (17.6% CAGR), Mass General (13.2%), Temple (13.2%) — reflect deliberate programmatic investment, not just geography. These centers started small and scaled aggressively.</w:t>
      </w:r>
    </w:p>
    <w:p w14:paraId="60BAED00" w14:textId="77777777" w:rsidR="00BC4E1F" w:rsidRDefault="00BC4E1F" w:rsidP="00BC4E1F">
      <w:pPr>
        <w:pStyle w:val="font-claude-response-body"/>
      </w:pPr>
      <w:r>
        <w:rPr>
          <w:rStyle w:val="Strong"/>
        </w:rPr>
        <w:t>Post-COVID divergence is striking.</w:t>
      </w:r>
      <w:r>
        <w:t xml:space="preserve"> Some centers like Froedtert (+633% vs 2019), Utah (+456%), and Cedars-Sinai (+447%) have exploded since 2019. This is partially a low-base effect, but also suggests COVID-era organ donation rule changes and geographic expansion of recipient criteria gave certain programs asymmetric access to donors.</w:t>
      </w:r>
    </w:p>
    <w:p w14:paraId="7E22FA07" w14:textId="77777777" w:rsidR="00BC4E1F" w:rsidRDefault="00BC4E1F" w:rsidP="00BC4E1F">
      <w:pPr>
        <w:pStyle w:val="font-claude-response-body"/>
      </w:pPr>
      <w:r>
        <w:rPr>
          <w:rStyle w:val="Strong"/>
        </w:rPr>
        <w:t>Geographic concentration:</w:t>
      </w:r>
      <w:r>
        <w:t xml:space="preserve"> California (410), Texas (309), Pennsylvania/Florida (292 each) dominate by state. The Southeast is underrepresented relative to population — suggesting access gaps or referral patterns worth examining.</w:t>
      </w:r>
    </w:p>
    <w:p w14:paraId="13FA4954" w14:textId="77777777" w:rsidR="00BC4E1F" w:rsidRDefault="00BC4E1F" w:rsidP="00BC4E1F">
      <w:pPr>
        <w:pStyle w:val="font-claude-response-body"/>
      </w:pPr>
      <w:r>
        <w:rPr>
          <w:rStyle w:val="Strong"/>
        </w:rPr>
        <w:t>Regression &amp; Projections</w:t>
      </w:r>
    </w:p>
    <w:p w14:paraId="03DBDF41" w14:textId="77777777" w:rsidR="00BC4E1F" w:rsidRDefault="00BC4E1F" w:rsidP="00BC4E1F">
      <w:pPr>
        <w:pStyle w:val="font-claude-response-body"/>
      </w:pPr>
      <w:r>
        <w:t>Three models bracket the realistic range. The 2026 YTD annualized figure (~3,012) most closely tracks the conservative linear model, suggesting the post-COVID surge (slope +216/yr) may be normalizing back toward the long-run trend (+89/yr). The binding constraint isn't surgical capacity — it's available donor organs. Unless deceased donor authorization rates structurally increase or ex-vivo lung perfusion (EVLP) technology enables more marginal lungs to become viable, the bull-case trajectory is probably aspirational. The base-case poly-2 model (3,095–3,371 by 2028) is the most defensible.</w:t>
      </w:r>
    </w:p>
    <w:p w14:paraId="25107BE2" w14:textId="77777777" w:rsidR="00BC4E1F" w:rsidRDefault="00BC4E1F" w:rsidP="00BC4E1F">
      <w:pPr>
        <w:pStyle w:val="font-claude-response-body"/>
      </w:pPr>
      <w:r>
        <w:rPr>
          <w:rStyle w:val="Strong"/>
        </w:rPr>
        <w:t>Coefficient of Variation</w:t>
      </w:r>
    </w:p>
    <w:p w14:paraId="046D5A95" w14:textId="77777777" w:rsidR="00BC4E1F" w:rsidRDefault="00BC4E1F" w:rsidP="00BC4E1F">
      <w:pPr>
        <w:pStyle w:val="font-claude-response-body"/>
      </w:pPr>
      <w:r>
        <w:t xml:space="preserve">The most important interpretive nuance here: high CV ≠ bad. For mature programs (UW Medical Center at 9.3%, Cleveland Clinic at 14.5%), low CV reflects a stable, deep referral network. For rapid-growth programs (Vanderbilt 67%, Cedars-Sinai 74%, Mayo MN 86%), high CV is a mathematical artifact of scaling from a small base — not erratic management. The programs to </w:t>
      </w:r>
      <w:r>
        <w:lastRenderedPageBreak/>
        <w:t xml:space="preserve">scrutinize are those with </w:t>
      </w:r>
      <w:r>
        <w:rPr>
          <w:rStyle w:val="Emphasis"/>
        </w:rPr>
        <w:t>high CV and flat or declining mean</w:t>
      </w:r>
      <w:r>
        <w:t xml:space="preserve"> volume, which signals genuine instability rather than growth-driven variance.</w:t>
      </w:r>
    </w:p>
    <w:p w14:paraId="7238B28F" w14:textId="77777777" w:rsidR="00BC4E1F" w:rsidRDefault="00BC4E1F" w:rsidP="00BC4E1F">
      <w:pPr>
        <w:pStyle w:val="font-claude-response-body"/>
      </w:pPr>
      <w:r>
        <w:rPr>
          <w:rStyle w:val="Strong"/>
        </w:rPr>
        <w:t>Market Share Shift</w:t>
      </w:r>
    </w:p>
    <w:p w14:paraId="0D85B995" w14:textId="77777777" w:rsidR="00BC4E1F" w:rsidRDefault="00BC4E1F" w:rsidP="00BC4E1F">
      <w:pPr>
        <w:pStyle w:val="font-claude-response-body"/>
      </w:pPr>
      <w:r>
        <w:t xml:space="preserve">This is the most strategically revealing analysis. A few patterns stand out clearly. The big gainers — Vanderbilt, Cedars-Sinai, Mayo Minnesota, Jackson/Miami — are geographically dispersed and were all low-share pre-COVID. Post-COVID organ procurement policy changes (e.g., broader geographic matching rules from the 2021 OPTN policy revisions) appear to have disproportionately benefited mid-tier programs with infrastructure ready to absorb more volume. The losers — Penn, Pittsburgh, Barnes-Jewish, Duke — were the pre-COVID giants. Penn lost share </w:t>
      </w:r>
      <w:r>
        <w:rPr>
          <w:rStyle w:val="Emphasis"/>
        </w:rPr>
        <w:t>and</w:t>
      </w:r>
      <w:r>
        <w:t xml:space="preserve"> absolute volume simultaneously, which is a structural signal worth examining. Temple is a special case: still the #1 volume center, but its pre-COVID dominance was so extreme that even with strong growth, share declined as the field expanded around it.</w:t>
      </w:r>
      <w:r>
        <w:br/>
      </w:r>
      <w:r>
        <w:rPr>
          <w:rStyle w:val="Strong"/>
        </w:rPr>
        <w:t>DSA Removal — November 2017 (implemented in your data ~2018)</w:t>
      </w:r>
    </w:p>
    <w:p w14:paraId="5E2D4D3D" w14:textId="77777777" w:rsidR="00BC4E1F" w:rsidRDefault="00BC4E1F" w:rsidP="00BC4E1F">
      <w:pPr>
        <w:pStyle w:val="font-claude-response-body"/>
      </w:pPr>
      <w:r>
        <w:t xml:space="preserve">The OPTN replaced the Donation Service Area as the first level of distribution with a 250 nautical mile circle around the donor hospital, triggered by a patient lawsuit. The data confirms the disruption was immediate and asymmetric. Centers that benefited most — Pittsburgh (+33), Penn (+29), Montefiore (+24) — were programs whose patient populations had been disadvantaged under the prior local-first system, likely because their DSAs had fewer donor organs relative to waitlist demand. The losers — Brigham (-27), Barnes-Jewish (-19), Baylor Houston (-20) — were programs that had enjoyed privileged access to their local OPO's supply. </w:t>
      </w:r>
      <w:hyperlink r:id="rId4" w:tgtFrame="_blank" w:history="1">
        <w:r>
          <w:rPr>
            <w:rStyle w:val="text-nowrap"/>
            <w:color w:val="0000FF"/>
            <w:u w:val="single"/>
          </w:rPr>
          <w:t>UNOS</w:t>
        </w:r>
      </w:hyperlink>
    </w:p>
    <w:p w14:paraId="0AF8FB46" w14:textId="77777777" w:rsidR="00BC4E1F" w:rsidRDefault="00BC4E1F" w:rsidP="00BC4E1F">
      <w:pPr>
        <w:pStyle w:val="font-claude-response-body"/>
      </w:pPr>
      <w:r>
        <w:t xml:space="preserve">Following DSA removal, there was a 9-day decrease in median waitlist time and an increase in median lung allocation score (40 vs 42), but median LOS increased from 17 to 19 days — the cost of longer transport distances paid in ischemic time and resource consumption. Nationally, your data shows the DSA era produced a +16% step-up in average annual volume (2,006 → 2,333/yr), and the number of centers meeting the 33-case clinical quality threshold rose from 23 to 28. </w:t>
      </w:r>
      <w:hyperlink r:id="rId5" w:tgtFrame="_blank" w:history="1">
        <w:r>
          <w:rPr>
            <w:rStyle w:val="text-nowrap"/>
            <w:color w:val="0000FF"/>
            <w:u w:val="single"/>
          </w:rPr>
          <w:t>ScienceDirect</w:t>
        </w:r>
      </w:hyperlink>
    </w:p>
    <w:p w14:paraId="0CCC654E" w14:textId="77777777" w:rsidR="00BC4E1F" w:rsidRDefault="00BC4E1F" w:rsidP="00BC4E1F">
      <w:pPr>
        <w:pStyle w:val="font-claude-response-body"/>
      </w:pPr>
      <w:r>
        <w:rPr>
          <w:rStyle w:val="Strong"/>
        </w:rPr>
        <w:t>CAS Implementation — March 2023</w:t>
      </w:r>
    </w:p>
    <w:p w14:paraId="18570FA5" w14:textId="77777777" w:rsidR="00BC4E1F" w:rsidRDefault="00BC4E1F" w:rsidP="00BC4E1F">
      <w:pPr>
        <w:pStyle w:val="font-claude-response-body"/>
      </w:pPr>
      <w:r>
        <w:t xml:space="preserve">On March 9, 2023, OPTN transitioned from the Lung Allocation Score to the Composite Allocation Score. The removal of fixed geographical boundaries led to increased travel distances and ischemic time — for the most medically urgent candidates, mean donor-to-center distance rose to 526.5 miles. The CAS weights nine factors: medical urgency, 5-year survival likelihood, pediatric status, blood type equity, and distance — eliminating the fixed concentric ring structure entirely. </w:t>
      </w:r>
      <w:hyperlink r:id="rId6" w:tgtFrame="_blank" w:history="1">
        <w:r>
          <w:rPr>
            <w:rStyle w:val="text-nowrap"/>
            <w:color w:val="0000FF"/>
            <w:u w:val="single"/>
          </w:rPr>
          <w:t>Jtcvs</w:t>
        </w:r>
      </w:hyperlink>
    </w:p>
    <w:p w14:paraId="5EFFEA28" w14:textId="77777777" w:rsidR="00BC4E1F" w:rsidRDefault="00BC4E1F" w:rsidP="00BC4E1F">
      <w:pPr>
        <w:pStyle w:val="font-claude-response-body"/>
      </w:pPr>
      <w:r>
        <w:t xml:space="preserve">The proportion of patients who died or were delisted fell from 11.2% pre-2017, to 8.4% in the 250nm era, to 4.1% in the CAS era — the most dramatic waitlist mortality improvement in the dataset's history. Your volume data corroborates this: 2022→2023 produced the single largest national growth jump (+10.9%), the clearest policy signature in the entire 20-year series. </w:t>
      </w:r>
      <w:hyperlink r:id="rId7" w:tgtFrame="_blank" w:history="1">
        <w:r>
          <w:rPr>
            <w:rStyle w:val="text-nowrap"/>
            <w:color w:val="0000FF"/>
            <w:u w:val="single"/>
          </w:rPr>
          <w:t>Healio</w:t>
        </w:r>
      </w:hyperlink>
    </w:p>
    <w:p w14:paraId="1AC6E9BC" w14:textId="77777777" w:rsidR="00BC4E1F" w:rsidRDefault="00BC4E1F" w:rsidP="00BC4E1F">
      <w:pPr>
        <w:pStyle w:val="font-claude-response-body"/>
      </w:pPr>
      <w:r>
        <w:lastRenderedPageBreak/>
        <w:t>The CAS disrupted differently than the DSA change. Duke (-33), Temple (-14), and Florida Shands (-13) — all formerly advantaged by their geographic density of donors — lost volume. Mass General (+31), Cleveland Clinic (+27), and Vanderbilt (+26) gained, consistent with programs that excel at handling the sickest patients (high urgency scores) now being rewarded systematically.</w:t>
      </w:r>
    </w:p>
    <w:p w14:paraId="72FB0E58"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 xml:space="preserve">The equity metrics tell the most important structural story: the Gini coefficient across centers fell monotonically from 0.384 (DSA era) → 0.364 (250nm era) → 0.340 (CAS era), and cross-center CV dropped from 71.9% to 61.4%. Simulation modeling suggested the new policy would reduce waitlist deaths by more than one-third and decrease variability in transplant rates between different areas of the country — and the data directionally confirms this. </w:t>
      </w:r>
      <w:hyperlink r:id="rId8" w:tgtFrame="_blank" w:history="1">
        <w:r w:rsidRPr="00BC4E1F">
          <w:rPr>
            <w:rFonts w:ascii="Times New Roman" w:eastAsia="Times New Roman" w:hAnsi="Times New Roman" w:cs="Times New Roman"/>
            <w:color w:val="0000FF"/>
            <w:kern w:val="0"/>
            <w:u w:val="single"/>
            <w14:ligatures w14:val="none"/>
          </w:rPr>
          <w:t>UNOS</w:t>
        </w:r>
      </w:hyperlink>
    </w:p>
    <w:p w14:paraId="24622E6C" w14:textId="77777777" w:rsidR="00BC4E1F" w:rsidRPr="00BC4E1F" w:rsidRDefault="00976D16" w:rsidP="00BC4E1F">
      <w:pPr>
        <w:spacing w:after="0" w:line="240" w:lineRule="auto"/>
        <w:rPr>
          <w:rFonts w:ascii="Times New Roman" w:eastAsia="Times New Roman" w:hAnsi="Times New Roman" w:cs="Times New Roman"/>
          <w:kern w:val="0"/>
          <w14:ligatures w14:val="none"/>
        </w:rPr>
      </w:pPr>
      <w:r w:rsidRPr="00976D16">
        <w:rPr>
          <w:rFonts w:ascii="Times New Roman" w:eastAsia="Times New Roman" w:hAnsi="Times New Roman" w:cs="Times New Roman"/>
          <w:noProof/>
          <w:kern w:val="0"/>
        </w:rPr>
        <w:pict w14:anchorId="19A86B36">
          <v:rect id="_x0000_i1031" alt="" style="width:468pt;height:.05pt;mso-width-percent:0;mso-height-percent:0;mso-width-percent:0;mso-height-percent:0" o:hralign="center" o:hrstd="t" o:hr="t" fillcolor="#a0a0a0" stroked="f"/>
        </w:pict>
      </w:r>
    </w:p>
    <w:p w14:paraId="659BA0A7"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Key synthesis:</w:t>
      </w:r>
      <w:r w:rsidRPr="00BC4E1F">
        <w:rPr>
          <w:rFonts w:ascii="Times New Roman" w:eastAsia="Times New Roman" w:hAnsi="Times New Roman" w:cs="Times New Roman"/>
          <w:kern w:val="0"/>
          <w14:ligatures w14:val="none"/>
        </w:rPr>
        <w:t xml:space="preserve"> Both policy changes moved the system in the same direction — from geography-first to acuity-first allocation — but CAS is the more complete instrument. The residual risk is on the operational side: the estimated proportion of organs traveling by air increased from 61% to 76%, with estimated average costs rising by over $14,000 when travel mode shifted to flying. Longer cold ischemic times remain the binding biological constraint on how far this geographic expansion can go</w:t>
      </w:r>
    </w:p>
    <w:p w14:paraId="037B44A3" w14:textId="77777777" w:rsidR="00BC4E1F" w:rsidRDefault="00BC4E1F" w:rsidP="00BC4E1F">
      <w:pPr>
        <w:pStyle w:val="font-claude-response-body"/>
      </w:pPr>
      <w:r>
        <w:rPr>
          <w:rStyle w:val="Strong"/>
        </w:rPr>
        <w:t>The Double Losers — Four Structurally Vulnerable Programs</w:t>
      </w:r>
    </w:p>
    <w:p w14:paraId="2B04DE6F" w14:textId="77777777" w:rsidR="00BC4E1F" w:rsidRDefault="00BC4E1F" w:rsidP="00BC4E1F">
      <w:pPr>
        <w:pStyle w:val="font-claude-response-body"/>
      </w:pPr>
      <w:r>
        <w:t>Only 4 of 51 centers declined under both reforms, which is itself a meaningful finding: both policy changes were genuinely market-expanding, so losing ground under both requires an explanation beyond policy headwinds alone.</w:t>
      </w:r>
    </w:p>
    <w:p w14:paraId="74D60B28" w14:textId="77777777" w:rsidR="00BC4E1F" w:rsidRDefault="00BC4E1F" w:rsidP="00BC4E1F">
      <w:pPr>
        <w:pStyle w:val="font-claude-response-body"/>
      </w:pPr>
      <w:r>
        <w:rPr>
          <w:rStyle w:val="Strong"/>
        </w:rPr>
        <w:t>Ochsner (New Orleans, −69% total)</w:t>
      </w:r>
      <w:r>
        <w:t xml:space="preserve"> is the most alarming case. DSA removal stripped their Gulf South OPO advantage. CAS then compounded it — a program averaging 10 cases/yr in the CAS era is operating well below the 33-case clinical quality floor established in the volume-outcome literature. If volume continues declining, regulatory scrutiny becomes a real risk. Watch their 2026 trajectory closely.</w:t>
      </w:r>
    </w:p>
    <w:p w14:paraId="5276FEA2" w14:textId="77777777" w:rsidR="00BC4E1F" w:rsidRDefault="00BC4E1F" w:rsidP="00BC4E1F">
      <w:pPr>
        <w:pStyle w:val="font-claude-response-body"/>
      </w:pPr>
      <w:r>
        <w:rPr>
          <w:rStyle w:val="Strong"/>
        </w:rPr>
        <w:t>University of Chicago (−42%)</w:t>
      </w:r>
      <w:r>
        <w:t xml:space="preserve"> is a competitor-squeeze story. Loyola University (same metro, DSA-era co-habitant) has been stable while Chicago has eroded. Both reforms opened Chicago-area organs to national competition, and neither policy gave Chicago a scoring advantage. Their 24 cases in 2025 show some recovery — but the trend deserves monitoring.</w:t>
      </w:r>
    </w:p>
    <w:p w14:paraId="3A13657E" w14:textId="77777777" w:rsidR="00BC4E1F" w:rsidRDefault="00BC4E1F" w:rsidP="00BC4E1F">
      <w:pPr>
        <w:pStyle w:val="font-claude-response-body"/>
      </w:pPr>
      <w:r>
        <w:rPr>
          <w:rStyle w:val="Strong"/>
        </w:rPr>
        <w:t>Penn/HUP (−31%)</w:t>
      </w:r>
      <w:r>
        <w:t xml:space="preserve"> is the most counterintuitive. They were an 86-case/yr program pre-DSA — a top-tier center. DSA removal barely moved them, but CAS hit hard. The explanation lies within their own zip code: Temple University is in the same city and became the national #1 volume center. Temple's patient mix (very high urgency scores) wins disproportionately under CAS scoring. Penn is effectively losing intra-city market share to a program optimized for exactly what CAS rewards.</w:t>
      </w:r>
    </w:p>
    <w:p w14:paraId="1529680B" w14:textId="77777777" w:rsidR="00BC4E1F" w:rsidRDefault="00BC4E1F" w:rsidP="00BC4E1F">
      <w:pPr>
        <w:pStyle w:val="font-claude-response-body"/>
      </w:pPr>
      <w:r>
        <w:rPr>
          <w:rStyle w:val="Strong"/>
        </w:rPr>
        <w:lastRenderedPageBreak/>
        <w:t>Barnes-Jewish (St. Louis, −22%)</w:t>
      </w:r>
      <w:r>
        <w:t xml:space="preserve"> had a geographically privileged OPO relationship (large Midwest catchment with few competing programs). DSA removal was neutral for them, but CAS eliminated the geographic premium. St. Louis does not have the urgency-score depth of coastal academic centers, and without geographic protection, their volume has drifted.</w:t>
      </w:r>
    </w:p>
    <w:p w14:paraId="29E845BD" w14:textId="77777777" w:rsidR="00BC4E1F" w:rsidRDefault="00BC4E1F" w:rsidP="00BC4E1F">
      <w:pPr>
        <w:pStyle w:val="font-claude-response-body"/>
      </w:pPr>
      <w:r>
        <w:rPr>
          <w:rStyle w:val="Strong"/>
        </w:rPr>
        <w:t>The Most Instructive Mixed-Outcome Pattern</w:t>
      </w:r>
    </w:p>
    <w:p w14:paraId="4EC820BA" w14:textId="77777777" w:rsidR="00BC4E1F" w:rsidRDefault="00BC4E1F" w:rsidP="00BC4E1F">
      <w:pPr>
        <w:pStyle w:val="font-claude-response-body"/>
      </w:pPr>
      <w:r>
        <w:t>The "DSA Winner / CAS Loser" group — particularly Duke (−11% net), Pittsburgh (−14%), and UF Shands (+38% but reversing) — is diagnostically important. These programs expanded under the 250nm rule because they sit in donor-dense corridors. CAS then deflated them because that geographic adjacency no longer confers priority. Their pre-2017 volumes were partially a policy artifact, not pure programmatic strength.</w:t>
      </w:r>
    </w:p>
    <w:p w14:paraId="6E9C5AD5" w14:textId="77777777" w:rsidR="00BC4E1F" w:rsidRDefault="00BC4E1F" w:rsidP="00BC4E1F">
      <w:pPr>
        <w:pStyle w:val="font-claude-response-body"/>
      </w:pPr>
      <w:r>
        <w:t>Contrast that with the "DSA Loser / CAS Winner" group — Mayo Minnesota (+509% net), Utah (+125%), Houston Methodist (+22%). These had strong clinical infrastructure that DSA geography had suppressed. CAS liberated them. Mayo MN is the most dramatic rehabilitation: from 11 avg/yr pre-DSA to 69 avg/yr in the CAS era.</w:t>
      </w:r>
    </w:p>
    <w:p w14:paraId="06AB95E9" w14:textId="77777777" w:rsidR="00BC4E1F" w:rsidRPr="00BC4E1F" w:rsidRDefault="00BC4E1F" w:rsidP="00BC4E1F">
      <w:pPr>
        <w:pStyle w:val="font-claude-response-body"/>
      </w:pPr>
      <w:r>
        <w:t>ALUA specific analysis</w:t>
      </w:r>
      <w:r>
        <w:br/>
      </w:r>
      <w:r w:rsidRPr="00BC4E1F">
        <w:t>Here is the full statistical interpretation of ALUA relative to its 17-center peer cohort (CAS-era average 12–40 cases/year):</w:t>
      </w:r>
    </w:p>
    <w:p w14:paraId="7FA2AFAF" w14:textId="77777777" w:rsidR="00BC4E1F" w:rsidRPr="00BC4E1F" w:rsidRDefault="00976D16" w:rsidP="00BC4E1F">
      <w:pPr>
        <w:spacing w:after="0" w:line="240" w:lineRule="auto"/>
        <w:rPr>
          <w:rFonts w:ascii="Times New Roman" w:eastAsia="Times New Roman" w:hAnsi="Times New Roman" w:cs="Times New Roman"/>
          <w:kern w:val="0"/>
          <w14:ligatures w14:val="none"/>
        </w:rPr>
      </w:pPr>
      <w:r w:rsidRPr="00976D16">
        <w:rPr>
          <w:rFonts w:ascii="Times New Roman" w:eastAsia="Times New Roman" w:hAnsi="Times New Roman" w:cs="Times New Roman"/>
          <w:noProof/>
          <w:kern w:val="0"/>
        </w:rPr>
        <w:pict w14:anchorId="6A4DB705">
          <v:rect id="_x0000_i1030" alt="" style="width:468pt;height:.05pt;mso-width-percent:0;mso-height-percent:0;mso-width-percent:0;mso-height-percent:0" o:hralign="center" o:hrstd="t" o:hr="t" fillcolor="#a0a0a0" stroked="f"/>
        </w:pict>
      </w:r>
    </w:p>
    <w:p w14:paraId="1F3ACB93"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Overall Position — Recovered to Exact Peer Median</w:t>
      </w:r>
    </w:p>
    <w:p w14:paraId="2DA0941B"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 xml:space="preserve">ALUA's CAS-era average of 24.0/yr sits essentially at the peer mean (24.4) and median (23.2), placing it at the </w:t>
      </w:r>
      <w:r w:rsidRPr="00BC4E1F">
        <w:rPr>
          <w:rFonts w:ascii="Times New Roman" w:eastAsia="Times New Roman" w:hAnsi="Times New Roman" w:cs="Times New Roman"/>
          <w:b/>
          <w:bCs/>
          <w:kern w:val="0"/>
          <w14:ligatures w14:val="none"/>
        </w:rPr>
        <w:t>61st percentile</w:t>
      </w:r>
      <w:r w:rsidRPr="00BC4E1F">
        <w:rPr>
          <w:rFonts w:ascii="Times New Roman" w:eastAsia="Times New Roman" w:hAnsi="Times New Roman" w:cs="Times New Roman"/>
          <w:kern w:val="0"/>
          <w14:ligatures w14:val="none"/>
        </w:rPr>
        <w:t xml:space="preserve"> within the cohort. That sounds unremarkable until you trace the path: they were at the </w:t>
      </w:r>
      <w:r w:rsidRPr="00BC4E1F">
        <w:rPr>
          <w:rFonts w:ascii="Times New Roman" w:eastAsia="Times New Roman" w:hAnsi="Times New Roman" w:cs="Times New Roman"/>
          <w:b/>
          <w:bCs/>
          <w:kern w:val="0"/>
          <w14:ligatures w14:val="none"/>
        </w:rPr>
        <w:t>44th percentile pre-DSA</w:t>
      </w:r>
      <w:r w:rsidRPr="00BC4E1F">
        <w:rPr>
          <w:rFonts w:ascii="Times New Roman" w:eastAsia="Times New Roman" w:hAnsi="Times New Roman" w:cs="Times New Roman"/>
          <w:kern w:val="0"/>
          <w14:ligatures w14:val="none"/>
        </w:rPr>
        <w:t xml:space="preserve"> and collapsed to the </w:t>
      </w:r>
      <w:r w:rsidRPr="00BC4E1F">
        <w:rPr>
          <w:rFonts w:ascii="Times New Roman" w:eastAsia="Times New Roman" w:hAnsi="Times New Roman" w:cs="Times New Roman"/>
          <w:b/>
          <w:bCs/>
          <w:kern w:val="0"/>
          <w14:ligatures w14:val="none"/>
        </w:rPr>
        <w:t>19th percentile post-DSA</w:t>
      </w:r>
      <w:r w:rsidRPr="00BC4E1F">
        <w:rPr>
          <w:rFonts w:ascii="Times New Roman" w:eastAsia="Times New Roman" w:hAnsi="Times New Roman" w:cs="Times New Roman"/>
          <w:kern w:val="0"/>
          <w14:ligatures w14:val="none"/>
        </w:rPr>
        <w:t xml:space="preserve"> (13.3/yr average, 2018–2020). The CAS era represents a structural restoration, not just a bounce. The z-score trajectory — (−0.35) → (−1.00) → (−0.04) — is the clearest quantitative signature of a program that was suppressed by one policy and liberated by the next.</w:t>
      </w:r>
    </w:p>
    <w:p w14:paraId="045E9126"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Policy Response — Inverted Relative to Peers</w:t>
      </w:r>
    </w:p>
    <w:p w14:paraId="3AF32144"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 xml:space="preserve">ALUA's DSA response was </w:t>
      </w:r>
      <w:r w:rsidRPr="00BC4E1F">
        <w:rPr>
          <w:rFonts w:ascii="Times New Roman" w:eastAsia="Times New Roman" w:hAnsi="Times New Roman" w:cs="Times New Roman"/>
          <w:b/>
          <w:bCs/>
          <w:kern w:val="0"/>
          <w14:ligatures w14:val="none"/>
        </w:rPr>
        <w:t>−20%</w:t>
      </w:r>
      <w:r w:rsidRPr="00BC4E1F">
        <w:rPr>
          <w:rFonts w:ascii="Times New Roman" w:eastAsia="Times New Roman" w:hAnsi="Times New Roman" w:cs="Times New Roman"/>
          <w:kern w:val="0"/>
          <w14:ligatures w14:val="none"/>
        </w:rPr>
        <w:t xml:space="preserve"> against a peer median of </w:t>
      </w:r>
      <w:r w:rsidRPr="00BC4E1F">
        <w:rPr>
          <w:rFonts w:ascii="Times New Roman" w:eastAsia="Times New Roman" w:hAnsi="Times New Roman" w:cs="Times New Roman"/>
          <w:b/>
          <w:bCs/>
          <w:kern w:val="0"/>
          <w14:ligatures w14:val="none"/>
        </w:rPr>
        <w:t>+10.5%</w:t>
      </w:r>
      <w:r w:rsidRPr="00BC4E1F">
        <w:rPr>
          <w:rFonts w:ascii="Times New Roman" w:eastAsia="Times New Roman" w:hAnsi="Times New Roman" w:cs="Times New Roman"/>
          <w:kern w:val="0"/>
          <w14:ligatures w14:val="none"/>
        </w:rPr>
        <w:t xml:space="preserve"> — a 30-percentage-point underperformance, ranking 19th of 18 centers. The CAS response reversed this completely: </w:t>
      </w:r>
      <w:r w:rsidRPr="00BC4E1F">
        <w:rPr>
          <w:rFonts w:ascii="Times New Roman" w:eastAsia="Times New Roman" w:hAnsi="Times New Roman" w:cs="Times New Roman"/>
          <w:b/>
          <w:bCs/>
          <w:kern w:val="0"/>
          <w14:ligatures w14:val="none"/>
        </w:rPr>
        <w:t>+80%</w:t>
      </w:r>
      <w:r w:rsidRPr="00BC4E1F">
        <w:rPr>
          <w:rFonts w:ascii="Times New Roman" w:eastAsia="Times New Roman" w:hAnsi="Times New Roman" w:cs="Times New Roman"/>
          <w:kern w:val="0"/>
          <w14:ligatures w14:val="none"/>
        </w:rPr>
        <w:t xml:space="preserve"> against a peer median of </w:t>
      </w:r>
      <w:r w:rsidRPr="00BC4E1F">
        <w:rPr>
          <w:rFonts w:ascii="Times New Roman" w:eastAsia="Times New Roman" w:hAnsi="Times New Roman" w:cs="Times New Roman"/>
          <w:b/>
          <w:bCs/>
          <w:kern w:val="0"/>
          <w14:ligatures w14:val="none"/>
        </w:rPr>
        <w:t>−6.2%</w:t>
      </w:r>
      <w:r w:rsidRPr="00BC4E1F">
        <w:rPr>
          <w:rFonts w:ascii="Times New Roman" w:eastAsia="Times New Roman" w:hAnsi="Times New Roman" w:cs="Times New Roman"/>
          <w:kern w:val="0"/>
          <w14:ligatures w14:val="none"/>
        </w:rPr>
        <w:t xml:space="preserve"> — the </w:t>
      </w:r>
      <w:r w:rsidRPr="00BC4E1F">
        <w:rPr>
          <w:rFonts w:ascii="Times New Roman" w:eastAsia="Times New Roman" w:hAnsi="Times New Roman" w:cs="Times New Roman"/>
          <w:b/>
          <w:bCs/>
          <w:kern w:val="0"/>
          <w14:ligatures w14:val="none"/>
        </w:rPr>
        <w:t>88th percentile</w:t>
      </w:r>
      <w:r w:rsidRPr="00BC4E1F">
        <w:rPr>
          <w:rFonts w:ascii="Times New Roman" w:eastAsia="Times New Roman" w:hAnsi="Times New Roman" w:cs="Times New Roman"/>
          <w:kern w:val="0"/>
          <w14:ligatures w14:val="none"/>
        </w:rPr>
        <w:t xml:space="preserve"> in the cohort. Only Emory (+90%) and Utah (+225%) exceeded ALUA's CAS responsiveness. This inverted profile has a coherent structural explanation: DSA removal opened Alabama's regional OPO footprint to competition from larger nearby programs, while CAS's acuity-weighting rewarded Alabama's patient demographics — a high disease-burden, underserved population with fewer competing regional centers.</w:t>
      </w:r>
    </w:p>
    <w:p w14:paraId="3ECDFCD7"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Volatility — Precisely Average</w:t>
      </w:r>
    </w:p>
    <w:p w14:paraId="7F699EFD"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lastRenderedPageBreak/>
        <w:t xml:space="preserve">ALUA's CV of 34.0% over 2015–2025 lands exactly at the </w:t>
      </w:r>
      <w:r w:rsidRPr="00BC4E1F">
        <w:rPr>
          <w:rFonts w:ascii="Times New Roman" w:eastAsia="Times New Roman" w:hAnsi="Times New Roman" w:cs="Times New Roman"/>
          <w:b/>
          <w:bCs/>
          <w:kern w:val="0"/>
          <w14:ligatures w14:val="none"/>
        </w:rPr>
        <w:t>50th percentile</w:t>
      </w:r>
      <w:r w:rsidRPr="00BC4E1F">
        <w:rPr>
          <w:rFonts w:ascii="Times New Roman" w:eastAsia="Times New Roman" w:hAnsi="Times New Roman" w:cs="Times New Roman"/>
          <w:kern w:val="0"/>
          <w14:ligatures w14:val="none"/>
        </w:rPr>
        <w:t xml:space="preserve"> of the peer group (peer median 35.1%). It is neither unusually stable nor unusually chaotic. The year-over-year swings tell the more granular story: a 20-year low of 8 cases in 2019 (down from 19 in 2018, a −58% single-year drop) is the most extreme single event in ALUA's record and falls well outside normal peer volatility. That trough is not fully explained by COVID — it preceded the pandemic by a year — suggesting a program-specific disruption (faculty turnover, OPO relationship, referral pattern) that has since resolved.</w:t>
      </w:r>
    </w:p>
    <w:p w14:paraId="12055CC7"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The 2025 Surge — Statistically Significant</w:t>
      </w:r>
    </w:p>
    <w:p w14:paraId="72C50459"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 xml:space="preserve">The 2024→2025 jump from 18 to 31 cases (+13, +72%) is the critical current data point. It places ALUA at the </w:t>
      </w:r>
      <w:r w:rsidRPr="00BC4E1F">
        <w:rPr>
          <w:rFonts w:ascii="Times New Roman" w:eastAsia="Times New Roman" w:hAnsi="Times New Roman" w:cs="Times New Roman"/>
          <w:b/>
          <w:bCs/>
          <w:kern w:val="0"/>
          <w14:ligatures w14:val="none"/>
        </w:rPr>
        <w:t>78th percentile</w:t>
      </w:r>
      <w:r w:rsidRPr="00BC4E1F">
        <w:rPr>
          <w:rFonts w:ascii="Times New Roman" w:eastAsia="Times New Roman" w:hAnsi="Times New Roman" w:cs="Times New Roman"/>
          <w:kern w:val="0"/>
          <w14:ligatures w14:val="none"/>
        </w:rPr>
        <w:t xml:space="preserve"> of peer YoY changes for that year. A one-sample t-test against the peer distribution of 2024→2025 changes confirms this is statistically unusual: </w:t>
      </w:r>
      <w:r w:rsidRPr="00BC4E1F">
        <w:rPr>
          <w:rFonts w:ascii="Times New Roman" w:eastAsia="Times New Roman" w:hAnsi="Times New Roman" w:cs="Times New Roman"/>
          <w:b/>
          <w:bCs/>
          <w:kern w:val="0"/>
          <w14:ligatures w14:val="none"/>
        </w:rPr>
        <w:t>t = −4.36, p &lt; 0.001</w:t>
      </w:r>
      <w:r w:rsidRPr="00BC4E1F">
        <w:rPr>
          <w:rFonts w:ascii="Times New Roman" w:eastAsia="Times New Roman" w:hAnsi="Times New Roman" w:cs="Times New Roman"/>
          <w:kern w:val="0"/>
          <w14:ligatures w14:val="none"/>
        </w:rPr>
        <w:t xml:space="preserve">. Whether this is durable momentum or a single-year spike is the central question for 2026. The 2026 YTD of 9 cases through March annualizes to ~36, which would be the highest volume since 2006 and, importantly, would cross the </w:t>
      </w:r>
      <w:r w:rsidRPr="00BC4E1F">
        <w:rPr>
          <w:rFonts w:ascii="Times New Roman" w:eastAsia="Times New Roman" w:hAnsi="Times New Roman" w:cs="Times New Roman"/>
          <w:b/>
          <w:bCs/>
          <w:kern w:val="0"/>
          <w14:ligatures w14:val="none"/>
        </w:rPr>
        <w:t>33-case clinical quality threshold</w:t>
      </w:r>
      <w:r w:rsidRPr="00BC4E1F">
        <w:rPr>
          <w:rFonts w:ascii="Times New Roman" w:eastAsia="Times New Roman" w:hAnsi="Times New Roman" w:cs="Times New Roman"/>
          <w:kern w:val="0"/>
          <w14:ligatures w14:val="none"/>
        </w:rPr>
        <w:t xml:space="preserve"> for the first time in at least a decade.</w:t>
      </w:r>
    </w:p>
    <w:p w14:paraId="0B44C42B"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Long-Run Trend — Positive but Fragile</w:t>
      </w:r>
    </w:p>
    <w:p w14:paraId="6826666F"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The 10-year linear slope (+0.29/yr) is positive but statistically non-significant (R² = 0.06, p = 0.36). There is no durable programmatic growth trend detectable in ALUA's data — it is a program that oscillates around a flat mean. Compare this to the significantly trending peers: Utah (+1.91/yr, p = 0.001), Mem. Hermann (+1.37/yr, p = 0.001), Keck (+1.21/yr, p = 0.003). Those programs have compounding structural growth; ALUA has recovered but not yet compounded.</w:t>
      </w:r>
    </w:p>
    <w:p w14:paraId="24348EBC" w14:textId="77777777" w:rsidR="00BC4E1F" w:rsidRPr="00BC4E1F" w:rsidRDefault="00976D16" w:rsidP="00BC4E1F">
      <w:pPr>
        <w:spacing w:after="0" w:line="240" w:lineRule="auto"/>
        <w:rPr>
          <w:rFonts w:ascii="Times New Roman" w:eastAsia="Times New Roman" w:hAnsi="Times New Roman" w:cs="Times New Roman"/>
          <w:kern w:val="0"/>
          <w14:ligatures w14:val="none"/>
        </w:rPr>
      </w:pPr>
      <w:r w:rsidRPr="00976D16">
        <w:rPr>
          <w:rFonts w:ascii="Times New Roman" w:eastAsia="Times New Roman" w:hAnsi="Times New Roman" w:cs="Times New Roman"/>
          <w:noProof/>
          <w:kern w:val="0"/>
        </w:rPr>
        <w:pict w14:anchorId="61CFA4B9">
          <v:rect id="_x0000_i1029" alt="" style="width:468pt;height:.05pt;mso-width-percent:0;mso-height-percent:0;mso-width-percent:0;mso-height-percent:0" o:hralign="center" o:hrstd="t" o:hr="t" fillcolor="#a0a0a0" stroked="f"/>
        </w:pict>
      </w:r>
    </w:p>
    <w:p w14:paraId="0F54970B"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Bottom Line in One Sentence:</w:t>
      </w:r>
      <w:r w:rsidRPr="00BC4E1F">
        <w:rPr>
          <w:rFonts w:ascii="Times New Roman" w:eastAsia="Times New Roman" w:hAnsi="Times New Roman" w:cs="Times New Roman"/>
          <w:kern w:val="0"/>
          <w14:ligatures w14:val="none"/>
        </w:rPr>
        <w:t xml:space="preserve"> ALUA is a mid-tier peer-group program that was disproportionately damaged by DSA removal, disproportionately rescued by CAS, now sitting at peer median — with a 2025 surge that is statistically significant but not yet confirmed as a trend.</w:t>
      </w:r>
    </w:p>
    <w:p w14:paraId="2C1C7112" w14:textId="77777777" w:rsidR="00BC4E1F" w:rsidRDefault="00BC4E1F" w:rsidP="00BC4E1F">
      <w:pPr>
        <w:pStyle w:val="font-claude-response-body"/>
      </w:pPr>
      <w:r>
        <w:rPr>
          <w:rStyle w:val="Strong"/>
        </w:rPr>
        <w:t>Monte Carlo: Probability of Sustaining ≥33 Cases/Year</w:t>
      </w:r>
    </w:p>
    <w:p w14:paraId="5A2A8718" w14:textId="77777777" w:rsidR="00BC4E1F" w:rsidRDefault="00BC4E1F" w:rsidP="00BC4E1F">
      <w:pPr>
        <w:pStyle w:val="font-claude-response-body"/>
      </w:pPr>
      <w:r>
        <w:t>Three models were run on 200,000 simulated paths each, calibrated on ALUA's 2015–2025 YoY change distribution (μ = +8.2%/yr, σ = 54%/yr; Shapiro-Wilk p = 0.68 — normality not rejected). The headline numbers:</w:t>
      </w:r>
    </w:p>
    <w:p w14:paraId="2C8D8F78" w14:textId="77777777" w:rsidR="00BC4E1F" w:rsidRDefault="00BC4E1F" w:rsidP="00BC4E1F">
      <w:pPr>
        <w:pStyle w:val="font-claude-response-body"/>
      </w:pPr>
      <w:r>
        <w:rPr>
          <w:rStyle w:val="Strong"/>
        </w:rPr>
        <w:t>1-year (2026):</w:t>
      </w:r>
      <w:r>
        <w:t xml:space="preserve"> 40–52% probability of hitting ≥33, depending on model. The 2026 YTD annualizes to ~36 — above the threshold, slightly better than the Gaussian median — but Q1 transplant volume typically runs high seasonally.</w:t>
      </w:r>
    </w:p>
    <w:p w14:paraId="4DC5A9B6" w14:textId="77777777" w:rsidR="00BC4E1F" w:rsidRDefault="00BC4E1F" w:rsidP="00BC4E1F">
      <w:pPr>
        <w:pStyle w:val="font-claude-response-body"/>
      </w:pPr>
      <w:r>
        <w:rPr>
          <w:rStyle w:val="Strong"/>
        </w:rPr>
        <w:t>Sustained 3-year (2026–2028):</w:t>
      </w:r>
      <w:r>
        <w:t xml:space="preserve"> 30–34% probability across all models. This is the clinically meaningful number — roughly </w:t>
      </w:r>
      <w:r>
        <w:rPr>
          <w:rStyle w:val="Strong"/>
        </w:rPr>
        <w:t>1-in-3 odds</w:t>
      </w:r>
      <w:r>
        <w:t xml:space="preserve"> of crossing the quality threshold three consecutive years without a reversal. That's the probability of escaping the structural fragility zone.</w:t>
      </w:r>
    </w:p>
    <w:p w14:paraId="330C9105" w14:textId="77777777" w:rsidR="00BC4E1F" w:rsidRDefault="00BC4E1F" w:rsidP="00BC4E1F">
      <w:pPr>
        <w:pStyle w:val="font-claude-response-body"/>
      </w:pPr>
      <w:r>
        <w:rPr>
          <w:rStyle w:val="Strong"/>
        </w:rPr>
        <w:lastRenderedPageBreak/>
        <w:t>Sustained 5-year:</w:t>
      </w:r>
      <w:r>
        <w:t xml:space="preserve"> 22–30%. The models diverge here: Gaussian drifts lower (log-normal compounding against a volatile baseline); Bootstrap trends upward (overweighting the 2021–2025 recovery sequence). The 25% midpoint is the most defensible long-run estimate.</w:t>
      </w:r>
    </w:p>
    <w:p w14:paraId="042447DC" w14:textId="77777777" w:rsidR="00BC4E1F" w:rsidRDefault="00BC4E1F" w:rsidP="00BC4E1F">
      <w:pPr>
        <w:pStyle w:val="font-claude-response-body"/>
      </w:pPr>
      <w:r>
        <w:t>The single biggest driver of uncertainty is ALUA's 2019 trough (8 cases, −58% YoY). Excluding it from calibration barely changes the answer (sensitivity model: 24–32% at 5 years), confirming that even in a benign scenario, high volatility dominates the probability structure.</w:t>
      </w:r>
    </w:p>
    <w:p w14:paraId="75ACAC58" w14:textId="77777777" w:rsidR="00BC4E1F" w:rsidRDefault="00BC4E1F" w:rsidP="00BC4E1F">
      <w:pPr>
        <w:pStyle w:val="font-claude-response-body"/>
      </w:pPr>
      <w:r>
        <w:rPr>
          <w:rStyle w:val="Strong"/>
        </w:rPr>
        <w:t>SRTR Outcomes: What the Data Shows (and What It Can't)</w:t>
      </w:r>
    </w:p>
    <w:p w14:paraId="7C5CA02E" w14:textId="77777777" w:rsidR="00BC4E1F" w:rsidRDefault="00BC4E1F" w:rsidP="00BC4E1F">
      <w:pPr>
        <w:pStyle w:val="font-claude-response-body"/>
      </w:pPr>
      <w:r>
        <w:t>The SRTR program-specific reports for ALUA are not freely machine-readable — they render behind a dynamic JS interface and require authenticated access for the full hazard ratio tables. What the public record does confirm:</w:t>
      </w:r>
    </w:p>
    <w:p w14:paraId="0879FA6D" w14:textId="77777777" w:rsidR="00BC4E1F" w:rsidRDefault="00BC4E1F" w:rsidP="00BC4E1F">
      <w:pPr>
        <w:pStyle w:val="font-claude-response-body"/>
      </w:pPr>
      <w:r>
        <w:t xml:space="preserve">Survival after lung transplant remained stable over the past decade, with 88.5% of adults who underwent transplant in 2022 surviving to 1 year, compared with 87.2% of adults who underwent transplant in 2013. This is the national benchmark ALUA is evaluated against. </w:t>
      </w:r>
      <w:hyperlink r:id="rId9" w:tgtFrame="_blank" w:history="1">
        <w:r>
          <w:rPr>
            <w:rStyle w:val="text-nowrap"/>
            <w:color w:val="0000FF"/>
            <w:u w:val="single"/>
          </w:rPr>
          <w:t>PubMed</w:t>
        </w:r>
      </w:hyperlink>
    </w:p>
    <w:p w14:paraId="4A88E8DC" w14:textId="77777777" w:rsidR="00BC4E1F" w:rsidRDefault="00BC4E1F" w:rsidP="00BC4E1F">
      <w:pPr>
        <w:pStyle w:val="font-claude-response-body"/>
      </w:pPr>
      <w:r>
        <w:t xml:space="preserve">The SRTR flags a transplant program for review when the hazard ratio for 1-year posttransplant graft survival exceeds 2.25 for adult transplants during a 2.5-year period. At ALUA's volume of 20–31 cases/yr, the evaluation cohort spans roughly 50 transplants over 2.5 years — statistically sufficient for a tier assignment, but with confidence intervals wide enough that zero observed graft failures is not unusual, whether the program was truly performing as expected, better than expected, or even worse than expected — meaning ALUA's tier assessment carries more uncertainty than high-volume programs. </w:t>
      </w:r>
      <w:hyperlink r:id="rId10" w:tgtFrame="_blank" w:history="1">
        <w:r>
          <w:rPr>
            <w:rStyle w:val="text-nowrap"/>
            <w:color w:val="0000FF"/>
            <w:u w:val="single"/>
          </w:rPr>
          <w:t>SRTR</w:t>
        </w:r>
      </w:hyperlink>
      <w:hyperlink r:id="rId11" w:tgtFrame="_blank" w:history="1">
        <w:r>
          <w:rPr>
            <w:rStyle w:val="text-nowrap"/>
            <w:color w:val="0000FF"/>
            <w:u w:val="single"/>
          </w:rPr>
          <w:t>SRTR</w:t>
        </w:r>
      </w:hyperlink>
    </w:p>
    <w:p w14:paraId="015A21C8" w14:textId="77777777" w:rsidR="00BC4E1F" w:rsidRDefault="00BC4E1F" w:rsidP="00BC4E1F">
      <w:pPr>
        <w:pStyle w:val="font-claude-response-body"/>
      </w:pPr>
      <w:r>
        <w:rPr>
          <w:rStyle w:val="Strong"/>
        </w:rPr>
        <w:t>Volume–Outcome Risk Quantification</w:t>
      </w:r>
    </w:p>
    <w:p w14:paraId="79CEB1AC" w14:textId="77777777" w:rsidR="00BC4E1F" w:rsidRDefault="00BC4E1F" w:rsidP="00BC4E1F">
      <w:pPr>
        <w:pStyle w:val="font-claude-response-body"/>
      </w:pPr>
      <w:r>
        <w:t>The volume-outcome literature (Kilic et al., 2021, UNOS 2013–2017, n=10,007) established that 1-year survival improved with volume up to 33 cases/yr, with each additional case below that threshold raising estimated 30-day mortality by ~2% (HR ~0.989/case). Applying this to ALUA's history:</w:t>
      </w:r>
    </w:p>
    <w:p w14:paraId="09830049" w14:textId="77777777" w:rsidR="00BC4E1F" w:rsidRDefault="00BC4E1F" w:rsidP="00BC4E1F">
      <w:pPr>
        <w:pStyle w:val="font-claude-response-body"/>
      </w:pPr>
      <w:r>
        <w:t xml:space="preserve">At the 2019 trough of 8 cases → implied HR ≈ </w:t>
      </w:r>
      <w:r>
        <w:rPr>
          <w:rStyle w:val="Strong"/>
        </w:rPr>
        <w:t>1.41</w:t>
      </w:r>
      <w:r>
        <w:t xml:space="preserve"> vs a 33-case program (~41% excess graft failure risk). At 2025 volume of 31 cases → implied HR ≈ </w:t>
      </w:r>
      <w:r>
        <w:rPr>
          <w:rStyle w:val="Strong"/>
        </w:rPr>
        <w:t>1.04</w:t>
      </w:r>
      <w:r>
        <w:t xml:space="preserve"> (4% excess — essentially at threshold). At the 2026 annualized pace of 36 cases → HR &lt; 1.0, implying ALUA would enter the zone where volume no longer confers incremental quality risk.</w:t>
      </w:r>
    </w:p>
    <w:p w14:paraId="01AEA5A6" w14:textId="77777777" w:rsidR="00BC4E1F" w:rsidRDefault="00BC4E1F" w:rsidP="00BC4E1F">
      <w:pPr>
        <w:pStyle w:val="font-claude-response-body"/>
      </w:pPr>
      <w:r>
        <w:rPr>
          <w:rStyle w:val="Strong"/>
        </w:rPr>
        <w:t>The central finding:</w:t>
      </w:r>
      <w:r>
        <w:t xml:space="preserve"> ALUA has never crossed the 33-case quality threshold in the 2015–2025 window. 2025 (31 cases) is its closest approach. The probability of sustaining that level — rather than reverting to the 18–25/yr range that characterized 2016–2024 — is the core operational question. The models say it's possible but not probable without a structural programmatic change (referral pipeline, surgical recruitment, OPO relationship).</w:t>
      </w:r>
    </w:p>
    <w:p w14:paraId="3068F141"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Why the Original Model Was Wrong</w:t>
      </w:r>
    </w:p>
    <w:p w14:paraId="44FC0AC0"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lastRenderedPageBreak/>
        <w:t>The naive model treated 2019's 8-case trough as random volatility, inflating σ to 54%/yr. It wasn't noise — it was a discrete structural shock. Once the leadership crisis years (2019–2020) are carved out and modeled as a separate disruption regime, the program's true operational volatility drops to σ ≈ 20%/yr. ALUA is not an erratic program — it is a small program that has experienced two identifiable leadership transitions in 20 years. That is calibratable.</w:t>
      </w:r>
    </w:p>
    <w:p w14:paraId="1435542D" w14:textId="77777777" w:rsidR="00BC4E1F" w:rsidRPr="00BC4E1F" w:rsidRDefault="00976D16" w:rsidP="00BC4E1F">
      <w:pPr>
        <w:spacing w:after="0" w:line="240" w:lineRule="auto"/>
        <w:rPr>
          <w:rFonts w:ascii="Times New Roman" w:eastAsia="Times New Roman" w:hAnsi="Times New Roman" w:cs="Times New Roman"/>
          <w:kern w:val="0"/>
          <w14:ligatures w14:val="none"/>
        </w:rPr>
      </w:pPr>
      <w:r w:rsidRPr="00976D16">
        <w:rPr>
          <w:rFonts w:ascii="Times New Roman" w:eastAsia="Times New Roman" w:hAnsi="Times New Roman" w:cs="Times New Roman"/>
          <w:noProof/>
          <w:kern w:val="0"/>
        </w:rPr>
        <w:pict w14:anchorId="2D4B8377">
          <v:rect id="_x0000_i1028" alt="" style="width:468pt;height:.05pt;mso-width-percent:0;mso-height-percent:0;mso-width-percent:0;mso-height-percent:0" o:hralign="center" o:hrstd="t" o:hr="t" fillcolor="#a0a0a0" stroked="f"/>
        </w:pict>
      </w:r>
    </w:p>
    <w:p w14:paraId="5CEAEF74"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The Regime-Switching Model — Three Honest Scenarios</w:t>
      </w:r>
    </w:p>
    <w:p w14:paraId="3BF11C51"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The revised model draws from the stable-era distribution (μ = +0.6%/yr, σ = 20%/yr) and overlays a 10% annual disruption probability — reflecting approximately two structural shocks per 20 years — where each shock draws from a −50% ± 15% distribution. Results are materially different from before:</w:t>
      </w:r>
    </w:p>
    <w:p w14:paraId="2BD82DD6"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Conservative (start = 31, 10% disruption):</w:t>
      </w:r>
      <w:r w:rsidRPr="00BC4E1F">
        <w:rPr>
          <w:rFonts w:ascii="Times New Roman" w:eastAsia="Times New Roman" w:hAnsi="Times New Roman" w:cs="Times New Roman"/>
          <w:kern w:val="0"/>
          <w14:ligatures w14:val="none"/>
        </w:rPr>
        <w:t xml:space="preserve"> 3yr sustained P(≥33) = </w:t>
      </w:r>
      <w:r w:rsidRPr="00BC4E1F">
        <w:rPr>
          <w:rFonts w:ascii="Times New Roman" w:eastAsia="Times New Roman" w:hAnsi="Times New Roman" w:cs="Times New Roman"/>
          <w:b/>
          <w:bCs/>
          <w:kern w:val="0"/>
          <w14:ligatures w14:val="none"/>
        </w:rPr>
        <w:t>13%</w:t>
      </w:r>
      <w:r w:rsidRPr="00BC4E1F">
        <w:rPr>
          <w:rFonts w:ascii="Times New Roman" w:eastAsia="Times New Roman" w:hAnsi="Times New Roman" w:cs="Times New Roman"/>
          <w:kern w:val="0"/>
          <w14:ligatures w14:val="none"/>
        </w:rPr>
        <w:t>. Median drifts below threshold by 2027. This is the "assume Q1 seasonality overstates annual pace" scenario.</w:t>
      </w:r>
    </w:p>
    <w:p w14:paraId="1F633F7D"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Base (start = 36 annualized, 10% disruption):</w:t>
      </w:r>
      <w:r w:rsidRPr="00BC4E1F">
        <w:rPr>
          <w:rFonts w:ascii="Times New Roman" w:eastAsia="Times New Roman" w:hAnsi="Times New Roman" w:cs="Times New Roman"/>
          <w:kern w:val="0"/>
          <w14:ligatures w14:val="none"/>
        </w:rPr>
        <w:t xml:space="preserve"> 3yr sustained P(≥33) = </w:t>
      </w:r>
      <w:r w:rsidRPr="00BC4E1F">
        <w:rPr>
          <w:rFonts w:ascii="Times New Roman" w:eastAsia="Times New Roman" w:hAnsi="Times New Roman" w:cs="Times New Roman"/>
          <w:b/>
          <w:bCs/>
          <w:kern w:val="0"/>
          <w14:ligatures w14:val="none"/>
        </w:rPr>
        <w:t>28%</w:t>
      </w:r>
      <w:r w:rsidRPr="00BC4E1F">
        <w:rPr>
          <w:rFonts w:ascii="Times New Roman" w:eastAsia="Times New Roman" w:hAnsi="Times New Roman" w:cs="Times New Roman"/>
          <w:kern w:val="0"/>
          <w14:ligatures w14:val="none"/>
        </w:rPr>
        <w:t>. 2026 P(≥33) = 54%. Median holds near threshold through 2027 before drifting. This is the most defensible central estimate given Q1 data.</w:t>
      </w:r>
    </w:p>
    <w:p w14:paraId="3D876298"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Bull — no disruption (stable leadership, start = 36):</w:t>
      </w:r>
      <w:r w:rsidRPr="00BC4E1F">
        <w:rPr>
          <w:rFonts w:ascii="Times New Roman" w:eastAsia="Times New Roman" w:hAnsi="Times New Roman" w:cs="Times New Roman"/>
          <w:kern w:val="0"/>
          <w14:ligatures w14:val="none"/>
        </w:rPr>
        <w:t xml:space="preserve"> 3yr sustained P(≥33) = </w:t>
      </w:r>
      <w:r w:rsidRPr="00BC4E1F">
        <w:rPr>
          <w:rFonts w:ascii="Times New Roman" w:eastAsia="Times New Roman" w:hAnsi="Times New Roman" w:cs="Times New Roman"/>
          <w:b/>
          <w:bCs/>
          <w:kern w:val="0"/>
          <w14:ligatures w14:val="none"/>
        </w:rPr>
        <w:t>38%</w:t>
      </w:r>
      <w:r w:rsidRPr="00BC4E1F">
        <w:rPr>
          <w:rFonts w:ascii="Times New Roman" w:eastAsia="Times New Roman" w:hAnsi="Times New Roman" w:cs="Times New Roman"/>
          <w:kern w:val="0"/>
          <w14:ligatures w14:val="none"/>
        </w:rPr>
        <w:t xml:space="preserve">, with the median actually holding at 33–35 cases through 2030. This quantifies the value of team stability: it is worth approximately </w:t>
      </w:r>
      <w:r w:rsidRPr="00BC4E1F">
        <w:rPr>
          <w:rFonts w:ascii="Times New Roman" w:eastAsia="Times New Roman" w:hAnsi="Times New Roman" w:cs="Times New Roman"/>
          <w:b/>
          <w:bCs/>
          <w:kern w:val="0"/>
          <w14:ligatures w14:val="none"/>
        </w:rPr>
        <w:t>25 percentage points</w:t>
      </w:r>
      <w:r w:rsidRPr="00BC4E1F">
        <w:rPr>
          <w:rFonts w:ascii="Times New Roman" w:eastAsia="Times New Roman" w:hAnsi="Times New Roman" w:cs="Times New Roman"/>
          <w:kern w:val="0"/>
          <w14:ligatures w14:val="none"/>
        </w:rPr>
        <w:t xml:space="preserve"> of 3yr sustained probability relative to the conservative case.</w:t>
      </w:r>
    </w:p>
    <w:p w14:paraId="4F56F3A6"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Bayesian Q1 Update</w:t>
      </w:r>
    </w:p>
    <w:p w14:paraId="55CE14B3"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 xml:space="preserve">Nine cases in Q1 2026, using a seasonal factor of 0.24, yields a Poisson likelihood that upward-revises the prior. The posterior P(≥33 for full year 2026) rises from 27% to </w:t>
      </w:r>
      <w:r w:rsidRPr="00BC4E1F">
        <w:rPr>
          <w:rFonts w:ascii="Times New Roman" w:eastAsia="Times New Roman" w:hAnsi="Times New Roman" w:cs="Times New Roman"/>
          <w:b/>
          <w:bCs/>
          <w:kern w:val="0"/>
          <w14:ligatures w14:val="none"/>
        </w:rPr>
        <w:t>38%</w:t>
      </w:r>
      <w:r w:rsidRPr="00BC4E1F">
        <w:rPr>
          <w:rFonts w:ascii="Times New Roman" w:eastAsia="Times New Roman" w:hAnsi="Times New Roman" w:cs="Times New Roman"/>
          <w:kern w:val="0"/>
          <w14:ligatures w14:val="none"/>
        </w:rPr>
        <w:t>, with posterior E[annual vol] = 32.3 ± 6.1. The new surgeon's ramp — only 9 months in during Q1 — is not yet fully reflected in this estimate. Q2 data (April–June, which captures the 12-month onboarding milestone) will be the most informative update possible.</w:t>
      </w:r>
    </w:p>
    <w:p w14:paraId="5DFCF85C" w14:textId="77777777" w:rsidR="00BC4E1F" w:rsidRPr="00BC4E1F" w:rsidRDefault="00976D16" w:rsidP="00BC4E1F">
      <w:pPr>
        <w:spacing w:after="0" w:line="240" w:lineRule="auto"/>
        <w:rPr>
          <w:rFonts w:ascii="Times New Roman" w:eastAsia="Times New Roman" w:hAnsi="Times New Roman" w:cs="Times New Roman"/>
          <w:kern w:val="0"/>
          <w14:ligatures w14:val="none"/>
        </w:rPr>
      </w:pPr>
      <w:r w:rsidRPr="00976D16">
        <w:rPr>
          <w:rFonts w:ascii="Times New Roman" w:eastAsia="Times New Roman" w:hAnsi="Times New Roman" w:cs="Times New Roman"/>
          <w:noProof/>
          <w:kern w:val="0"/>
        </w:rPr>
        <w:pict w14:anchorId="754D7108">
          <v:rect id="_x0000_i1027" alt="" style="width:468pt;height:.05pt;mso-width-percent:0;mso-height-percent:0;mso-width-percent:0;mso-height-percent:0" o:hralign="center" o:hrstd="t" o:hr="t" fillcolor="#a0a0a0" stroked="f"/>
        </w:pict>
      </w:r>
    </w:p>
    <w:p w14:paraId="4CD0B963"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The Operational Target Ladder</w:t>
      </w:r>
    </w:p>
    <w:p w14:paraId="7E64EE3E"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The model produces a clean decision-relevant output: to achieve a 30% probability of sustaining ≥33 cases for three consecutive years, ALUA needs to begin a year at ≥38 cases. For 50%, it needs ≥43. Neither is impossible — the program hit 34 in 2006 — but neither has been achieved in the post-2017 policy environment.</w:t>
      </w:r>
    </w:p>
    <w:p w14:paraId="0114B438"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 xml:space="preserve">The single most important variable in the model is not volume growth rate — it is disruption probability. Every identified leadership transition in ALUA's history has produced a 22–58% </w:t>
      </w:r>
      <w:r w:rsidRPr="00BC4E1F">
        <w:rPr>
          <w:rFonts w:ascii="Times New Roman" w:eastAsia="Times New Roman" w:hAnsi="Times New Roman" w:cs="Times New Roman"/>
          <w:kern w:val="0"/>
          <w14:ligatures w14:val="none"/>
        </w:rPr>
        <w:lastRenderedPageBreak/>
        <w:t>single-year volume decline. Retaining the new surgeon through their 24-month productivity ramp (approximately April 2027) eliminates the most proximate disruption risk and, by itself, shifts the 3yr sustained probability from 28% to 38%. That is the highest-leverage operational decision in the program's near-term trajectory.</w:t>
      </w:r>
    </w:p>
    <w:p w14:paraId="0457DDAE"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This PSR data fundamentally reframes the ALUA picture — and introduces a real near-term surveillance concern that the earlier models couldn't have captured. Here is the complete synthesis:</w:t>
      </w:r>
    </w:p>
    <w:p w14:paraId="39E00220" w14:textId="77777777" w:rsidR="00BC4E1F" w:rsidRPr="00BC4E1F" w:rsidRDefault="00976D16" w:rsidP="00BC4E1F">
      <w:pPr>
        <w:spacing w:after="0" w:line="240" w:lineRule="auto"/>
        <w:rPr>
          <w:rFonts w:ascii="Times New Roman" w:eastAsia="Times New Roman" w:hAnsi="Times New Roman" w:cs="Times New Roman"/>
          <w:kern w:val="0"/>
          <w14:ligatures w14:val="none"/>
        </w:rPr>
      </w:pPr>
      <w:r w:rsidRPr="00976D16">
        <w:rPr>
          <w:rFonts w:ascii="Times New Roman" w:eastAsia="Times New Roman" w:hAnsi="Times New Roman" w:cs="Times New Roman"/>
          <w:noProof/>
          <w:kern w:val="0"/>
        </w:rPr>
        <w:pict w14:anchorId="09475F2C">
          <v:rect id="_x0000_i1026" alt="" style="width:468pt;height:.05pt;mso-width-percent:0;mso-height-percent:0;mso-width-percent:0;mso-height-percent:0" o:hralign="center" o:hrstd="t" o:hr="t" fillcolor="#a0a0a0" stroked="f"/>
        </w:pict>
      </w:r>
    </w:p>
    <w:p w14:paraId="61BE5C04"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The Official Record (Jan 2026 PSR) — Excellent</w:t>
      </w:r>
    </w:p>
    <w:p w14:paraId="5EDCEFDA"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The current published PSR is unambiguously strong. Over the 7/22–12/24 cohort (52 transplants — the new Medical Director era), every short-term metric is better than expected: 1-month graft HR = 0.68, 90-day HR = 0.80, 1-year graft HR = 0.68, 1-year patient HR = 0.69. ALUA's observed 1-year graft survival of 95.7% exceeds both the national average (89.6%) and its own risk-adjusted expected rate (92.2%) by a wide margin. The 3-year outcomes (2020–2022 cohort, overlapping crisis and COVID) show modest underperformance (HR ~1.15–1.17), but CIs span 1.0 — not statistically significant. This is genuinely good work.</w:t>
      </w:r>
    </w:p>
    <w:p w14:paraId="5CEA5556"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The Rolling Data — A Rising Risk Signal</w:t>
      </w:r>
    </w:p>
    <w:p w14:paraId="24D8A799"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The rolling PSR report is where the concern lives. The HR trajectory tells a precise story: SRTR 1/26 = 0.69 (excellent, based on low-volume conservative era), SRTR 7/26 = 1.25 (approaching), SRTR 1/27 = 1.79, SRTR 7/27 = 1.66, SRTR 1/28 = 1.56 — all in the approaching-flag zone (1.50–2.25), none yet triggering the MPSC flag at 2.25. The 90-day HR is even more acute, reaching 1.86–1.92 in SRTR 1/27 and 7/27 projections. These projections incorporate the 2025 surge periods (16 transplants in H1 2025, 15 in H2 2025, 3 deaths each) which are still incomplete — patients transplanted in late 2025 have not yet hit their 1-year follow-up endpoint.</w:t>
      </w:r>
    </w:p>
    <w:p w14:paraId="79A6150F" w14:textId="77777777" w:rsidR="00BC4E1F" w:rsidRDefault="00BC4E1F" w:rsidP="00BC4E1F">
      <w:pPr>
        <w:pStyle w:val="font-claude-response-body"/>
      </w:pPr>
      <w:r>
        <w:rPr>
          <w:rStyle w:val="Strong"/>
        </w:rPr>
        <w:t>The Causal Mechanism — Acuity, Not Surgical Quality</w:t>
      </w:r>
    </w:p>
    <w:p w14:paraId="7382C90C" w14:textId="77777777" w:rsidR="00BC4E1F" w:rsidRDefault="00BC4E1F" w:rsidP="00BC4E1F">
      <w:pPr>
        <w:pStyle w:val="font-claude-response-body"/>
      </w:pPr>
      <w:r>
        <w:t>The clinical profile is the key explanatory variable. ALUA transplants 46.2% of its recipients from the ICU — 2.3 times the national rate of 20.5%. This is exactly what CAS is designed to incentivize, and ALUA is responding correctly to the policy. ICU recipients have systematically higher early mortality risk regardless of center performance, and SRTR's risk adjustment models may not fully capture this acuity shift when it happens as rapidly as ALUA's 2025 surge. The new surgeon onboarding in April 2025 coincides precisely with the volume surge entering Periods 8 and 9 — the very periods driving the rising HR. A surgeon 9–12 months into onboarding handling a higher-complexity case mix is a legitimate early-mortality risk factor that the PSR cannot yet fully adjudicate.</w:t>
      </w:r>
    </w:p>
    <w:p w14:paraId="7B67C113" w14:textId="77777777" w:rsidR="00BC4E1F" w:rsidRDefault="00BC4E1F" w:rsidP="00BC4E1F">
      <w:pPr>
        <w:pStyle w:val="font-claude-response-body"/>
      </w:pPr>
      <w:r>
        <w:rPr>
          <w:rStyle w:val="Strong"/>
        </w:rPr>
        <w:t>Offer Acceptance — The Volume Lever with a Safety Trade-off</w:t>
      </w:r>
    </w:p>
    <w:p w14:paraId="5666EF83" w14:textId="77777777" w:rsidR="00BC4E1F" w:rsidRDefault="00BC4E1F" w:rsidP="00BC4E1F">
      <w:pPr>
        <w:pStyle w:val="font-claude-response-body"/>
      </w:pPr>
      <w:r>
        <w:lastRenderedPageBreak/>
        <w:t>ALUA's overall acceptance ratio of 0.62 means it accepts 38% fewer offers than the national average. It received 730 offers and accepted only 25. The hard-to-place lung acceptance ratio (0.46) and distant donor acceptance ratio (0.60) are both well below national. This conservatism is the primary driver of the 0.56 transplant rate ratio. There is capacity to increase volume by accepting more well-matched distant donors — but each additional marginal acceptance slightly elevates early graft failure risk, compounding the already-rising HR trajectory. The strategic tension is real: the program needs volume to exit the quality fragility zone, but aggressive acceptance during the new surgeon's ramp period is exactly when early mortality risk peaks.</w:t>
      </w:r>
    </w:p>
    <w:p w14:paraId="45FF46F0" w14:textId="77777777" w:rsidR="00BC4E1F" w:rsidRDefault="00BC4E1F" w:rsidP="00BC4E1F">
      <w:pPr>
        <w:pStyle w:val="font-claude-response-body"/>
      </w:pPr>
      <w:r>
        <w:rPr>
          <w:rStyle w:val="Strong"/>
        </w:rPr>
        <w:t>Waitlist Mortality — Peaked and Recovering</w:t>
      </w:r>
    </w:p>
    <w:p w14:paraId="6D513090" w14:textId="77777777" w:rsidR="00BC4E1F" w:rsidRDefault="00BC4E1F" w:rsidP="00BC4E1F">
      <w:pPr>
        <w:pStyle w:val="font-claude-response-body"/>
      </w:pPr>
      <w:r>
        <w:t>The WLM HR peaked at 2.16 (SRTR 7/25, entering flag territory at 1.75) driven by 7 deaths against 2.2 expected during the surgeon transition trough. The projected SRTR 7/27 shows 0.94 — essentially at expected — and SRTR 1/28 shows 1.12, confirming the 2025 throughput surge is successfully clearing the waitlist backlog. This is a strong leading indicator that the program's fundamental trajectory is improving.</w:t>
      </w:r>
    </w:p>
    <w:p w14:paraId="37F42150" w14:textId="77777777" w:rsidR="00BC4E1F" w:rsidRDefault="00BC4E1F" w:rsidP="00BC4E1F">
      <w:pPr>
        <w:pStyle w:val="font-claude-response-body"/>
      </w:pPr>
      <w:r>
        <w:rPr>
          <w:rStyle w:val="Strong"/>
        </w:rPr>
        <w:t>The Integrated Assessment</w:t>
      </w:r>
    </w:p>
    <w:p w14:paraId="2BAEC524" w14:textId="77777777" w:rsidR="00BC4E1F" w:rsidRDefault="00BC4E1F" w:rsidP="00BC4E1F">
      <w:pPr>
        <w:pStyle w:val="font-claude-response-body"/>
      </w:pPr>
      <w:r>
        <w:t>ALUA in early 2026 is a program with excellent historical outcomes under the new Medical Director, a 2025 volume surge driven by a high-acuity case mix and a new surgeon, and a rising HR projection that reflects incomplete follow-up on that surge cohort. It is not currently flagged, but it is approaching flag thresholds on multiple metrics simultaneously. The most critical surveillance data point will be the SRTR 7/26 report (July 2026) — which will capture the first full 12-month follow-up on the 2025 surge recipients and either confirm or relieve the rolling signal. If Q1 2026's 9 transplants (10 annualized) continue with low mortality, the HR trajectory will begin to roll off. If the 2025 surge continues at 15–16/half-year with elevated early deaths, the 7/26 report could formally flag.</w:t>
      </w:r>
    </w:p>
    <w:p w14:paraId="0E61D2EE"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Here is the full regression synthesis:</w:t>
      </w:r>
    </w:p>
    <w:p w14:paraId="59E5BD5D" w14:textId="77777777" w:rsidR="00BC4E1F" w:rsidRPr="00BC4E1F" w:rsidRDefault="00976D16" w:rsidP="00BC4E1F">
      <w:pPr>
        <w:spacing w:after="0" w:line="240" w:lineRule="auto"/>
        <w:rPr>
          <w:rFonts w:ascii="Times New Roman" w:eastAsia="Times New Roman" w:hAnsi="Times New Roman" w:cs="Times New Roman"/>
          <w:kern w:val="0"/>
          <w14:ligatures w14:val="none"/>
        </w:rPr>
      </w:pPr>
      <w:r w:rsidRPr="00976D16">
        <w:rPr>
          <w:rFonts w:ascii="Times New Roman" w:eastAsia="Times New Roman" w:hAnsi="Times New Roman" w:cs="Times New Roman"/>
          <w:noProof/>
          <w:kern w:val="0"/>
        </w:rPr>
        <w:pict w14:anchorId="45D6C336">
          <v:rect id="_x0000_i1025" alt="" style="width:468pt;height:.05pt;mso-width-percent:0;mso-height-percent:0;mso-width-percent:0;mso-height-percent:0" o:hralign="center" o:hrstd="t" o:hr="t" fillcolor="#a0a0a0" stroked="f"/>
        </w:pict>
      </w:r>
    </w:p>
    <w:p w14:paraId="5D9E8EDF"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Model Selection — Why M4 Wins</w:t>
      </w:r>
    </w:p>
    <w:p w14:paraId="26DBE50B"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t>Four models were fitted and evaluated on R², Adjusted R², RMSE, MAE, and AIC. The results are unambiguous: a simple linear model (M1) is essentially useless — R² = 0.011, meaning time alone explains only 1.1% of ALUA's volume variance. The quadratic trend (M2) improves to R² = 0.279 but has no structural grounding. The full structural model (M3) achieves R² = 0.630 but uses 10 parameters on 21 observations, producing overfitting (Adj R² drops to 0.327 and AIC is no better than M2). M4 — the parsimonious structural model with 7 parameters — achieves the best AIC (70.6), the best Adjusted R² (0.448), and strong residual diagnostics: Shapiro-Wilk normality not rejected (p=0.141), Durbin-Watson = 2.064 (no autocorrelation).</w:t>
      </w:r>
    </w:p>
    <w:p w14:paraId="5CEE9D47"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b/>
          <w:bCs/>
          <w:kern w:val="0"/>
          <w14:ligatures w14:val="none"/>
        </w:rPr>
        <w:t>What the Coefficients Tell You</w:t>
      </w:r>
    </w:p>
    <w:p w14:paraId="4914952B" w14:textId="77777777" w:rsidR="00BC4E1F" w:rsidRPr="00BC4E1F" w:rsidRDefault="00BC4E1F" w:rsidP="00BC4E1F">
      <w:pPr>
        <w:spacing w:before="100" w:beforeAutospacing="1" w:after="100" w:afterAutospacing="1" w:line="240" w:lineRule="auto"/>
        <w:rPr>
          <w:rFonts w:ascii="Times New Roman" w:eastAsia="Times New Roman" w:hAnsi="Times New Roman" w:cs="Times New Roman"/>
          <w:kern w:val="0"/>
          <w14:ligatures w14:val="none"/>
        </w:rPr>
      </w:pPr>
      <w:r w:rsidRPr="00BC4E1F">
        <w:rPr>
          <w:rFonts w:ascii="Times New Roman" w:eastAsia="Times New Roman" w:hAnsi="Times New Roman" w:cs="Times New Roman"/>
          <w:kern w:val="0"/>
          <w14:ligatures w14:val="none"/>
        </w:rPr>
        <w:lastRenderedPageBreak/>
        <w:t>The variance decomposition reveals the story in precise terms. Adding the linear time trend contributes only ΔR²=0.011. The crisis dummy (2019) adds ΔR²=0.204 — the single largest explanatory variable in the entire dataset. The new MD dummy (2021+) adds ΔR²=0.188. Together, leadership events explain 39% of all variance. The secular time trend (t = −0.675 cases/yr, p=0.048) is statistically significant and negative — without active structural interventions, ALUA drifts downward at roughly two-thirds of a case per year. The new MD coefficient is +11.2 cases/yr (p=0.024), the only other significant term.</w:t>
      </w:r>
    </w:p>
    <w:p w14:paraId="7E008253" w14:textId="77777777" w:rsidR="00464342" w:rsidRDefault="00464342" w:rsidP="00464342">
      <w:pPr>
        <w:pStyle w:val="font-claude-response-body"/>
      </w:pPr>
      <w:r>
        <w:rPr>
          <w:rStyle w:val="Strong"/>
        </w:rPr>
        <w:t>The Forecasts — Sober, Wide, Honest</w:t>
      </w:r>
    </w:p>
    <w:p w14:paraId="74949FC9" w14:textId="77777777" w:rsidR="00464342" w:rsidRDefault="00464342" w:rsidP="00464342">
      <w:pPr>
        <w:pStyle w:val="font-claude-response-body"/>
      </w:pPr>
      <w:r>
        <w:t>The M4 base case projects 22 cases in 2026, declining to 20 by 2030. The 80% prediction interval for 2026 is 15–30 — wide, which is statistically correct for a 21-observation structural model with a residual sigma of 3.85. The Q1 2026 actual of 9 cases annualizes to ~36, which sits above the 80% PI upper bound of 30. There are two legitimate explanations: the model underestimates the new surgeon effect (which is encoded as a single-year 2025 dummy and not projected forward), or Q1 is seasonally elevated and the annualized rate overstates the full year. The accelerated scenario — treating the new surgeon effect as persistent rather than one-year — projects 30 cases in 2026 declining to 28 by 2030, still below the 33-case quality threshold.</w:t>
      </w:r>
    </w:p>
    <w:p w14:paraId="04C2E8F8" w14:textId="77777777" w:rsidR="00464342" w:rsidRDefault="00464342" w:rsidP="00464342">
      <w:pPr>
        <w:pStyle w:val="font-claude-response-body"/>
      </w:pPr>
      <w:r>
        <w:rPr>
          <w:rStyle w:val="Strong"/>
        </w:rPr>
        <w:t>The Regression's Honest Verdict</w:t>
      </w:r>
    </w:p>
    <w:p w14:paraId="44702AD1" w14:textId="77777777" w:rsidR="00464342" w:rsidRDefault="00464342" w:rsidP="00464342">
      <w:pPr>
        <w:pStyle w:val="font-claude-response-body"/>
      </w:pPr>
      <w:r>
        <w:t>In 21 years of data, ALUA has never demonstrated a trajectory capable of sustaining ≥33 cases/yr without a specific structural positive shock. The regression says the new MD is the most significant positive structural event in the entire history, but even with it, the base projection is 20–22 — not 33. Reaching the quality threshold durably requires either the new surgeon effect proving persistent (which cannot be statistically established from a single year of data) or a new structural catalyst: expanded referral pipeline, OPO relationship growth, or a deliberate increase in offer acceptance for well-matched distant donors. The model gives you the baseline; the leadership team controls the structural shocks.</w:t>
      </w:r>
    </w:p>
    <w:p w14:paraId="04270D24" w14:textId="1C500BF7" w:rsidR="00BC4E1F" w:rsidRDefault="00BC4E1F" w:rsidP="00BC4E1F">
      <w:pPr>
        <w:pStyle w:val="font-claude-response-body"/>
      </w:pPr>
    </w:p>
    <w:p w14:paraId="08067E13" w14:textId="77777777" w:rsidR="00BC4E1F" w:rsidRDefault="00BC4E1F" w:rsidP="00BC4E1F">
      <w:pPr>
        <w:pStyle w:val="font-claude-response-body"/>
      </w:pPr>
    </w:p>
    <w:p w14:paraId="7FD07F97" w14:textId="77777777" w:rsidR="00822B85" w:rsidRDefault="00822B85"/>
    <w:p w14:paraId="34230BE5" w14:textId="77777777" w:rsidR="00822B85" w:rsidRDefault="00822B85"/>
    <w:sectPr w:rsidR="00822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85"/>
    <w:rsid w:val="0001032E"/>
    <w:rsid w:val="0001713C"/>
    <w:rsid w:val="000231DB"/>
    <w:rsid w:val="0004029E"/>
    <w:rsid w:val="0004518E"/>
    <w:rsid w:val="000566CA"/>
    <w:rsid w:val="00057737"/>
    <w:rsid w:val="00061BAE"/>
    <w:rsid w:val="00062418"/>
    <w:rsid w:val="00067C63"/>
    <w:rsid w:val="000718EC"/>
    <w:rsid w:val="000859B0"/>
    <w:rsid w:val="000A4BC3"/>
    <w:rsid w:val="000A7222"/>
    <w:rsid w:val="000B3FFC"/>
    <w:rsid w:val="000B50CB"/>
    <w:rsid w:val="000B68F8"/>
    <w:rsid w:val="000B6E24"/>
    <w:rsid w:val="000C1BDD"/>
    <w:rsid w:val="000D0EB7"/>
    <w:rsid w:val="000D35B4"/>
    <w:rsid w:val="000E2952"/>
    <w:rsid w:val="000E2C42"/>
    <w:rsid w:val="000F7A03"/>
    <w:rsid w:val="001030CD"/>
    <w:rsid w:val="00124E62"/>
    <w:rsid w:val="0013224E"/>
    <w:rsid w:val="001355BA"/>
    <w:rsid w:val="00144296"/>
    <w:rsid w:val="001612E6"/>
    <w:rsid w:val="00171BE6"/>
    <w:rsid w:val="001A303C"/>
    <w:rsid w:val="001C2BD8"/>
    <w:rsid w:val="001D0AF7"/>
    <w:rsid w:val="001D346D"/>
    <w:rsid w:val="001E610D"/>
    <w:rsid w:val="001E7958"/>
    <w:rsid w:val="001F1E0F"/>
    <w:rsid w:val="00210961"/>
    <w:rsid w:val="00231738"/>
    <w:rsid w:val="00247592"/>
    <w:rsid w:val="002510BB"/>
    <w:rsid w:val="00255513"/>
    <w:rsid w:val="00277699"/>
    <w:rsid w:val="00286A70"/>
    <w:rsid w:val="0028789A"/>
    <w:rsid w:val="002A52B6"/>
    <w:rsid w:val="002A78B5"/>
    <w:rsid w:val="002C3DC5"/>
    <w:rsid w:val="002C63AD"/>
    <w:rsid w:val="002D1CF4"/>
    <w:rsid w:val="002D4D51"/>
    <w:rsid w:val="002E0480"/>
    <w:rsid w:val="002E1CF2"/>
    <w:rsid w:val="002E49A4"/>
    <w:rsid w:val="002E6F77"/>
    <w:rsid w:val="00314A50"/>
    <w:rsid w:val="00321D54"/>
    <w:rsid w:val="00325F43"/>
    <w:rsid w:val="003364B6"/>
    <w:rsid w:val="00342DBC"/>
    <w:rsid w:val="003674FF"/>
    <w:rsid w:val="00372821"/>
    <w:rsid w:val="00382665"/>
    <w:rsid w:val="0038293D"/>
    <w:rsid w:val="00384BA0"/>
    <w:rsid w:val="003A297D"/>
    <w:rsid w:val="003A42BE"/>
    <w:rsid w:val="003A60BB"/>
    <w:rsid w:val="003B3378"/>
    <w:rsid w:val="003B5669"/>
    <w:rsid w:val="003B68B2"/>
    <w:rsid w:val="003C4567"/>
    <w:rsid w:val="003C5C74"/>
    <w:rsid w:val="003C7E73"/>
    <w:rsid w:val="003D6730"/>
    <w:rsid w:val="003E7585"/>
    <w:rsid w:val="003F2321"/>
    <w:rsid w:val="003F3645"/>
    <w:rsid w:val="003F7C81"/>
    <w:rsid w:val="004001F3"/>
    <w:rsid w:val="004006AF"/>
    <w:rsid w:val="00416CF8"/>
    <w:rsid w:val="0042277F"/>
    <w:rsid w:val="00425726"/>
    <w:rsid w:val="00442AEB"/>
    <w:rsid w:val="00442FC1"/>
    <w:rsid w:val="00451462"/>
    <w:rsid w:val="00464342"/>
    <w:rsid w:val="00472416"/>
    <w:rsid w:val="00480874"/>
    <w:rsid w:val="00485B43"/>
    <w:rsid w:val="00495F3E"/>
    <w:rsid w:val="004A0AF4"/>
    <w:rsid w:val="004B19E7"/>
    <w:rsid w:val="004C0C66"/>
    <w:rsid w:val="004D4CEE"/>
    <w:rsid w:val="004D63A4"/>
    <w:rsid w:val="004E58C5"/>
    <w:rsid w:val="005119C2"/>
    <w:rsid w:val="00522AD1"/>
    <w:rsid w:val="00522C83"/>
    <w:rsid w:val="005612E4"/>
    <w:rsid w:val="00563670"/>
    <w:rsid w:val="00575536"/>
    <w:rsid w:val="00584208"/>
    <w:rsid w:val="005A5955"/>
    <w:rsid w:val="005B0328"/>
    <w:rsid w:val="005C3C52"/>
    <w:rsid w:val="005D406C"/>
    <w:rsid w:val="005E11DD"/>
    <w:rsid w:val="005F0CAE"/>
    <w:rsid w:val="005F4805"/>
    <w:rsid w:val="005F6E9E"/>
    <w:rsid w:val="00622841"/>
    <w:rsid w:val="0064215E"/>
    <w:rsid w:val="00654C12"/>
    <w:rsid w:val="00686E91"/>
    <w:rsid w:val="00693083"/>
    <w:rsid w:val="006A2FFC"/>
    <w:rsid w:val="006A5B56"/>
    <w:rsid w:val="006B5486"/>
    <w:rsid w:val="006C05B1"/>
    <w:rsid w:val="006D10BA"/>
    <w:rsid w:val="006D1CBA"/>
    <w:rsid w:val="006F4947"/>
    <w:rsid w:val="00721611"/>
    <w:rsid w:val="007253A2"/>
    <w:rsid w:val="00745CAF"/>
    <w:rsid w:val="007612F8"/>
    <w:rsid w:val="00767418"/>
    <w:rsid w:val="0077779D"/>
    <w:rsid w:val="007801BC"/>
    <w:rsid w:val="00794987"/>
    <w:rsid w:val="007B5041"/>
    <w:rsid w:val="007C3089"/>
    <w:rsid w:val="007E6616"/>
    <w:rsid w:val="007E73D1"/>
    <w:rsid w:val="00800E01"/>
    <w:rsid w:val="00801B9C"/>
    <w:rsid w:val="008039E7"/>
    <w:rsid w:val="00803F96"/>
    <w:rsid w:val="00811C7F"/>
    <w:rsid w:val="00822B85"/>
    <w:rsid w:val="00824E78"/>
    <w:rsid w:val="00830E20"/>
    <w:rsid w:val="00834EB8"/>
    <w:rsid w:val="00835EC4"/>
    <w:rsid w:val="008415E9"/>
    <w:rsid w:val="008561BF"/>
    <w:rsid w:val="00862F9F"/>
    <w:rsid w:val="00862FA9"/>
    <w:rsid w:val="00863A71"/>
    <w:rsid w:val="00872823"/>
    <w:rsid w:val="00872AA6"/>
    <w:rsid w:val="00875AFE"/>
    <w:rsid w:val="0088216C"/>
    <w:rsid w:val="00893CD2"/>
    <w:rsid w:val="008971A2"/>
    <w:rsid w:val="008A1FC7"/>
    <w:rsid w:val="008B0EAA"/>
    <w:rsid w:val="008C2B93"/>
    <w:rsid w:val="008D050B"/>
    <w:rsid w:val="008D1A87"/>
    <w:rsid w:val="008E2FF4"/>
    <w:rsid w:val="008F31E8"/>
    <w:rsid w:val="008F33CD"/>
    <w:rsid w:val="00905889"/>
    <w:rsid w:val="009135ED"/>
    <w:rsid w:val="009250CC"/>
    <w:rsid w:val="00936B62"/>
    <w:rsid w:val="009423C7"/>
    <w:rsid w:val="00946D01"/>
    <w:rsid w:val="00950A5C"/>
    <w:rsid w:val="0095241D"/>
    <w:rsid w:val="00953609"/>
    <w:rsid w:val="00960BED"/>
    <w:rsid w:val="00962C4E"/>
    <w:rsid w:val="00966E4D"/>
    <w:rsid w:val="00966EBA"/>
    <w:rsid w:val="00972E8F"/>
    <w:rsid w:val="0097357B"/>
    <w:rsid w:val="009754C6"/>
    <w:rsid w:val="00976871"/>
    <w:rsid w:val="00976D16"/>
    <w:rsid w:val="009800B3"/>
    <w:rsid w:val="00995D23"/>
    <w:rsid w:val="009A6DE1"/>
    <w:rsid w:val="009C1150"/>
    <w:rsid w:val="009D635F"/>
    <w:rsid w:val="009E5BF6"/>
    <w:rsid w:val="00A046AA"/>
    <w:rsid w:val="00A16C2E"/>
    <w:rsid w:val="00A36619"/>
    <w:rsid w:val="00A640E7"/>
    <w:rsid w:val="00A81691"/>
    <w:rsid w:val="00A90C9F"/>
    <w:rsid w:val="00A96CD9"/>
    <w:rsid w:val="00AA71B6"/>
    <w:rsid w:val="00AC33B9"/>
    <w:rsid w:val="00AC3A34"/>
    <w:rsid w:val="00AD04EB"/>
    <w:rsid w:val="00AD5DB9"/>
    <w:rsid w:val="00AE4F96"/>
    <w:rsid w:val="00AF0BA2"/>
    <w:rsid w:val="00AF445E"/>
    <w:rsid w:val="00B01676"/>
    <w:rsid w:val="00B018DF"/>
    <w:rsid w:val="00B0395A"/>
    <w:rsid w:val="00B26CCD"/>
    <w:rsid w:val="00B333ED"/>
    <w:rsid w:val="00B40C7A"/>
    <w:rsid w:val="00B5199E"/>
    <w:rsid w:val="00B70B83"/>
    <w:rsid w:val="00BA2893"/>
    <w:rsid w:val="00BA5181"/>
    <w:rsid w:val="00BA5D34"/>
    <w:rsid w:val="00BB3B71"/>
    <w:rsid w:val="00BC4E1F"/>
    <w:rsid w:val="00BD3B42"/>
    <w:rsid w:val="00BD7835"/>
    <w:rsid w:val="00C20DDF"/>
    <w:rsid w:val="00C22E7F"/>
    <w:rsid w:val="00C27C0B"/>
    <w:rsid w:val="00C30EDB"/>
    <w:rsid w:val="00C500E2"/>
    <w:rsid w:val="00C50C5D"/>
    <w:rsid w:val="00C51257"/>
    <w:rsid w:val="00C628CD"/>
    <w:rsid w:val="00C82D5A"/>
    <w:rsid w:val="00C94BA0"/>
    <w:rsid w:val="00CA5959"/>
    <w:rsid w:val="00CB3FC9"/>
    <w:rsid w:val="00CC1067"/>
    <w:rsid w:val="00CD13B5"/>
    <w:rsid w:val="00CF0E50"/>
    <w:rsid w:val="00D1462E"/>
    <w:rsid w:val="00D34391"/>
    <w:rsid w:val="00D45479"/>
    <w:rsid w:val="00D673F5"/>
    <w:rsid w:val="00D677AF"/>
    <w:rsid w:val="00D73A52"/>
    <w:rsid w:val="00D741EE"/>
    <w:rsid w:val="00D84C82"/>
    <w:rsid w:val="00D96D32"/>
    <w:rsid w:val="00DA3F1D"/>
    <w:rsid w:val="00DB7B54"/>
    <w:rsid w:val="00DC26A9"/>
    <w:rsid w:val="00DC2B0B"/>
    <w:rsid w:val="00DC41E3"/>
    <w:rsid w:val="00DC5C7A"/>
    <w:rsid w:val="00DC5D89"/>
    <w:rsid w:val="00DE5F46"/>
    <w:rsid w:val="00DF0873"/>
    <w:rsid w:val="00DF7840"/>
    <w:rsid w:val="00E03985"/>
    <w:rsid w:val="00E0570C"/>
    <w:rsid w:val="00E05DB5"/>
    <w:rsid w:val="00E063A2"/>
    <w:rsid w:val="00E218A0"/>
    <w:rsid w:val="00E25095"/>
    <w:rsid w:val="00E3302C"/>
    <w:rsid w:val="00E35F78"/>
    <w:rsid w:val="00E41E01"/>
    <w:rsid w:val="00E455F8"/>
    <w:rsid w:val="00E46EDB"/>
    <w:rsid w:val="00E53482"/>
    <w:rsid w:val="00E81466"/>
    <w:rsid w:val="00E87815"/>
    <w:rsid w:val="00EB195E"/>
    <w:rsid w:val="00EB49BC"/>
    <w:rsid w:val="00EB5F0D"/>
    <w:rsid w:val="00EB7941"/>
    <w:rsid w:val="00ED3970"/>
    <w:rsid w:val="00EE035E"/>
    <w:rsid w:val="00EE146C"/>
    <w:rsid w:val="00EE580D"/>
    <w:rsid w:val="00EE6211"/>
    <w:rsid w:val="00EF15EA"/>
    <w:rsid w:val="00EF31AC"/>
    <w:rsid w:val="00F0673A"/>
    <w:rsid w:val="00F12A9C"/>
    <w:rsid w:val="00F3250B"/>
    <w:rsid w:val="00F46CDD"/>
    <w:rsid w:val="00F54302"/>
    <w:rsid w:val="00F54918"/>
    <w:rsid w:val="00F6346D"/>
    <w:rsid w:val="00F6505A"/>
    <w:rsid w:val="00F65638"/>
    <w:rsid w:val="00F81ACD"/>
    <w:rsid w:val="00F85CB1"/>
    <w:rsid w:val="00F86C8B"/>
    <w:rsid w:val="00FB42F2"/>
    <w:rsid w:val="00FB77CD"/>
    <w:rsid w:val="00FC7A79"/>
    <w:rsid w:val="00FE2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A385A"/>
  <w15:chartTrackingRefBased/>
  <w15:docId w15:val="{38C73E0B-29F4-F44D-A5E1-B887B1EEF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B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B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B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B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B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B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B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B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B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85"/>
    <w:rPr>
      <w:rFonts w:eastAsiaTheme="majorEastAsia" w:cstheme="majorBidi"/>
      <w:color w:val="272727" w:themeColor="text1" w:themeTint="D8"/>
    </w:rPr>
  </w:style>
  <w:style w:type="paragraph" w:styleId="Title">
    <w:name w:val="Title"/>
    <w:basedOn w:val="Normal"/>
    <w:next w:val="Normal"/>
    <w:link w:val="TitleChar"/>
    <w:uiPriority w:val="10"/>
    <w:qFormat/>
    <w:rsid w:val="00822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85"/>
    <w:pPr>
      <w:spacing w:before="160"/>
      <w:jc w:val="center"/>
    </w:pPr>
    <w:rPr>
      <w:i/>
      <w:iCs/>
      <w:color w:val="404040" w:themeColor="text1" w:themeTint="BF"/>
    </w:rPr>
  </w:style>
  <w:style w:type="character" w:customStyle="1" w:styleId="QuoteChar">
    <w:name w:val="Quote Char"/>
    <w:basedOn w:val="DefaultParagraphFont"/>
    <w:link w:val="Quote"/>
    <w:uiPriority w:val="29"/>
    <w:rsid w:val="00822B85"/>
    <w:rPr>
      <w:i/>
      <w:iCs/>
      <w:color w:val="404040" w:themeColor="text1" w:themeTint="BF"/>
    </w:rPr>
  </w:style>
  <w:style w:type="paragraph" w:styleId="ListParagraph">
    <w:name w:val="List Paragraph"/>
    <w:basedOn w:val="Normal"/>
    <w:uiPriority w:val="34"/>
    <w:qFormat/>
    <w:rsid w:val="00822B85"/>
    <w:pPr>
      <w:ind w:left="720"/>
      <w:contextualSpacing/>
    </w:pPr>
  </w:style>
  <w:style w:type="character" w:styleId="IntenseEmphasis">
    <w:name w:val="Intense Emphasis"/>
    <w:basedOn w:val="DefaultParagraphFont"/>
    <w:uiPriority w:val="21"/>
    <w:qFormat/>
    <w:rsid w:val="00822B85"/>
    <w:rPr>
      <w:i/>
      <w:iCs/>
      <w:color w:val="2F5496" w:themeColor="accent1" w:themeShade="BF"/>
    </w:rPr>
  </w:style>
  <w:style w:type="paragraph" w:styleId="IntenseQuote">
    <w:name w:val="Intense Quote"/>
    <w:basedOn w:val="Normal"/>
    <w:next w:val="Normal"/>
    <w:link w:val="IntenseQuoteChar"/>
    <w:uiPriority w:val="30"/>
    <w:qFormat/>
    <w:rsid w:val="00822B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B85"/>
    <w:rPr>
      <w:i/>
      <w:iCs/>
      <w:color w:val="2F5496" w:themeColor="accent1" w:themeShade="BF"/>
    </w:rPr>
  </w:style>
  <w:style w:type="character" w:styleId="IntenseReference">
    <w:name w:val="Intense Reference"/>
    <w:basedOn w:val="DefaultParagraphFont"/>
    <w:uiPriority w:val="32"/>
    <w:qFormat/>
    <w:rsid w:val="00822B85"/>
    <w:rPr>
      <w:b/>
      <w:bCs/>
      <w:smallCaps/>
      <w:color w:val="2F5496" w:themeColor="accent1" w:themeShade="BF"/>
      <w:spacing w:val="5"/>
    </w:rPr>
  </w:style>
  <w:style w:type="paragraph" w:customStyle="1" w:styleId="font-claude-response-body">
    <w:name w:val="font-claude-response-body"/>
    <w:basedOn w:val="Normal"/>
    <w:rsid w:val="00BC4E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E1F"/>
    <w:rPr>
      <w:b/>
      <w:bCs/>
    </w:rPr>
  </w:style>
  <w:style w:type="character" w:styleId="Emphasis">
    <w:name w:val="Emphasis"/>
    <w:basedOn w:val="DefaultParagraphFont"/>
    <w:uiPriority w:val="20"/>
    <w:qFormat/>
    <w:rsid w:val="00BC4E1F"/>
    <w:rPr>
      <w:i/>
      <w:iCs/>
    </w:rPr>
  </w:style>
  <w:style w:type="character" w:customStyle="1" w:styleId="inline-flex">
    <w:name w:val="inline-flex"/>
    <w:basedOn w:val="DefaultParagraphFont"/>
    <w:rsid w:val="00BC4E1F"/>
  </w:style>
  <w:style w:type="character" w:customStyle="1" w:styleId="text-nowrap">
    <w:name w:val="text-nowrap"/>
    <w:basedOn w:val="DefaultParagraphFont"/>
    <w:rsid w:val="00BC4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os.org/news/new-lung-allocation-policy-approved/"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healio.com/news/pulmonology/20250617/lung-composite-allocation-score-use-leads-to-fewer-transplant-waitlist-death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tcvs.org/article/S0022-5223(25)00303-4/fulltext" TargetMode="External"/><Relationship Id="rId11" Type="http://schemas.openxmlformats.org/officeDocument/2006/relationships/hyperlink" Target="https://www.srtr.org/faqs/for-transplant-center-professionals/" TargetMode="External"/><Relationship Id="rId5" Type="http://schemas.openxmlformats.org/officeDocument/2006/relationships/hyperlink" Target="https://www.sciencedirect.com/science/article/pii/S160061352221644X" TargetMode="External"/><Relationship Id="rId10" Type="http://schemas.openxmlformats.org/officeDocument/2006/relationships/hyperlink" Target="https://www.srtr.org/faqs/for-transplant-center-professionals/" TargetMode="External"/><Relationship Id="rId4" Type="http://schemas.openxmlformats.org/officeDocument/2006/relationships/hyperlink" Target="https://unos.org/news/policy-modification-to-lung-distribution-sequence/" TargetMode="External"/><Relationship Id="rId9" Type="http://schemas.openxmlformats.org/officeDocument/2006/relationships/hyperlink" Target="https://pubmed.ncbi.nlm.nih.gov/399478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3477</Words>
  <Characters>24340</Characters>
  <Application>Microsoft Office Word</Application>
  <DocSecurity>0</DocSecurity>
  <Lines>1738</Lines>
  <Paragraphs>1854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Kaleekal</dc:creator>
  <cp:keywords/>
  <dc:description/>
  <cp:lastModifiedBy>Thomas Kaleekal</cp:lastModifiedBy>
  <cp:revision>2</cp:revision>
  <dcterms:created xsi:type="dcterms:W3CDTF">2026-05-05T17:57:00Z</dcterms:created>
  <dcterms:modified xsi:type="dcterms:W3CDTF">2026-05-05T17:57:00Z</dcterms:modified>
</cp:coreProperties>
</file>