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stopka_e761a8.svg" ContentType="image/svg+xml"/>
  <Override PartName="/word/media/stopka_e860cd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406" w:type="dxa"/>
        <w:tblStyle w:val="TableGrid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tcBorders>
              <w:top w:val="none" w:sz="0" w:color="FFFFFF"/>
              <w:bottom w:val="none" w:sz="0" w:color="FFFFFF"/>
              <w:right w:val="none" w:sz="0" w:color="FFFFFF"/>
              <w:left w:val="single" w:sz="36" w:color="CE181A"/>
            </w:tcBorders>
            <w:shd w:fill="FFFFFF" w:val="clear"/>
          </w:tcPr>
          <w:p>
            <w:pPr>
              <w:jc w:val="left"/>
              <w:spacing w:before="0" w:after="160"/>
            </w:pPr>
            <w:r>
              <w:rPr>
                <w:rFonts w:ascii="Roboto Condensed" w:hAnsi="Roboto Condensed"/>
                <w:b w:val="0"/>
                <w:color w:val="2A324B"/>
                <w:sz w:val="64"/>
              </w:rPr>
              <w:t>K2Biznes Oferta - podręcznik i architektura</w:t>
            </w:r>
          </w:p>
        </w:tc>
      </w:tr>
    </w:tbl>
    <w:p>
      <w:pPr>
        <w:spacing w:after="120"/>
      </w:pPr>
    </w:p>
    <w:p>
      <w:pPr>
        <w:jc w:val="left"/>
        <w:spacing w:before="160" w:after="40"/>
      </w:pPr>
      <w:r>
        <w:rPr>
          <w:rFonts w:ascii="Roboto Condensed" w:hAnsi="Roboto Condensed"/>
          <w:b w:val="0"/>
          <w:color w:val="2A324B"/>
          <w:sz w:val="36"/>
        </w:rPr>
        <w:t>O tym dokumencie</w:t>
      </w:r>
    </w:p>
    <w:p>
      <w:pPr>
        <w:jc w:val="both"/>
        <w:spacing w:after="120" w:before="0"/>
      </w:pPr>
      <w:r>
        <w:rPr>
          <w:rFonts w:ascii="Roboto Condensed Light" w:hAnsi="Roboto Condensed Light"/>
          <w:b w:val="0"/>
          <w:color w:val="2A324B"/>
          <w:sz w:val="22"/>
        </w:rPr>
        <w:t>K2Biznes Oferta to firmowa aplikacja do przygotowywania, wysyłania i akceptacji ofert doradczych dla klientów ubiegających się o dotacje. Konsultant tworzy ofertę w panelu, wysyła klientowi unikalny link, a klient przegląda ofertę i akceptuje wybrany wariant bez zakładania konta. Aplikacja działa pod adresem oferta.k2biznes.pl.</w:t>
      </w:r>
    </w:p>
    <w:p>
      <w:pPr>
        <w:jc w:val="both"/>
        <w:spacing w:after="120" w:before="0"/>
      </w:pPr>
      <w:r>
        <w:rPr>
          <w:rFonts w:ascii="Roboto Condensed Light" w:hAnsi="Roboto Condensed Light"/>
          <w:b w:val="0"/>
          <w:color w:val="2A324B"/>
          <w:sz w:val="22"/>
        </w:rPr>
        <w:t>Dokument ma dwie warstwy. Część I to praktyczna instrukcja dla konsultantów i administratorów tworzących oferty - krok po kroku, prostym językiem. Część II opisuje architekturę systemu dla zespołu technicznego. Kanonem wiedzy technicznej pozostają pliki w repozytorium: docs/BACKEND_SPEC.md oraz docs/TECH_ADMIN_MANUAL.md.</w:t>
      </w:r>
    </w:p>
    <w:p>
      <w:pPr>
        <w:jc w:val="left"/>
        <w:spacing w:before="160" w:after="40"/>
      </w:pPr>
      <w:r>
        <w:rPr>
          <w:rFonts w:ascii="Roboto Condensed" w:hAnsi="Roboto Condensed"/>
          <w:b w:val="0"/>
          <w:color w:val="2A324B"/>
          <w:sz w:val="36"/>
        </w:rPr>
        <w:t>Szybki start - od zera do wysłanej oferty</w:t>
      </w:r>
    </w:p>
    <w:p>
      <w:pPr>
        <w:jc w:val="both"/>
        <w:spacing w:after="120" w:before="0"/>
      </w:pPr>
      <w:r>
        <w:rPr>
          <w:rFonts w:ascii="Roboto Condensed Light" w:hAnsi="Roboto Condensed Light"/>
          <w:b w:val="0"/>
          <w:color w:val="2A324B"/>
          <w:sz w:val="22"/>
        </w:rPr>
        <w:t>Najkrótsza droga do wysłania pierwszej oferty. Szczegóły każdego kroku opisuje Część I.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1. </w:t>
      </w:r>
      <w:r>
        <w:rPr>
          <w:rFonts w:ascii="Roboto Condensed Light" w:hAnsi="Roboto Condensed Light"/>
          <w:b w:val="0"/>
          <w:color w:val="2A324B"/>
          <w:sz w:val="22"/>
        </w:rPr>
        <w:t>Zaloguj się na /auth/signin. Przy pierwszym logowaniu jako administrator skonfiguruj weryfikację dwuetapową.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2. </w:t>
      </w:r>
      <w:r>
        <w:rPr>
          <w:rFonts w:ascii="Roboto Condensed Light" w:hAnsi="Roboto Condensed Light"/>
          <w:b w:val="0"/>
          <w:color w:val="2A324B"/>
          <w:sz w:val="22"/>
        </w:rPr>
        <w:t>Wejdź w Oferty i kliknij Nowa oferta.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3. </w:t>
      </w:r>
      <w:r>
        <w:rPr>
          <w:rFonts w:ascii="Roboto Condensed Light" w:hAnsi="Roboto Condensed Light"/>
          <w:b w:val="0"/>
          <w:color w:val="2A324B"/>
          <w:sz w:val="22"/>
        </w:rPr>
        <w:t>Uzupełnij dane klienta (nazwa firmy jest wymagana) i wybierz program (nazwa programu jest wymagana).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4. </w:t>
      </w:r>
      <w:r>
        <w:rPr>
          <w:rFonts w:ascii="Roboto Condensed Light" w:hAnsi="Roboto Condensed Light"/>
          <w:b w:val="0"/>
          <w:color w:val="2A324B"/>
          <w:sz w:val="22"/>
        </w:rPr>
        <w:t>Wpisz wartość projektu i ustaw intensywność. Cennik przeliczy się automatycznie. Zaznacz oferowane warianty i wskaż rekomendowany.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5. </w:t>
      </w:r>
      <w:r>
        <w:rPr>
          <w:rFonts w:ascii="Roboto Condensed Light" w:hAnsi="Roboto Condensed Light"/>
          <w:b w:val="0"/>
          <w:color w:val="2A324B"/>
          <w:sz w:val="22"/>
        </w:rPr>
        <w:t>Opcjonalnie dostosuj treści, wybierz osobę kontaktową i case study.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6. </w:t>
      </w:r>
      <w:r>
        <w:rPr>
          <w:rFonts w:ascii="Roboto Condensed Light" w:hAnsi="Roboto Condensed Light"/>
          <w:b w:val="0"/>
          <w:color w:val="2A324B"/>
          <w:sz w:val="22"/>
        </w:rPr>
        <w:t>Kliknij Stwórz ofertę. Powstanie wersja robocza. Sprawdź wygląd przyciskiem Podgląd.</w:t>
      </w:r>
    </w:p>
    <w:p>
      <w:pPr>
        <w:jc w:val="both"/>
        <w:spacing w:after="2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7. </w:t>
      </w:r>
      <w:r>
        <w:rPr>
          <w:rFonts w:ascii="Roboto Condensed Light" w:hAnsi="Roboto Condensed Light"/>
          <w:b w:val="0"/>
          <w:color w:val="2A324B"/>
          <w:sz w:val="22"/>
        </w:rPr>
        <w:t>Kliknij Wyślij ofertę i podaj adres email klienta. Klient dostanie link, a Ty śledzisz otwarcia w zakładce Aktywność.</w:t>
      </w:r>
    </w:p>
    <w:p>
      <w:pPr>
        <w:jc w:val="both"/>
        <w:spacing w:after="120" w:before="0"/>
      </w:pPr>
      <w:r>
        <w:rPr>
          <w:rFonts w:ascii="Roboto Condensed" w:hAnsi="Roboto Condensed"/>
          <w:b/>
          <w:color w:val="CE181A"/>
          <w:sz w:val="22"/>
        </w:rPr>
        <w:t xml:space="preserve">Uwaga: </w:t>
      </w:r>
      <w:r>
        <w:rPr>
          <w:rFonts w:ascii="Roboto Condensed Light" w:hAnsi="Roboto Condensed Light"/>
          <w:b w:val="0"/>
          <w:color w:val="2A324B"/>
          <w:sz w:val="22"/>
        </w:rPr>
        <w:t>Minimalny zestaw wymaganych pól to nazwa firmy, nazwa programu i wartość projektu. Resztę możesz zostawić na wartościach domyślnych.</w:t>
      </w:r>
    </w:p>
    <w:p>
      <w:pPr>
        <w:jc w:val="left"/>
        <w:spacing w:before="160" w:after="40"/>
      </w:pPr>
      <w:r>
        <w:rPr>
          <w:rFonts w:ascii="Roboto Condensed" w:hAnsi="Roboto Condensed"/>
          <w:b w:val="0"/>
          <w:color w:val="2A324B"/>
          <w:sz w:val="36"/>
        </w:rPr>
        <w:t>Mapa panelu (struktura systemu)</w:t>
      </w:r>
    </w:p>
    <w:p>
      <w:pPr>
        <w:jc w:val="both"/>
        <w:spacing w:after="120" w:before="0"/>
      </w:pPr>
      <w:r>
        <w:rPr>
          <w:rFonts w:ascii="Roboto Condensed Light" w:hAnsi="Roboto Condensed Light"/>
          <w:b w:val="0"/>
          <w:color w:val="2A324B"/>
          <w:sz w:val="22"/>
        </w:rPr>
        <w:t>Diagram pokazuje, gdzie w panelu znajdziesz poszczególne funkcje. Moduły opisane jako super_admin są dostępne tylko dla właściciela systemu.</w:t>
      </w:r>
    </w:p>
    <w:p>
      <w:pPr>
        <w:jc w:val="center"/>
        <w:spacing w:before="80" w:after="160"/>
      </w:pPr>
      <w:r>
        <w:drawing xmlns:a="http://schemas.openxmlformats.org/drawingml/2006/main" xmlns:pic="http://schemas.openxmlformats.org/drawingml/2006/picture">
          <wp:inline distT="0" distB="0" distL="0" distR="0">
            <wp:extent cx="5375529" cy="5440686"/>
            <wp:effectExtent l="0" t="0" r="0" b="0"/>
            <wp:docPr id="6995" name="StopkaK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995" name="StopkaK2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ob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5529" cy="5440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left"/>
        <w:spacing w:before="240" w:after="40"/>
      </w:pPr>
      <w:r>
        <w:rPr>
          <w:rFonts w:ascii="Roboto Condensed" w:hAnsi="Roboto Condensed"/>
          <w:b w:val="0"/>
          <w:color w:val="2A324B"/>
          <w:sz w:val="64"/>
        </w:rPr>
        <w:t>Część I - Tworzenie ofert (dla konsultantów)</w:t>
      </w:r>
    </w:p>
    <w:p>
      <w:pPr>
        <w:jc w:val="left"/>
        <w:spacing w:before="160" w:after="40"/>
      </w:pPr>
      <w:r>
        <w:rPr>
          <w:rFonts w:ascii="Roboto Condensed" w:hAnsi="Roboto Condensed"/>
          <w:b w:val="0"/>
          <w:color w:val="2A324B"/>
          <w:sz w:val="36"/>
        </w:rPr>
        <w:t>1. Logowanie i role</w:t>
      </w:r>
    </w:p>
    <w:p>
      <w:pPr>
        <w:jc w:val="both"/>
        <w:spacing w:after="120" w:before="0"/>
      </w:pPr>
      <w:r>
        <w:rPr>
          <w:rFonts w:ascii="Roboto Condensed Light" w:hAnsi="Roboto Condensed Light"/>
          <w:b w:val="0"/>
          <w:color w:val="2A324B"/>
          <w:sz w:val="22"/>
        </w:rPr>
        <w:t>Do panelu logujesz się na stronie /auth/signin - hasłem albo linkiem magicznym. Reset hasła odbywa się przez /auth/forgot-password. Konta zakłada wyłącznie administrator z uprawnieniem super_admin (moduł Użytkownicy), nie ma samodzielnej rejestracji.</w:t>
      </w:r>
    </w:p>
    <w:p>
      <w:pPr>
        <w:jc w:val="both"/>
        <w:spacing w:after="120" w:before="0"/>
      </w:pPr>
      <w:r>
        <w:rPr>
          <w:rFonts w:ascii="Roboto Condensed Light" w:hAnsi="Roboto Condensed Light"/>
          <w:b w:val="0"/>
          <w:color w:val="2A324B"/>
          <w:sz w:val="22"/>
        </w:rPr>
        <w:t>W systemie działają trzy role: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super_admin - pełny dostęp, zarządzanie użytkownikami, ustawienia firmowe, wszystkie oferty.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admin - wszystkie oferty, katalogi i dashboard, bez zarządzania użytkownikami i ustawieniami firmowymi.</w:t>
      </w:r>
    </w:p>
    <w:p>
      <w:pPr>
        <w:jc w:val="both"/>
        <w:spacing w:after="2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consultant - widzi i edytuje wyłącznie własne oferty (utworzone przez siebie lub do niego przypisane).</w:t>
      </w:r>
    </w:p>
    <w:p>
      <w:pPr>
        <w:jc w:val="both"/>
        <w:spacing w:after="120" w:before="0"/>
      </w:pPr>
      <w:r>
        <w:rPr>
          <w:rFonts w:ascii="Roboto Condensed" w:hAnsi="Roboto Condensed"/>
          <w:b/>
          <w:color w:val="CE181A"/>
          <w:sz w:val="22"/>
        </w:rPr>
        <w:t xml:space="preserve">Uwaga: </w:t>
      </w:r>
      <w:r>
        <w:rPr>
          <w:rFonts w:ascii="Roboto Condensed Light" w:hAnsi="Roboto Condensed Light"/>
          <w:b w:val="0"/>
          <w:color w:val="2A324B"/>
          <w:sz w:val="22"/>
        </w:rPr>
        <w:t>Weryfikacja dwuetapowa (kod z aplikacji, TOTP) jest wymagana dla ról admin i super_admin - przy pierwszym logowaniu system poprowadzi Cię przez jej konfigurację. Dla roli consultant jest opcjonalna. Sesja administratora wygasa po 12 godzinach, konsultanta po 30 dniach.</w:t>
      </w:r>
    </w:p>
    <w:p>
      <w:pPr>
        <w:jc w:val="left"/>
        <w:spacing w:before="160" w:after="40"/>
      </w:pPr>
      <w:r>
        <w:rPr>
          <w:rFonts w:ascii="Roboto Condensed" w:hAnsi="Roboto Condensed"/>
          <w:b w:val="0"/>
          <w:color w:val="2A324B"/>
          <w:sz w:val="36"/>
        </w:rPr>
        <w:t>2. Panel i lista ofert</w:t>
      </w:r>
    </w:p>
    <w:p>
      <w:pPr>
        <w:jc w:val="both"/>
        <w:spacing w:after="120" w:before="0"/>
      </w:pPr>
      <w:r>
        <w:rPr>
          <w:rFonts w:ascii="Roboto Condensed Light" w:hAnsi="Roboto Condensed Light"/>
          <w:b w:val="0"/>
          <w:color w:val="2A324B"/>
          <w:sz w:val="22"/>
        </w:rPr>
        <w:t>Po zalogowaniu głównym miejscem pracy jest moduł Oferty (/admin/offers). Nad listą znajduje się przycisk Nowa oferta, który otwiera pusty formularz. Administratorzy mają dodatkowo pulpit /admin ze wskaźnikami sprzedaży: konwersja, wyniki per konsultant, prognoza i symulator wartości oczekiwanej.</w:t>
      </w:r>
    </w:p>
    <w:p>
      <w:pPr>
        <w:jc w:val="both"/>
        <w:spacing w:after="120" w:before="0"/>
      </w:pPr>
      <w:r>
        <w:rPr>
          <w:rFonts w:ascii="Roboto Condensed Light" w:hAnsi="Roboto Condensed Light"/>
          <w:b w:val="0"/>
          <w:color w:val="2A324B"/>
          <w:sz w:val="22"/>
        </w:rPr>
        <w:t>Lista ofert pokazuje w kolumnach: numer i klienta, program, wartość projektu, status, wynagrodzenie, liczbę wyświetleń oraz daty. Status oferty przyjmuje jedną z wartości: wersja robocza, wysłana, otwarta, zaakceptowana, odrzucona, wygasła. Dostępne są filtry po statusie, nazwie klienta i programie oraz sortowanie. Jeśli wysyłka maila się nie powiodła, przy ofercie pojawia się czerwony znacznik informujący, że wiadomość nie dotarła. Z poziomu wiersza przejdziesz do Aktywności, Edycji i Podglądu oferty.</w:t>
      </w:r>
    </w:p>
    <w:p>
      <w:pPr>
        <w:jc w:val="left"/>
        <w:spacing w:before="160" w:after="40"/>
      </w:pPr>
      <w:r>
        <w:rPr>
          <w:rFonts w:ascii="Roboto Condensed" w:hAnsi="Roboto Condensed"/>
          <w:b w:val="0"/>
          <w:color w:val="2A324B"/>
          <w:sz w:val="36"/>
        </w:rPr>
        <w:t>3. Formularz oferty krok po kroku</w:t>
      </w:r>
    </w:p>
    <w:p>
      <w:pPr>
        <w:jc w:val="both"/>
        <w:spacing w:after="120" w:before="0"/>
      </w:pPr>
      <w:r>
        <w:rPr>
          <w:rFonts w:ascii="Roboto Condensed Light" w:hAnsi="Roboto Condensed Light"/>
          <w:b w:val="0"/>
          <w:color w:val="2A324B"/>
          <w:sz w:val="22"/>
        </w:rPr>
        <w:t>Formularz jest podzielony na sekcje wypełniane od góry do dołu. Pola oznaczone gwiazdką są wymagane, pozostałe są opcjonalne i mają wartości domyślne. W trybie tworzenia nowej oferty, jeśli istnieją zapisane szablony, u góry pojawia się pole Zacznij od szablonu, które wypełnia wszystko poza danymi klienta.</w:t>
      </w:r>
    </w:p>
    <w:p>
      <w:pPr>
        <w:jc w:val="left"/>
        <w:spacing w:before="120" w:after="40"/>
        <w:keepNext/>
      </w:pPr>
      <w:r>
        <w:rPr>
          <w:rFonts w:ascii="Roboto Condensed" w:hAnsi="Roboto Condensed"/>
          <w:b w:val="0"/>
          <w:color w:val="2A324B"/>
          <w:sz w:val="28"/>
        </w:rPr>
        <w:t>3.1 Klient</w:t>
      </w:r>
    </w:p>
    <w:tbl>
      <w:tblPr>
        <w:tblW w:w="9406" w:type="dxa"/>
        <w:tblStyle w:val="TableGrid"/>
        <w:tblLook w:firstColumn="1" w:firstRow="1" w:lastColumn="0" w:lastRow="0" w:noHBand="0" w:noVBand="1" w:val="04A0"/>
        <w:tblLayout w:type="fixed"/>
      </w:tblPr>
      <w:tblGrid>
        <w:gridCol w:w="2445"/>
        <w:gridCol w:w="1504"/>
        <w:gridCol w:w="5455"/>
      </w:tblGrid>
      <w:tr>
        <w:tc>
          <w:tcPr>
            <w:tcW w:type="dxa" w:w="2445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Pole</w:t>
            </w:r>
          </w:p>
        </w:tc>
        <w:tc>
          <w:tcPr>
            <w:tcW w:type="dxa" w:w="1504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Wymagane</w:t>
            </w:r>
          </w:p>
        </w:tc>
        <w:tc>
          <w:tcPr>
            <w:tcW w:type="dxa" w:w="5455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Opis</w:t>
            </w:r>
          </w:p>
        </w:tc>
      </w:tr>
      <w:tr>
        <w:tc>
          <w:tcPr>
            <w:tcW w:type="dxa" w:w="244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Nazwa firmy</w:t>
            </w:r>
          </w:p>
        </w:tc>
        <w:tc>
          <w:tcPr>
            <w:tcW w:type="dxa" w:w="150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Tak</w:t>
            </w:r>
          </w:p>
        </w:tc>
        <w:tc>
          <w:tcPr>
            <w:tcW w:type="dxa" w:w="545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Nazwa klienta, do 200 znaków. Pojawia się w nagłówku oferty.</w:t>
            </w:r>
          </w:p>
        </w:tc>
      </w:tr>
      <w:tr>
        <w:tc>
          <w:tcPr>
            <w:tcW w:type="dxa" w:w="244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NIP (10 cyfr)</w:t>
            </w:r>
          </w:p>
        </w:tc>
        <w:tc>
          <w:tcPr>
            <w:tcW w:type="dxa" w:w="150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Nie</w:t>
            </w:r>
          </w:p>
        </w:tc>
        <w:tc>
          <w:tcPr>
            <w:tcW w:type="dxa" w:w="545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Jeśli podany, musi mieć dokładnie 10 cyfr.</w:t>
            </w:r>
          </w:p>
        </w:tc>
      </w:tr>
      <w:tr>
        <w:tc>
          <w:tcPr>
            <w:tcW w:type="dxa" w:w="244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Branża</w:t>
            </w:r>
          </w:p>
        </w:tc>
        <w:tc>
          <w:tcPr>
            <w:tcW w:type="dxa" w:w="150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Nie</w:t>
            </w:r>
          </w:p>
        </w:tc>
        <w:tc>
          <w:tcPr>
            <w:tcW w:type="dxa" w:w="545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Pole opisowe.</w:t>
            </w:r>
          </w:p>
        </w:tc>
      </w:tr>
      <w:tr>
        <w:tc>
          <w:tcPr>
            <w:tcW w:type="dxa" w:w="244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Wielkość firmy</w:t>
            </w:r>
          </w:p>
        </w:tc>
        <w:tc>
          <w:tcPr>
            <w:tcW w:type="dxa" w:w="150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Nie</w:t>
            </w:r>
          </w:p>
        </w:tc>
        <w:tc>
          <w:tcPr>
            <w:tcW w:type="dxa" w:w="545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Lista: mikro, mała, średnia, duża.</w:t>
            </w:r>
          </w:p>
        </w:tc>
      </w:tr>
      <w:tr>
        <w:tc>
          <w:tcPr>
            <w:tcW w:type="dxa" w:w="244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Województwo</w:t>
            </w:r>
          </w:p>
        </w:tc>
        <w:tc>
          <w:tcPr>
            <w:tcW w:type="dxa" w:w="150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Nie</w:t>
            </w:r>
          </w:p>
        </w:tc>
        <w:tc>
          <w:tcPr>
            <w:tcW w:type="dxa" w:w="545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Lista 16 województw oraz opcja ogólnopolska.</w:t>
            </w:r>
          </w:p>
        </w:tc>
      </w:tr>
      <w:tr>
        <w:tc>
          <w:tcPr>
            <w:tcW w:type="dxa" w:w="244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Ważność oferty (do kiedy)</w:t>
            </w:r>
          </w:p>
        </w:tc>
        <w:tc>
          <w:tcPr>
            <w:tcW w:type="dxa" w:w="150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Nie</w:t>
            </w:r>
          </w:p>
        </w:tc>
        <w:tc>
          <w:tcPr>
            <w:tcW w:type="dxa" w:w="545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Data wygaśnięcia linku. Puste oznacza bezterminowo. Dostępne w trybie edycji. Po tej dacie link przestaje działać, a klient widzi informację o wygaśnięciu.</w:t>
            </w:r>
          </w:p>
        </w:tc>
      </w:tr>
    </w:tbl>
    <w:p>
      <w:pPr>
        <w:spacing w:after="80"/>
      </w:pPr>
    </w:p>
    <w:p>
      <w:pPr>
        <w:jc w:val="left"/>
        <w:spacing w:before="120" w:after="40"/>
        <w:keepNext/>
      </w:pPr>
      <w:r>
        <w:rPr>
          <w:rFonts w:ascii="Roboto Condensed" w:hAnsi="Roboto Condensed"/>
          <w:b w:val="0"/>
          <w:color w:val="2A324B"/>
          <w:sz w:val="28"/>
        </w:rPr>
        <w:t>3.2 Program dotacyjny</w:t>
      </w:r>
    </w:p>
    <w:tbl>
      <w:tblPr>
        <w:tblW w:w="9406" w:type="dxa"/>
        <w:tblStyle w:val="TableGrid"/>
        <w:tblLook w:firstColumn="1" w:firstRow="1" w:lastColumn="0" w:lastRow="0" w:noHBand="0" w:noVBand="1" w:val="04A0"/>
        <w:tblLayout w:type="fixed"/>
      </w:tblPr>
      <w:tblGrid>
        <w:gridCol w:w="2445"/>
        <w:gridCol w:w="1504"/>
        <w:gridCol w:w="5455"/>
      </w:tblGrid>
      <w:tr>
        <w:tc>
          <w:tcPr>
            <w:tcW w:type="dxa" w:w="2445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Pole</w:t>
            </w:r>
          </w:p>
        </w:tc>
        <w:tc>
          <w:tcPr>
            <w:tcW w:type="dxa" w:w="1504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Wymagane</w:t>
            </w:r>
          </w:p>
        </w:tc>
        <w:tc>
          <w:tcPr>
            <w:tcW w:type="dxa" w:w="5455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Opis</w:t>
            </w:r>
          </w:p>
        </w:tc>
      </w:tr>
      <w:tr>
        <w:tc>
          <w:tcPr>
            <w:tcW w:type="dxa" w:w="244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Wybierz z katalogu</w:t>
            </w:r>
          </w:p>
        </w:tc>
        <w:tc>
          <w:tcPr>
            <w:tcW w:type="dxa" w:w="150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Nie</w:t>
            </w:r>
          </w:p>
        </w:tc>
        <w:tc>
          <w:tcPr>
            <w:tcW w:type="dxa" w:w="545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Lista programów pogrupowana tematycznie. Wybór uzupełnia automatycznie nazwę programu.</w:t>
            </w:r>
          </w:p>
        </w:tc>
      </w:tr>
      <w:tr>
        <w:tc>
          <w:tcPr>
            <w:tcW w:type="dxa" w:w="244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Nazwa programu</w:t>
            </w:r>
          </w:p>
        </w:tc>
        <w:tc>
          <w:tcPr>
            <w:tcW w:type="dxa" w:w="150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Tak</w:t>
            </w:r>
          </w:p>
        </w:tc>
        <w:tc>
          <w:tcPr>
            <w:tcW w:type="dxa" w:w="545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Etykieta programu widoczna w ofercie.</w:t>
            </w:r>
          </w:p>
        </w:tc>
      </w:tr>
      <w:tr>
        <w:tc>
          <w:tcPr>
            <w:tcW w:type="dxa" w:w="244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Nazwa własna (override)</w:t>
            </w:r>
          </w:p>
        </w:tc>
        <w:tc>
          <w:tcPr>
            <w:tcW w:type="dxa" w:w="150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Nie</w:t>
            </w:r>
          </w:p>
        </w:tc>
        <w:tc>
          <w:tcPr>
            <w:tcW w:type="dxa" w:w="545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Opcjonalne nadpisanie nazwy.</w:t>
            </w:r>
          </w:p>
        </w:tc>
      </w:tr>
    </w:tbl>
    <w:p>
      <w:pPr>
        <w:spacing w:after="80"/>
      </w:pPr>
    </w:p>
    <w:p>
      <w:pPr>
        <w:jc w:val="left"/>
        <w:spacing w:before="120" w:after="40"/>
        <w:keepNext/>
      </w:pPr>
      <w:r>
        <w:rPr>
          <w:rFonts w:ascii="Roboto Condensed" w:hAnsi="Roboto Condensed"/>
          <w:b w:val="0"/>
          <w:color w:val="2A324B"/>
          <w:sz w:val="28"/>
        </w:rPr>
        <w:t>3.3 Finanse projektu</w:t>
      </w:r>
    </w:p>
    <w:tbl>
      <w:tblPr>
        <w:tblW w:w="9406" w:type="dxa"/>
        <w:tblStyle w:val="TableGrid"/>
        <w:tblLook w:firstColumn="1" w:firstRow="1" w:lastColumn="0" w:lastRow="0" w:noHBand="0" w:noVBand="1" w:val="04A0"/>
        <w:tblLayout w:type="fixed"/>
      </w:tblPr>
      <w:tblGrid>
        <w:gridCol w:w="2445"/>
        <w:gridCol w:w="1504"/>
        <w:gridCol w:w="5455"/>
      </w:tblGrid>
      <w:tr>
        <w:tc>
          <w:tcPr>
            <w:tcW w:type="dxa" w:w="2445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Pole</w:t>
            </w:r>
          </w:p>
        </w:tc>
        <w:tc>
          <w:tcPr>
            <w:tcW w:type="dxa" w:w="1504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Wymagane</w:t>
            </w:r>
          </w:p>
        </w:tc>
        <w:tc>
          <w:tcPr>
            <w:tcW w:type="dxa" w:w="5455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Opis</w:t>
            </w:r>
          </w:p>
        </w:tc>
      </w:tr>
      <w:tr>
        <w:tc>
          <w:tcPr>
            <w:tcW w:type="dxa" w:w="244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Wartość projektu (PLN)</w:t>
            </w:r>
          </w:p>
        </w:tc>
        <w:tc>
          <w:tcPr>
            <w:tcW w:type="dxa" w:w="150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Tak</w:t>
            </w:r>
          </w:p>
        </w:tc>
        <w:tc>
          <w:tcPr>
            <w:tcW w:type="dxa" w:w="545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Kwota netto projektu. Podstawa wyliczenia cennika.</w:t>
            </w:r>
          </w:p>
        </w:tc>
      </w:tr>
      <w:tr>
        <w:tc>
          <w:tcPr>
            <w:tcW w:type="dxa" w:w="244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Intensywność</w:t>
            </w:r>
          </w:p>
        </w:tc>
        <w:tc>
          <w:tcPr>
            <w:tcW w:type="dxa" w:w="150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Nie</w:t>
            </w:r>
          </w:p>
        </w:tc>
        <w:tc>
          <w:tcPr>
            <w:tcW w:type="dxa" w:w="545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Suwak od 10 do 95 procent. Domyślnie 70 procent.</w:t>
            </w:r>
          </w:p>
        </w:tc>
      </w:tr>
      <w:tr>
        <w:tc>
          <w:tcPr>
            <w:tcW w:type="dxa" w:w="244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Liczba projektów</w:t>
            </w:r>
          </w:p>
        </w:tc>
        <w:tc>
          <w:tcPr>
            <w:tcW w:type="dxa" w:w="150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Nie</w:t>
            </w:r>
          </w:p>
        </w:tc>
        <w:tc>
          <w:tcPr>
            <w:tcW w:type="dxa" w:w="545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Od 1 do 5. Więcej projektów uruchamia rabat.</w:t>
            </w:r>
          </w:p>
        </w:tc>
      </w:tr>
      <w:tr>
        <w:tc>
          <w:tcPr>
            <w:tcW w:type="dxa" w:w="244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Klient powracający</w:t>
            </w:r>
          </w:p>
        </w:tc>
        <w:tc>
          <w:tcPr>
            <w:tcW w:type="dxa" w:w="150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Nie</w:t>
            </w:r>
          </w:p>
        </w:tc>
        <w:tc>
          <w:tcPr>
            <w:tcW w:type="dxa" w:w="545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Zaznaczenie daje rabat 20 procent na opłatę wstępną.</w:t>
            </w:r>
          </w:p>
        </w:tc>
      </w:tr>
    </w:tbl>
    <w:p>
      <w:pPr>
        <w:spacing w:after="80"/>
      </w:pPr>
    </w:p>
    <w:p>
      <w:pPr>
        <w:jc w:val="both"/>
        <w:spacing w:after="120" w:before="0"/>
      </w:pPr>
      <w:r>
        <w:rPr>
          <w:rFonts w:ascii="Roboto Condensed" w:hAnsi="Roboto Condensed"/>
          <w:b/>
          <w:color w:val="CE181A"/>
          <w:sz w:val="22"/>
        </w:rPr>
        <w:t xml:space="preserve">Uwaga: </w:t>
      </w:r>
      <w:r>
        <w:rPr>
          <w:rFonts w:ascii="Roboto Condensed Light" w:hAnsi="Roboto Condensed Light"/>
          <w:b w:val="0"/>
          <w:color w:val="2A324B"/>
          <w:sz w:val="22"/>
        </w:rPr>
        <w:t>Każda zmiana finansów uruchamia podgląd cennika na żywo, aktualizowany po krótkiej chwili od ostatniej edycji.</w:t>
      </w:r>
    </w:p>
    <w:p>
      <w:pPr>
        <w:jc w:val="left"/>
        <w:spacing w:before="120" w:after="40"/>
        <w:keepNext/>
      </w:pPr>
      <w:r>
        <w:rPr>
          <w:rFonts w:ascii="Roboto Condensed" w:hAnsi="Roboto Condensed"/>
          <w:b w:val="0"/>
          <w:color w:val="2A324B"/>
          <w:sz w:val="28"/>
        </w:rPr>
        <w:t>3.4 Pricing (podgląd na żywo)</w:t>
      </w:r>
    </w:p>
    <w:p>
      <w:pPr>
        <w:jc w:val="both"/>
        <w:spacing w:after="120" w:before="0"/>
      </w:pPr>
      <w:r>
        <w:rPr>
          <w:rFonts w:ascii="Roboto Condensed Light" w:hAnsi="Roboto Condensed Light"/>
          <w:b w:val="0"/>
          <w:color w:val="2A324B"/>
          <w:sz w:val="22"/>
        </w:rPr>
        <w:t>Cennik działa w dwóch trybach. Auto-calc liczy wartości automatycznie z konfiguracji segmentów. Tryb ręczny (negocjacje) pozwala nadpisać kwoty i jest przydatny przy indywidualnych ustaleniach - po przełączeniu pola startują od wartości wyliczonych automatycznie.</w:t>
      </w:r>
    </w:p>
    <w:p>
      <w:pPr>
        <w:jc w:val="both"/>
        <w:spacing w:after="120" w:before="0"/>
      </w:pPr>
      <w:r>
        <w:rPr>
          <w:rFonts w:ascii="Roboto Condensed Light" w:hAnsi="Roboto Condensed Light"/>
          <w:b w:val="0"/>
          <w:color w:val="2A324B"/>
          <w:sz w:val="22"/>
        </w:rPr>
        <w:t>Tabela wariantów zawiera kolumny:</w:t>
      </w:r>
    </w:p>
    <w:tbl>
      <w:tblPr>
        <w:tblW w:w="9406" w:type="dxa"/>
        <w:tblStyle w:val="TableGrid"/>
        <w:tblLook w:firstColumn="1" w:firstRow="1" w:lastColumn="0" w:lastRow="0" w:noHBand="0" w:noVBand="1" w:val="04A0"/>
        <w:tblLayout w:type="fixed"/>
      </w:tblPr>
      <w:tblGrid>
        <w:gridCol w:w="3009"/>
        <w:gridCol w:w="6396"/>
      </w:tblGrid>
      <w:tr>
        <w:tc>
          <w:tcPr>
            <w:tcW w:type="dxa" w:w="3009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Kolumna</w:t>
            </w:r>
          </w:p>
        </w:tc>
        <w:tc>
          <w:tcPr>
            <w:tcW w:type="dxa" w:w="6396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Znaczenie</w:t>
            </w:r>
          </w:p>
        </w:tc>
      </w:tr>
      <w:tr>
        <w:tc>
          <w:tcPr>
            <w:tcW w:type="dxa" w:w="30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Opłata wstępna</w:t>
            </w:r>
          </w:p>
        </w:tc>
        <w:tc>
          <w:tcPr>
            <w:tcW w:type="dxa" w:w="63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Kwota płatna na starcie współpracy.</w:t>
            </w:r>
          </w:p>
        </w:tc>
      </w:tr>
      <w:tr>
        <w:tc>
          <w:tcPr>
            <w:tcW w:type="dxa" w:w="30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SF procent</w:t>
            </w:r>
          </w:p>
        </w:tc>
        <w:tc>
          <w:tcPr>
            <w:tcW w:type="dxa" w:w="63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Stawka wynagrodzenia od sukcesu (success fee).</w:t>
            </w:r>
          </w:p>
        </w:tc>
      </w:tr>
      <w:tr>
        <w:tc>
          <w:tcPr>
            <w:tcW w:type="dxa" w:w="30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Wynagrodzenie wynikowe</w:t>
            </w:r>
          </w:p>
        </w:tc>
        <w:tc>
          <w:tcPr>
            <w:tcW w:type="dxa" w:w="63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Kwota success fee wyliczona z dofinansowania.</w:t>
            </w:r>
          </w:p>
        </w:tc>
      </w:tr>
      <w:tr>
        <w:tc>
          <w:tcPr>
            <w:tcW w:type="dxa" w:w="30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Razem</w:t>
            </w:r>
          </w:p>
        </w:tc>
        <w:tc>
          <w:tcPr>
            <w:tcW w:type="dxa" w:w="63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Suma opłaty wstępnej i wynagrodzenia wynikowego.</w:t>
            </w:r>
          </w:p>
        </w:tc>
      </w:tr>
      <w:tr>
        <w:tc>
          <w:tcPr>
            <w:tcW w:type="dxa" w:w="30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Mies. (exec)</w:t>
            </w:r>
          </w:p>
        </w:tc>
        <w:tc>
          <w:tcPr>
            <w:tcW w:type="dxa" w:w="63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Miesięczna kwota za obsługę i rozliczanie projektu.</w:t>
            </w:r>
          </w:p>
        </w:tc>
      </w:tr>
      <w:tr>
        <w:tc>
          <w:tcPr>
            <w:tcW w:type="dxa" w:w="30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EV</w:t>
            </w:r>
          </w:p>
        </w:tc>
        <w:tc>
          <w:tcPr>
            <w:tcW w:type="dxa" w:w="63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Wartość oczekiwana - prognozowany przychód z oferty.</w:t>
            </w:r>
          </w:p>
        </w:tc>
      </w:tr>
    </w:tbl>
    <w:p>
      <w:pPr>
        <w:spacing w:after="80"/>
      </w:pP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Zaznaczenie przy wariancie oznacza, że wariant jest oferowany klientowi. Musi być zaznaczony co najmniej jeden.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Pole wyboru Wariant rekomendowany wskazuje wariant polecany klientowi (oznaczony gwiazdką). Musi należeć do oferowanych.</w:t>
      </w:r>
    </w:p>
    <w:p>
      <w:pPr>
        <w:jc w:val="both"/>
        <w:spacing w:after="2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W trybie ręcznym możesz edytować opłatę wstępną, stawkę SF i kwotę miesięczną oraz ułożyć harmonogram płatności per wariant.</w:t>
      </w:r>
    </w:p>
    <w:p>
      <w:pPr>
        <w:jc w:val="left"/>
        <w:spacing w:before="120" w:after="40"/>
        <w:keepNext/>
      </w:pPr>
      <w:r>
        <w:rPr>
          <w:rFonts w:ascii="Roboto Condensed" w:hAnsi="Roboto Condensed"/>
          <w:b w:val="0"/>
          <w:color w:val="2A324B"/>
          <w:sz w:val="28"/>
        </w:rPr>
        <w:t>3.5 Wynagrodzenie wykonawcze</w:t>
      </w:r>
    </w:p>
    <w:p>
      <w:pPr>
        <w:jc w:val="both"/>
        <w:spacing w:after="120" w:before="0"/>
      </w:pPr>
      <w:r>
        <w:rPr>
          <w:rFonts w:ascii="Roboto Condensed Light" w:hAnsi="Roboto Condensed Light"/>
          <w:b w:val="0"/>
          <w:color w:val="2A324B"/>
          <w:sz w:val="22"/>
        </w:rPr>
        <w:t>Wszystkie pola są opcjonalne. Puste oznacza użycie tekstu domyślnego.</w:t>
      </w:r>
    </w:p>
    <w:tbl>
      <w:tblPr>
        <w:tblW w:w="9406" w:type="dxa"/>
        <w:tblStyle w:val="TableGrid"/>
        <w:tblLook w:firstColumn="1" w:firstRow="1" w:lastColumn="0" w:lastRow="0" w:noHBand="0" w:noVBand="1" w:val="04A0"/>
        <w:tblLayout w:type="fixed"/>
      </w:tblPr>
      <w:tblGrid>
        <w:gridCol w:w="3009"/>
        <w:gridCol w:w="6396"/>
      </w:tblGrid>
      <w:tr>
        <w:tc>
          <w:tcPr>
            <w:tcW w:type="dxa" w:w="3009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Pole</w:t>
            </w:r>
          </w:p>
        </w:tc>
        <w:tc>
          <w:tcPr>
            <w:tcW w:type="dxa" w:w="6396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Opis</w:t>
            </w:r>
          </w:p>
        </w:tc>
      </w:tr>
      <w:tr>
        <w:tc>
          <w:tcPr>
            <w:tcW w:type="dxa" w:w="30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Kicker</w:t>
            </w:r>
          </w:p>
        </w:tc>
        <w:tc>
          <w:tcPr>
            <w:tcW w:type="dxa" w:w="63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Mała etykieta nad tytułem.</w:t>
            </w:r>
          </w:p>
        </w:tc>
      </w:tr>
      <w:tr>
        <w:tc>
          <w:tcPr>
            <w:tcW w:type="dxa" w:w="30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Tytuł</w:t>
            </w:r>
          </w:p>
        </w:tc>
        <w:tc>
          <w:tcPr>
            <w:tcW w:type="dxa" w:w="63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Nagłówek bloku wynagrodzenia wykonawczego.</w:t>
            </w:r>
          </w:p>
        </w:tc>
      </w:tr>
      <w:tr>
        <w:tc>
          <w:tcPr>
            <w:tcW w:type="dxa" w:w="30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Opis</w:t>
            </w:r>
          </w:p>
        </w:tc>
        <w:tc>
          <w:tcPr>
            <w:tcW w:type="dxa" w:w="63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Treść pod tytułem.</w:t>
            </w:r>
          </w:p>
        </w:tc>
      </w:tr>
      <w:tr>
        <w:tc>
          <w:tcPr>
            <w:tcW w:type="dxa" w:w="30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Kwota miesięczna (PLN)</w:t>
            </w:r>
          </w:p>
        </w:tc>
        <w:tc>
          <w:tcPr>
            <w:tcW w:type="dxa" w:w="63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Puste oznacza użycie kwoty z wybranego wariantu.</w:t>
            </w:r>
          </w:p>
        </w:tc>
      </w:tr>
    </w:tbl>
    <w:p>
      <w:pPr>
        <w:spacing w:after="80"/>
      </w:pPr>
    </w:p>
    <w:p>
      <w:pPr>
        <w:jc w:val="left"/>
        <w:spacing w:before="120" w:after="40"/>
        <w:keepNext/>
      </w:pPr>
      <w:r>
        <w:rPr>
          <w:rFonts w:ascii="Roboto Condensed" w:hAnsi="Roboto Condensed"/>
          <w:b w:val="0"/>
          <w:color w:val="2A324B"/>
          <w:sz w:val="28"/>
        </w:rPr>
        <w:t>3.6 Treść w ofercie</w:t>
      </w:r>
    </w:p>
    <w:p>
      <w:pPr>
        <w:jc w:val="both"/>
        <w:spacing w:after="120" w:before="0"/>
      </w:pPr>
      <w:r>
        <w:rPr>
          <w:rFonts w:ascii="Roboto Condensed Light" w:hAnsi="Roboto Condensed Light"/>
          <w:b w:val="0"/>
          <w:color w:val="2A324B"/>
          <w:sz w:val="22"/>
        </w:rPr>
        <w:t>Wszystkie pola są opcjonalne, a puste wracają do treści domyślnej.</w:t>
      </w:r>
    </w:p>
    <w:tbl>
      <w:tblPr>
        <w:tblW w:w="9406" w:type="dxa"/>
        <w:tblStyle w:val="TableGrid"/>
        <w:tblLook w:firstColumn="1" w:firstRow="1" w:lastColumn="0" w:lastRow="0" w:noHBand="0" w:noVBand="1" w:val="04A0"/>
        <w:tblLayout w:type="fixed"/>
      </w:tblPr>
      <w:tblGrid>
        <w:gridCol w:w="3009"/>
        <w:gridCol w:w="6396"/>
      </w:tblGrid>
      <w:tr>
        <w:tc>
          <w:tcPr>
            <w:tcW w:type="dxa" w:w="3009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Pole</w:t>
            </w:r>
          </w:p>
        </w:tc>
        <w:tc>
          <w:tcPr>
            <w:tcW w:type="dxa" w:w="6396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Opis</w:t>
            </w:r>
          </w:p>
        </w:tc>
      </w:tr>
      <w:tr>
        <w:tc>
          <w:tcPr>
            <w:tcW w:type="dxa" w:w="30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Potrzeby klienta</w:t>
            </w:r>
          </w:p>
        </w:tc>
        <w:tc>
          <w:tcPr>
            <w:tcW w:type="dxa" w:w="63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Punkty sekcji Wprowadzenie. Każdy punkt ma tytuł i opis.</w:t>
            </w:r>
          </w:p>
        </w:tc>
      </w:tr>
      <w:tr>
        <w:tc>
          <w:tcPr>
            <w:tcW w:type="dxa" w:w="30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Wstęp (intro)</w:t>
            </w:r>
          </w:p>
        </w:tc>
        <w:tc>
          <w:tcPr>
            <w:tcW w:type="dxa" w:w="63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Tekst nad cennikiem.</w:t>
            </w:r>
          </w:p>
        </w:tc>
      </w:tr>
      <w:tr>
        <w:tc>
          <w:tcPr>
            <w:tcW w:type="dxa" w:w="30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Podsumowanie (footer)</w:t>
            </w:r>
          </w:p>
        </w:tc>
        <w:tc>
          <w:tcPr>
            <w:tcW w:type="dxa" w:w="63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Tekst pod cennikiem.</w:t>
            </w:r>
          </w:p>
        </w:tc>
      </w:tr>
      <w:tr>
        <w:tc>
          <w:tcPr>
            <w:tcW w:type="dxa" w:w="30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Uwagi do wyceny</w:t>
            </w:r>
          </w:p>
        </w:tc>
        <w:tc>
          <w:tcPr>
            <w:tcW w:type="dxa" w:w="63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Wyróżniony box w sekcji wynagrodzenia, na przykład informacja o rabacie.</w:t>
            </w:r>
          </w:p>
        </w:tc>
      </w:tr>
      <w:tr>
        <w:tc>
          <w:tcPr>
            <w:tcW w:type="dxa" w:w="30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Dlaczego ten nabór</w:t>
            </w:r>
          </w:p>
        </w:tc>
        <w:tc>
          <w:tcPr>
            <w:tcW w:type="dxa" w:w="63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Uzasadnienie w sekcji Rekomendujemy.</w:t>
            </w:r>
          </w:p>
        </w:tc>
      </w:tr>
      <w:tr>
        <w:tc>
          <w:tcPr>
            <w:tcW w:type="dxa" w:w="30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Opis rekomendowanego programu</w:t>
            </w:r>
          </w:p>
        </w:tc>
        <w:tc>
          <w:tcPr>
            <w:tcW w:type="dxa" w:w="63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Edytor tekstu sformatowanego. Puste oznacza cztery domyślne punkty.</w:t>
            </w:r>
          </w:p>
        </w:tc>
      </w:tr>
      <w:tr>
        <w:tc>
          <w:tcPr>
            <w:tcW w:type="dxa" w:w="30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Alternatywne programy</w:t>
            </w:r>
          </w:p>
        </w:tc>
        <w:tc>
          <w:tcPr>
            <w:tcW w:type="dxa" w:w="63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Lista programów zapasowych. Puste oznacza cztery domyślne pozycje.</w:t>
            </w:r>
          </w:p>
        </w:tc>
      </w:tr>
    </w:tbl>
    <w:p>
      <w:pPr>
        <w:spacing w:after="80"/>
      </w:pPr>
    </w:p>
    <w:p>
      <w:pPr>
        <w:jc w:val="left"/>
        <w:spacing w:before="120" w:after="40"/>
        <w:keepNext/>
      </w:pPr>
      <w:r>
        <w:rPr>
          <w:rFonts w:ascii="Roboto Condensed" w:hAnsi="Roboto Condensed"/>
          <w:b w:val="0"/>
          <w:color w:val="2A324B"/>
          <w:sz w:val="28"/>
        </w:rPr>
        <w:t>3.7 Załączniki i właściciel oferty</w:t>
      </w:r>
    </w:p>
    <w:tbl>
      <w:tblPr>
        <w:tblW w:w="9406" w:type="dxa"/>
        <w:tblStyle w:val="TableGrid"/>
        <w:tblLook w:firstColumn="1" w:firstRow="1" w:lastColumn="0" w:lastRow="0" w:noHBand="0" w:noVBand="1" w:val="04A0"/>
        <w:tblLayout w:type="fixed"/>
      </w:tblPr>
      <w:tblGrid>
        <w:gridCol w:w="3009"/>
        <w:gridCol w:w="6396"/>
      </w:tblGrid>
      <w:tr>
        <w:tc>
          <w:tcPr>
            <w:tcW w:type="dxa" w:w="3009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Pole</w:t>
            </w:r>
          </w:p>
        </w:tc>
        <w:tc>
          <w:tcPr>
            <w:tcW w:type="dxa" w:w="6396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Opis</w:t>
            </w:r>
          </w:p>
        </w:tc>
      </w:tr>
      <w:tr>
        <w:tc>
          <w:tcPr>
            <w:tcW w:type="dxa" w:w="30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Osoba kontaktowa</w:t>
            </w:r>
          </w:p>
        </w:tc>
        <w:tc>
          <w:tcPr>
            <w:tcW w:type="dxa" w:w="63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Wybór z katalogu osób kontaktowych. Pojawia się w ofercie.</w:t>
            </w:r>
          </w:p>
        </w:tc>
      </w:tr>
      <w:tr>
        <w:tc>
          <w:tcPr>
            <w:tcW w:type="dxa" w:w="30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Case study</w:t>
            </w:r>
          </w:p>
        </w:tc>
        <w:tc>
          <w:tcPr>
            <w:tcW w:type="dxa" w:w="63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Wybór zrealizowanego projektu z katalogu, prezentowany klientowi jako dowód.</w:t>
            </w:r>
          </w:p>
        </w:tc>
      </w:tr>
      <w:tr>
        <w:tc>
          <w:tcPr>
            <w:tcW w:type="dxa" w:w="30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Przypisany konsultant</w:t>
            </w:r>
          </w:p>
        </w:tc>
        <w:tc>
          <w:tcPr>
            <w:tcW w:type="dxa" w:w="63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Widoczne dla administratora. Zmienia, kto widzi i edytuje ofertę. Autor się nie zmienia.</w:t>
            </w:r>
          </w:p>
        </w:tc>
      </w:tr>
    </w:tbl>
    <w:p>
      <w:pPr>
        <w:spacing w:after="80"/>
      </w:pPr>
    </w:p>
    <w:p>
      <w:pPr>
        <w:jc w:val="left"/>
        <w:spacing w:before="160" w:after="40"/>
      </w:pPr>
      <w:r>
        <w:rPr>
          <w:rFonts w:ascii="Roboto Condensed" w:hAnsi="Roboto Condensed"/>
          <w:b w:val="0"/>
          <w:color w:val="2A324B"/>
          <w:sz w:val="36"/>
        </w:rPr>
        <w:t>4. Zapis: wersja robocza i szablon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Stwórz ofertę lub Zapisz zmiany zapisuje ofertę. Nowa oferta powstaje jako wersja robocza, po zapisie przechodzisz do edytora.</w:t>
      </w:r>
    </w:p>
    <w:p>
      <w:pPr>
        <w:jc w:val="both"/>
        <w:spacing w:after="2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Zapisz jako szablon zapisuje bieżące ustawienia (program, warianty, treści) bez danych klienta, do wykorzystania w kolejnych ofertach. To nie jest publikacja oferty, tylko wzorzec.</w:t>
      </w:r>
    </w:p>
    <w:p>
      <w:pPr>
        <w:jc w:val="both"/>
        <w:spacing w:after="120" w:before="0"/>
      </w:pPr>
      <w:r>
        <w:rPr>
          <w:rFonts w:ascii="Roboto Condensed" w:hAnsi="Roboto Condensed"/>
          <w:b/>
          <w:color w:val="CE181A"/>
          <w:sz w:val="22"/>
        </w:rPr>
        <w:t xml:space="preserve">Uwaga: </w:t>
      </w:r>
      <w:r>
        <w:rPr>
          <w:rFonts w:ascii="Roboto Condensed Light" w:hAnsi="Roboto Condensed Light"/>
          <w:b w:val="0"/>
          <w:color w:val="2A324B"/>
          <w:sz w:val="22"/>
        </w:rPr>
        <w:t>Edycja oferty już wysłanej pokaże ostrzeżenie - zmiana finansów wymusi ponowne przeliczenie cennika i odświeżenie pliku PDF.</w:t>
      </w:r>
    </w:p>
    <w:p>
      <w:pPr>
        <w:jc w:val="left"/>
        <w:spacing w:before="160" w:after="40"/>
      </w:pPr>
      <w:r>
        <w:rPr>
          <w:rFonts w:ascii="Roboto Condensed" w:hAnsi="Roboto Condensed"/>
          <w:b w:val="0"/>
          <w:color w:val="2A324B"/>
          <w:sz w:val="36"/>
        </w:rPr>
        <w:t>5. Akcje na ofercie</w:t>
      </w:r>
    </w:p>
    <w:tbl>
      <w:tblPr>
        <w:tblW w:w="9406" w:type="dxa"/>
        <w:tblStyle w:val="TableGrid"/>
        <w:tblLook w:firstColumn="1" w:firstRow="1" w:lastColumn="0" w:lastRow="0" w:noHBand="0" w:noVBand="1" w:val="04A0"/>
        <w:tblLayout w:type="fixed"/>
      </w:tblPr>
      <w:tblGrid>
        <w:gridCol w:w="3009"/>
        <w:gridCol w:w="6396"/>
      </w:tblGrid>
      <w:tr>
        <w:tc>
          <w:tcPr>
            <w:tcW w:type="dxa" w:w="3009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Akcja</w:t>
            </w:r>
          </w:p>
        </w:tc>
        <w:tc>
          <w:tcPr>
            <w:tcW w:type="dxa" w:w="6396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Co robi</w:t>
            </w:r>
          </w:p>
        </w:tc>
      </w:tr>
      <w:tr>
        <w:tc>
          <w:tcPr>
            <w:tcW w:type="dxa" w:w="30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Wyślij ofertę / Wyślij ponownie</w:t>
            </w:r>
          </w:p>
        </w:tc>
        <w:tc>
          <w:tcPr>
            <w:tcW w:type="dxa" w:w="63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Otwiera okno z adresem odbiorcy, tematem i wiadomością. Wysyła klientowi maila z linkiem, ustawia status na wysłana. Jeśli mail nie dotrze, błąd pokazuje się od razu.</w:t>
            </w:r>
          </w:p>
        </w:tc>
      </w:tr>
      <w:tr>
        <w:tc>
          <w:tcPr>
            <w:tcW w:type="dxa" w:w="30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Przelicz pricing</w:t>
            </w:r>
          </w:p>
        </w:tc>
        <w:tc>
          <w:tcPr>
            <w:tcW w:type="dxa" w:w="63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Ponownie wylicza cennik. Przy ofercie innej niż robocza prosi o potwierdzenie.</w:t>
            </w:r>
          </w:p>
        </w:tc>
      </w:tr>
      <w:tr>
        <w:tc>
          <w:tcPr>
            <w:tcW w:type="dxa" w:w="30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Skopiuj link</w:t>
            </w:r>
          </w:p>
        </w:tc>
        <w:tc>
          <w:tcPr>
            <w:tcW w:type="dxa" w:w="63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Dla wersji roboczej kopiuje link podglądu (działa tylko dla zalogowanego), dla wysłanej link publiczny dla klienta.</w:t>
            </w:r>
          </w:p>
        </w:tc>
      </w:tr>
      <w:tr>
        <w:tc>
          <w:tcPr>
            <w:tcW w:type="dxa" w:w="30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Podgląd</w:t>
            </w:r>
          </w:p>
        </w:tc>
        <w:tc>
          <w:tcPr>
            <w:tcW w:type="dxa" w:w="63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Otwiera ofertę tak, jak zobaczy ją klient.</w:t>
            </w:r>
          </w:p>
        </w:tc>
      </w:tr>
      <w:tr>
        <w:tc>
          <w:tcPr>
            <w:tcW w:type="dxa" w:w="30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Usuń (soft-delete)</w:t>
            </w:r>
          </w:p>
        </w:tc>
        <w:tc>
          <w:tcPr>
            <w:tcW w:type="dxa" w:w="63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Tylko administrator. Oferta znika z list, ale zostaje w bazie na potrzeby zgodności z RODO.</w:t>
            </w:r>
          </w:p>
        </w:tc>
      </w:tr>
      <w:tr>
        <w:tc>
          <w:tcPr>
            <w:tcW w:type="dxa" w:w="300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Zmiana konsultanta</w:t>
            </w:r>
          </w:p>
        </w:tc>
        <w:tc>
          <w:tcPr>
            <w:tcW w:type="dxa" w:w="639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Przez sekcję Właściciel oferty w formularzu.</w:t>
            </w:r>
          </w:p>
        </w:tc>
      </w:tr>
    </w:tbl>
    <w:p>
      <w:pPr>
        <w:spacing w:after="80"/>
      </w:pPr>
    </w:p>
    <w:p>
      <w:pPr>
        <w:jc w:val="left"/>
        <w:spacing w:before="160" w:after="40"/>
      </w:pPr>
      <w:r>
        <w:rPr>
          <w:rFonts w:ascii="Roboto Condensed" w:hAnsi="Roboto Condensed"/>
          <w:b w:val="0"/>
          <w:color w:val="2A324B"/>
          <w:sz w:val="36"/>
        </w:rPr>
        <w:t>6. Co widzi klient</w:t>
      </w:r>
    </w:p>
    <w:p>
      <w:pPr>
        <w:jc w:val="both"/>
        <w:spacing w:after="120" w:before="0"/>
      </w:pPr>
      <w:r>
        <w:rPr>
          <w:rFonts w:ascii="Roboto Condensed Light" w:hAnsi="Roboto Condensed Light"/>
          <w:b w:val="0"/>
          <w:color w:val="2A324B"/>
          <w:sz w:val="22"/>
        </w:rPr>
        <w:t>Klient otwiera ofertę pod linkiem i przewija osiem numerowanych sekcji. Na górze widzi numer oferty, datę, swoją nazwę i program, a jeśli ustawiono termin ważności - datę do której oferta obowiązuje.</w:t>
      </w:r>
    </w:p>
    <w:tbl>
      <w:tblPr>
        <w:tblW w:w="9406" w:type="dxa"/>
        <w:tblStyle w:val="TableGrid"/>
        <w:tblLook w:firstColumn="1" w:firstRow="1" w:lastColumn="0" w:lastRow="0" w:noHBand="0" w:noVBand="1" w:val="04A0"/>
        <w:tblLayout w:type="fixed"/>
      </w:tblPr>
      <w:tblGrid>
        <w:gridCol w:w="2821"/>
        <w:gridCol w:w="6584"/>
      </w:tblGrid>
      <w:tr>
        <w:tc>
          <w:tcPr>
            <w:tcW w:type="dxa" w:w="2821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Sekcja</w:t>
            </w:r>
          </w:p>
        </w:tc>
        <w:tc>
          <w:tcPr>
            <w:tcW w:type="dxa" w:w="6584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Zawartość</w:t>
            </w:r>
          </w:p>
        </w:tc>
      </w:tr>
      <w:tr>
        <w:tc>
          <w:tcPr>
            <w:tcW w:type="dxa" w:w="282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01 Wprowadzenie</w:t>
            </w:r>
          </w:p>
        </w:tc>
        <w:tc>
          <w:tcPr>
            <w:tcW w:type="dxa" w:w="65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Powitanie i lista potrzeb klienta.</w:t>
            </w:r>
          </w:p>
        </w:tc>
      </w:tr>
      <w:tr>
        <w:tc>
          <w:tcPr>
            <w:tcW w:type="dxa" w:w="282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02 Proponowane rozwiązanie</w:t>
            </w:r>
          </w:p>
        </w:tc>
        <w:tc>
          <w:tcPr>
            <w:tcW w:type="dxa" w:w="65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Uzasadnienie naboru, opis programu, inne możliwości wsparcia.</w:t>
            </w:r>
          </w:p>
        </w:tc>
      </w:tr>
      <w:tr>
        <w:tc>
          <w:tcPr>
            <w:tcW w:type="dxa" w:w="282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03 Zakres usługi doradczej</w:t>
            </w:r>
          </w:p>
        </w:tc>
        <w:tc>
          <w:tcPr>
            <w:tcW w:type="dxa" w:w="65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Rozwijana lista zadań na etapie przygotowania i obsługi.</w:t>
            </w:r>
          </w:p>
        </w:tc>
      </w:tr>
      <w:tr>
        <w:tc>
          <w:tcPr>
            <w:tcW w:type="dxa" w:w="282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04 Model wynagrodzenia</w:t>
            </w:r>
          </w:p>
        </w:tc>
        <w:tc>
          <w:tcPr>
            <w:tcW w:type="dxa" w:w="65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Założenia, tabela wariantów, wynagrodzenie wykonawcze, ewentualny box z rabatem.</w:t>
            </w:r>
          </w:p>
        </w:tc>
      </w:tr>
      <w:tr>
        <w:tc>
          <w:tcPr>
            <w:tcW w:type="dxa" w:w="282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05 Schemat procesu</w:t>
            </w:r>
          </w:p>
        </w:tc>
        <w:tc>
          <w:tcPr>
            <w:tcW w:type="dxa" w:w="65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Oś czasu współpracy.</w:t>
            </w:r>
          </w:p>
        </w:tc>
      </w:tr>
      <w:tr>
        <w:tc>
          <w:tcPr>
            <w:tcW w:type="dxa" w:w="282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06 Dlaczego K2Biznes</w:t>
            </w:r>
          </w:p>
        </w:tc>
        <w:tc>
          <w:tcPr>
            <w:tcW w:type="dxa" w:w="65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Wartości firmy, statystyki oraz case study jako dowód.</w:t>
            </w:r>
          </w:p>
        </w:tc>
      </w:tr>
      <w:tr>
        <w:tc>
          <w:tcPr>
            <w:tcW w:type="dxa" w:w="282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07 FAQ</w:t>
            </w:r>
          </w:p>
        </w:tc>
        <w:tc>
          <w:tcPr>
            <w:tcW w:type="dxa" w:w="65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Najczęstsze pytania i odpowiedzi.</w:t>
            </w:r>
          </w:p>
        </w:tc>
      </w:tr>
      <w:tr>
        <w:tc>
          <w:tcPr>
            <w:tcW w:type="dxa" w:w="282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08 Akceptacja</w:t>
            </w:r>
          </w:p>
        </w:tc>
        <w:tc>
          <w:tcPr>
            <w:tcW w:type="dxa" w:w="65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Wybór wariantu, dane osoby akceptującej, komentarz i wymagana zgoda RODO.</w:t>
            </w:r>
          </w:p>
        </w:tc>
      </w:tr>
    </w:tbl>
    <w:p>
      <w:pPr>
        <w:spacing w:after="80"/>
      </w:pPr>
    </w:p>
    <w:p>
      <w:pPr>
        <w:jc w:val="both"/>
        <w:spacing w:after="120" w:before="0"/>
      </w:pPr>
      <w:r>
        <w:rPr>
          <w:rFonts w:ascii="Roboto Condensed" w:hAnsi="Roboto Condensed"/>
          <w:b/>
          <w:color w:val="CE181A"/>
          <w:sz w:val="22"/>
        </w:rPr>
        <w:t xml:space="preserve">Uwaga: </w:t>
      </w:r>
      <w:r>
        <w:rPr>
          <w:rFonts w:ascii="Roboto Condensed Light" w:hAnsi="Roboto Condensed Light"/>
          <w:b w:val="0"/>
          <w:color w:val="2A324B"/>
          <w:sz w:val="22"/>
        </w:rPr>
        <w:t>Klient akceptuje lub odrzuca ofertę wprost na stronie. Zgoda RODO przy akceptacji jest obowiązkowa. Po decyzji na górze pojawia się baner ze statusem oferty.</w:t>
      </w:r>
    </w:p>
    <w:p>
      <w:pPr>
        <w:jc w:val="left"/>
        <w:spacing w:before="160" w:after="40"/>
      </w:pPr>
      <w:r>
        <w:rPr>
          <w:rFonts w:ascii="Roboto Condensed" w:hAnsi="Roboto Condensed"/>
          <w:b w:val="0"/>
          <w:color w:val="2A324B"/>
          <w:sz w:val="36"/>
        </w:rPr>
        <w:t>7. Dashboard aktywności oferty</w:t>
      </w:r>
    </w:p>
    <w:p>
      <w:pPr>
        <w:jc w:val="both"/>
        <w:spacing w:after="120" w:before="0"/>
      </w:pPr>
      <w:r>
        <w:rPr>
          <w:rFonts w:ascii="Roboto Condensed Light" w:hAnsi="Roboto Condensed Light"/>
          <w:b w:val="0"/>
          <w:color w:val="2A324B"/>
          <w:sz w:val="22"/>
        </w:rPr>
        <w:t>Dla każdej wysłanej oferty dostępny jest podgląd aktywności - widać, jak klient korzysta z oferty: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Liczba otwarć oraz data pierwszego i ostatniego otwarcia.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Postęp czytania - które z ośmiu sekcji klient doczytał.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Zainteresowanie wariantami - najechania i podświetlenia wariantów.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Pobrania pliku PDF.</w:t>
      </w:r>
    </w:p>
    <w:p>
      <w:pPr>
        <w:jc w:val="both"/>
        <w:spacing w:after="2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Oś zdarzeń - chronologiczny zapis aktywności klienta i działań zespołu.</w:t>
      </w:r>
    </w:p>
    <w:p>
      <w:pPr>
        <w:jc w:val="left"/>
        <w:spacing w:before="160" w:after="40"/>
      </w:pPr>
      <w:r>
        <w:rPr>
          <w:rFonts w:ascii="Roboto Condensed" w:hAnsi="Roboto Condensed"/>
          <w:b w:val="0"/>
          <w:color w:val="2A324B"/>
          <w:sz w:val="36"/>
        </w:rPr>
        <w:t>8. Ustawienia firmowe i katalogi</w:t>
      </w:r>
    </w:p>
    <w:p>
      <w:pPr>
        <w:jc w:val="both"/>
        <w:spacing w:after="120" w:before="0"/>
      </w:pPr>
      <w:r>
        <w:rPr>
          <w:rFonts w:ascii="Roboto Condensed Light" w:hAnsi="Roboto Condensed Light"/>
          <w:b w:val="0"/>
          <w:color w:val="2A324B"/>
          <w:sz w:val="22"/>
        </w:rPr>
        <w:t>Treści wspólne dla wszystkich ofert utrzymuje się w osobnych modułach, aby nie powtarzać ich przy każdej ofercie:</w:t>
      </w:r>
    </w:p>
    <w:tbl>
      <w:tblPr>
        <w:tblW w:w="9406" w:type="dxa"/>
        <w:tblStyle w:val="TableGrid"/>
        <w:tblLook w:firstColumn="1" w:firstRow="1" w:lastColumn="0" w:lastRow="0" w:noHBand="0" w:noVBand="1" w:val="04A0"/>
        <w:tblLayout w:type="fixed"/>
      </w:tblPr>
      <w:tblGrid>
        <w:gridCol w:w="2257"/>
        <w:gridCol w:w="2445"/>
        <w:gridCol w:w="4703"/>
      </w:tblGrid>
      <w:tr>
        <w:tc>
          <w:tcPr>
            <w:tcW w:type="dxa" w:w="2257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Moduł</w:t>
            </w:r>
          </w:p>
        </w:tc>
        <w:tc>
          <w:tcPr>
            <w:tcW w:type="dxa" w:w="2445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Ścieżka</w:t>
            </w:r>
          </w:p>
        </w:tc>
        <w:tc>
          <w:tcPr>
            <w:tcW w:type="dxa" w:w="4703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Do czego służy</w:t>
            </w:r>
          </w:p>
        </w:tc>
      </w:tr>
      <w:tr>
        <w:tc>
          <w:tcPr>
            <w:tcW w:type="dxa" w:w="225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Ustawienia firmowe</w:t>
            </w:r>
          </w:p>
        </w:tc>
        <w:tc>
          <w:tcPr>
            <w:tcW w:type="dxa" w:w="244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/admin/ustawienia</w:t>
            </w:r>
          </w:p>
        </w:tc>
        <w:tc>
          <w:tcPr>
            <w:tcW w:type="dxa" w:w="4703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Statystyki firmowe (kwota dofinansowania, liczba projektów, rok startu) i test wysyłki email. Zmiana propaguje na wszystkie oferty. Rola super_admin.</w:t>
            </w:r>
          </w:p>
        </w:tc>
      </w:tr>
      <w:tr>
        <w:tc>
          <w:tcPr>
            <w:tcW w:type="dxa" w:w="225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Programy</w:t>
            </w:r>
          </w:p>
        </w:tc>
        <w:tc>
          <w:tcPr>
            <w:tcW w:type="dxa" w:w="244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/admin/programs</w:t>
            </w:r>
          </w:p>
        </w:tc>
        <w:tc>
          <w:tcPr>
            <w:tcW w:type="dxa" w:w="4703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Katalog programów dotacyjnych.</w:t>
            </w:r>
          </w:p>
        </w:tc>
      </w:tr>
      <w:tr>
        <w:tc>
          <w:tcPr>
            <w:tcW w:type="dxa" w:w="225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Case studies</w:t>
            </w:r>
          </w:p>
        </w:tc>
        <w:tc>
          <w:tcPr>
            <w:tcW w:type="dxa" w:w="244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/admin/case-studies</w:t>
            </w:r>
          </w:p>
        </w:tc>
        <w:tc>
          <w:tcPr>
            <w:tcW w:type="dxa" w:w="4703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Zrealizowane projekty pokazywane klientom.</w:t>
            </w:r>
          </w:p>
        </w:tc>
      </w:tr>
      <w:tr>
        <w:tc>
          <w:tcPr>
            <w:tcW w:type="dxa" w:w="225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Osoby kontaktowe</w:t>
            </w:r>
          </w:p>
        </w:tc>
        <w:tc>
          <w:tcPr>
            <w:tcW w:type="dxa" w:w="244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/admin/contact-persons</w:t>
            </w:r>
          </w:p>
        </w:tc>
        <w:tc>
          <w:tcPr>
            <w:tcW w:type="dxa" w:w="4703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Dane konsultantów w ofertach.</w:t>
            </w:r>
          </w:p>
        </w:tc>
      </w:tr>
      <w:tr>
        <w:tc>
          <w:tcPr>
            <w:tcW w:type="dxa" w:w="225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Alternatywne programy</w:t>
            </w:r>
          </w:p>
        </w:tc>
        <w:tc>
          <w:tcPr>
            <w:tcW w:type="dxa" w:w="244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/admin/alt-programs</w:t>
            </w:r>
          </w:p>
        </w:tc>
        <w:tc>
          <w:tcPr>
            <w:tcW w:type="dxa" w:w="4703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Biblioteka programów zapasowych.</w:t>
            </w:r>
          </w:p>
        </w:tc>
      </w:tr>
      <w:tr>
        <w:tc>
          <w:tcPr>
            <w:tcW w:type="dxa" w:w="225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Szablony</w:t>
            </w:r>
          </w:p>
        </w:tc>
        <w:tc>
          <w:tcPr>
            <w:tcW w:type="dxa" w:w="244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/admin/templates</w:t>
            </w:r>
          </w:p>
        </w:tc>
        <w:tc>
          <w:tcPr>
            <w:tcW w:type="dxa" w:w="4703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Zapisane wzorce ofert.</w:t>
            </w:r>
          </w:p>
        </w:tc>
      </w:tr>
      <w:tr>
        <w:tc>
          <w:tcPr>
            <w:tcW w:type="dxa" w:w="225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FAQ</w:t>
            </w:r>
          </w:p>
        </w:tc>
        <w:tc>
          <w:tcPr>
            <w:tcW w:type="dxa" w:w="244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/admin/faq</w:t>
            </w:r>
          </w:p>
        </w:tc>
        <w:tc>
          <w:tcPr>
            <w:tcW w:type="dxa" w:w="4703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Globalne pytania i odpowiedzi.</w:t>
            </w:r>
          </w:p>
        </w:tc>
      </w:tr>
      <w:tr>
        <w:tc>
          <w:tcPr>
            <w:tcW w:type="dxa" w:w="225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Użytkownicy</w:t>
            </w:r>
          </w:p>
        </w:tc>
        <w:tc>
          <w:tcPr>
            <w:tcW w:type="dxa" w:w="244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/admin/users</w:t>
            </w:r>
          </w:p>
        </w:tc>
        <w:tc>
          <w:tcPr>
            <w:tcW w:type="dxa" w:w="4703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Konta i role. Rola super_admin.</w:t>
            </w:r>
          </w:p>
        </w:tc>
      </w:tr>
    </w:tbl>
    <w:p>
      <w:pPr>
        <w:spacing w:after="80"/>
      </w:pPr>
    </w:p>
    <w:p>
      <w:pPr>
        <w:jc w:val="left"/>
        <w:spacing w:before="240" w:after="40"/>
      </w:pPr>
      <w:r>
        <w:rPr>
          <w:rFonts w:ascii="Roboto Condensed" w:hAnsi="Roboto Condensed"/>
          <w:b w:val="0"/>
          <w:color w:val="2A324B"/>
          <w:sz w:val="64"/>
        </w:rPr>
        <w:t>Część II - Architektura systemu (dla zespołu technicznego)</w:t>
      </w:r>
    </w:p>
    <w:p>
      <w:pPr>
        <w:jc w:val="left"/>
        <w:spacing w:before="160" w:after="40"/>
      </w:pPr>
      <w:r>
        <w:rPr>
          <w:rFonts w:ascii="Roboto Condensed" w:hAnsi="Roboto Condensed"/>
          <w:b w:val="0"/>
          <w:color w:val="2A324B"/>
          <w:sz w:val="36"/>
        </w:rPr>
        <w:t>1. Stack technologiczny</w:t>
      </w:r>
    </w:p>
    <w:tbl>
      <w:tblPr>
        <w:tblW w:w="9406" w:type="dxa"/>
        <w:tblStyle w:val="TableGrid"/>
        <w:tblLook w:firstColumn="1" w:firstRow="1" w:lastColumn="0" w:lastRow="0" w:noHBand="0" w:noVBand="1" w:val="04A0"/>
        <w:tblLayout w:type="fixed"/>
      </w:tblPr>
      <w:tblGrid>
        <w:gridCol w:w="2633"/>
        <w:gridCol w:w="6772"/>
      </w:tblGrid>
      <w:tr>
        <w:tc>
          <w:tcPr>
            <w:tcW w:type="dxa" w:w="2633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Warstwa</w:t>
            </w:r>
          </w:p>
        </w:tc>
        <w:tc>
          <w:tcPr>
            <w:tcW w:type="dxa" w:w="6772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Technologia</w:t>
            </w:r>
          </w:p>
        </w:tc>
      </w:tr>
      <w:tr>
        <w:tc>
          <w:tcPr>
            <w:tcW w:type="dxa" w:w="2633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Frontend i backend</w:t>
            </w:r>
          </w:p>
        </w:tc>
        <w:tc>
          <w:tcPr>
            <w:tcW w:type="dxa" w:w="677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Next.js 14 (App Router), TypeScript, walidacja Zod. Monorepo (apps/web, packages, supabase).</w:t>
            </w:r>
          </w:p>
        </w:tc>
      </w:tr>
      <w:tr>
        <w:tc>
          <w:tcPr>
            <w:tcW w:type="dxa" w:w="2633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Baza, autoryzacja, pliki</w:t>
            </w:r>
          </w:p>
        </w:tc>
        <w:tc>
          <w:tcPr>
            <w:tcW w:type="dxa" w:w="677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Supabase Cloud - PostgreSQL 17, region eu-central-1. Autoryzacja PKCE, Storage, RLS na każdej tabeli.</w:t>
            </w:r>
          </w:p>
        </w:tc>
      </w:tr>
      <w:tr>
        <w:tc>
          <w:tcPr>
            <w:tcW w:type="dxa" w:w="2633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Hosting</w:t>
            </w:r>
          </w:p>
        </w:tc>
        <w:tc>
          <w:tcPr>
            <w:tcW w:type="dxa" w:w="677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Vercel, domena oferta.k2biznes.pl, automatyczny deploy z gałęzi main.</w:t>
            </w:r>
          </w:p>
        </w:tc>
      </w:tr>
      <w:tr>
        <w:tc>
          <w:tcPr>
            <w:tcW w:type="dxa" w:w="2633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Limity zapytań</w:t>
            </w:r>
          </w:p>
        </w:tc>
        <w:tc>
          <w:tcPr>
            <w:tcW w:type="dxa" w:w="677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Upstash Redis w warstwie pośredniej (middleware).</w:t>
            </w:r>
          </w:p>
        </w:tc>
      </w:tr>
      <w:tr>
        <w:tc>
          <w:tcPr>
            <w:tcW w:type="dxa" w:w="2633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Email</w:t>
            </w:r>
          </w:p>
        </w:tc>
        <w:tc>
          <w:tcPr>
            <w:tcW w:type="dxa" w:w="677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Resend, domena k2biznes.pl z podpisem DKIM.</w:t>
            </w:r>
          </w:p>
        </w:tc>
      </w:tr>
      <w:tr>
        <w:tc>
          <w:tcPr>
            <w:tcW w:type="dxa" w:w="2633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Monitoring</w:t>
            </w:r>
          </w:p>
        </w:tc>
        <w:tc>
          <w:tcPr>
            <w:tcW w:type="dxa" w:w="677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Sentry (region UE) oraz UptimeRobot pingujący /api/health co 5 minut.</w:t>
            </w:r>
          </w:p>
        </w:tc>
      </w:tr>
    </w:tbl>
    <w:p>
      <w:pPr>
        <w:spacing w:after="80"/>
      </w:pPr>
    </w:p>
    <w:p>
      <w:pPr>
        <w:jc w:val="left"/>
        <w:spacing w:before="160" w:after="40"/>
      </w:pPr>
      <w:r>
        <w:rPr>
          <w:rFonts w:ascii="Roboto Condensed" w:hAnsi="Roboto Condensed"/>
          <w:b w:val="0"/>
          <w:color w:val="2A324B"/>
          <w:sz w:val="36"/>
        </w:rPr>
        <w:t>2. Model danych</w:t>
      </w:r>
    </w:p>
    <w:p>
      <w:pPr>
        <w:jc w:val="both"/>
        <w:spacing w:after="120" w:before="0"/>
      </w:pPr>
      <w:r>
        <w:rPr>
          <w:rFonts w:ascii="Roboto Condensed Light" w:hAnsi="Roboto Condensed Light"/>
          <w:b w:val="0"/>
          <w:color w:val="2A324B"/>
          <w:sz w:val="22"/>
        </w:rPr>
        <w:t>Najważniejsze tabele bazy:</w:t>
      </w:r>
    </w:p>
    <w:tbl>
      <w:tblPr>
        <w:tblW w:w="9406" w:type="dxa"/>
        <w:tblStyle w:val="TableGrid"/>
        <w:tblLook w:firstColumn="1" w:firstRow="1" w:lastColumn="0" w:lastRow="0" w:noHBand="0" w:noVBand="1" w:val="04A0"/>
        <w:tblLayout w:type="fixed"/>
      </w:tblPr>
      <w:tblGrid>
        <w:gridCol w:w="3198"/>
        <w:gridCol w:w="6207"/>
      </w:tblGrid>
      <w:tr>
        <w:tc>
          <w:tcPr>
            <w:tcW w:type="dxa" w:w="3198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Tabela</w:t>
            </w:r>
          </w:p>
        </w:tc>
        <w:tc>
          <w:tcPr>
            <w:tcW w:type="dxa" w:w="6207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Rola</w:t>
            </w:r>
          </w:p>
        </w:tc>
      </w:tr>
      <w:tr>
        <w:tc>
          <w:tcPr>
            <w:tcW w:type="dxa" w:w="319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profiles</w:t>
            </w:r>
          </w:p>
        </w:tc>
        <w:tc>
          <w:tcPr>
            <w:tcW w:type="dxa" w:w="620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Użytkownicy wewnętrzni i ich role. Klienci nie mają kont.</w:t>
            </w:r>
          </w:p>
        </w:tc>
      </w:tr>
      <w:tr>
        <w:tc>
          <w:tcPr>
            <w:tcW w:type="dxa" w:w="319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offers</w:t>
            </w:r>
          </w:p>
        </w:tc>
        <w:tc>
          <w:tcPr>
            <w:tcW w:type="dxa" w:w="620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Rdzeń systemu: dane oferty, status, token klienta, zamrożony snapshot cennika, wybrane warianty, treści, pola akceptacji, tracking.</w:t>
            </w:r>
          </w:p>
        </w:tc>
      </w:tr>
      <w:tr>
        <w:tc>
          <w:tcPr>
            <w:tcW w:type="dxa" w:w="319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offer_events</w:t>
            </w:r>
          </w:p>
        </w:tc>
        <w:tc>
          <w:tcPr>
            <w:tcW w:type="dxa" w:w="620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Log aktywności i audytu (otwarcia, przewijanie, akceptacja, wysyłki maili).</w:t>
            </w:r>
          </w:p>
        </w:tc>
      </w:tr>
      <w:tr>
        <w:tc>
          <w:tcPr>
            <w:tcW w:type="dxa" w:w="319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programs, case_studies, contact_persons</w:t>
            </w:r>
          </w:p>
        </w:tc>
        <w:tc>
          <w:tcPr>
            <w:tcW w:type="dxa" w:w="620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Katalogi słownikowe wykorzystywane w ofertach.</w:t>
            </w:r>
          </w:p>
        </w:tc>
      </w:tr>
      <w:tr>
        <w:tc>
          <w:tcPr>
            <w:tcW w:type="dxa" w:w="319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pricing_segments, pricing_config</w:t>
            </w:r>
          </w:p>
        </w:tc>
        <w:tc>
          <w:tcPr>
            <w:tcW w:type="dxa" w:w="620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Konfiguracja cennika: progi segmentów i parametry (rabaty, minima).</w:t>
            </w:r>
          </w:p>
        </w:tc>
      </w:tr>
      <w:tr>
        <w:tc>
          <w:tcPr>
            <w:tcW w:type="dxa" w:w="319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alt_programs, offer_templates, app_settings</w:t>
            </w:r>
          </w:p>
        </w:tc>
        <w:tc>
          <w:tcPr>
            <w:tcW w:type="dxa" w:w="620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Programy zapasowe, szablony ofert i ustawienia firmowe (klucz-wartość).</w:t>
            </w:r>
          </w:p>
        </w:tc>
      </w:tr>
      <w:tr>
        <w:tc>
          <w:tcPr>
            <w:tcW w:type="dxa" w:w="319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faq_items, gdpr_clauses</w:t>
            </w:r>
          </w:p>
        </w:tc>
        <w:tc>
          <w:tcPr>
            <w:tcW w:type="dxa" w:w="620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Globalne FAQ i wersjonowane klauzule RODO.</w:t>
            </w:r>
          </w:p>
        </w:tc>
      </w:tr>
      <w:tr>
        <w:tc>
          <w:tcPr>
            <w:tcW w:type="dxa" w:w="319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webhook_jobs, audit_log</w:t>
            </w:r>
          </w:p>
        </w:tc>
        <w:tc>
          <w:tcPr>
            <w:tcW w:type="dxa" w:w="620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  <w:shd w:fill="ECECEC" w:val="clear"/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Kolejka integracji CRM oraz dziennik audytu.</w:t>
            </w:r>
          </w:p>
        </w:tc>
      </w:tr>
    </w:tbl>
    <w:p>
      <w:pPr>
        <w:spacing w:after="80"/>
      </w:pPr>
    </w:p>
    <w:p>
      <w:pPr>
        <w:jc w:val="left"/>
        <w:spacing w:before="160" w:after="40"/>
      </w:pPr>
      <w:r>
        <w:rPr>
          <w:rFonts w:ascii="Roboto Condensed" w:hAnsi="Roboto Condensed"/>
          <w:b w:val="0"/>
          <w:color w:val="2A324B"/>
          <w:sz w:val="36"/>
        </w:rPr>
        <w:t>3. Przepływ oferty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1. </w:t>
      </w:r>
      <w:r>
        <w:rPr>
          <w:rFonts w:ascii="Roboto Condensed Light" w:hAnsi="Roboto Condensed Light"/>
          <w:b w:val="0"/>
          <w:color w:val="2A324B"/>
          <w:sz w:val="22"/>
        </w:rPr>
        <w:t>Utworzenie: walidacja danych, wygenerowanie numeru oferty, wyliczenie cennika i zapis snapshotu. Oferta powstaje jako wersja robocza.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2. </w:t>
      </w:r>
      <w:r>
        <w:rPr>
          <w:rFonts w:ascii="Roboto Condensed Light" w:hAnsi="Roboto Condensed Light"/>
          <w:b w:val="0"/>
          <w:color w:val="2A324B"/>
          <w:sz w:val="22"/>
        </w:rPr>
        <w:t>Wysyłka: zmiana statusu na wysłana, wysłanie maila do klienta z linkiem, zapis zdarzenia i ewentualne zakolejkowanie integracji CRM.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3. </w:t>
      </w:r>
      <w:r>
        <w:rPr>
          <w:rFonts w:ascii="Roboto Condensed Light" w:hAnsi="Roboto Condensed Light"/>
          <w:b w:val="0"/>
          <w:color w:val="2A324B"/>
          <w:sz w:val="22"/>
        </w:rPr>
        <w:t>Widok klienta: strona renderowana po stronie serwera na podstawie tokenu. Wygasły link zwraca kod 410, wersja robocza jest niedostępna publicznie. Aktywność klienta zapisywana jest jako zdarzenia.</w:t>
      </w:r>
    </w:p>
    <w:p>
      <w:pPr>
        <w:jc w:val="both"/>
        <w:spacing w:after="2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4. </w:t>
      </w:r>
      <w:r>
        <w:rPr>
          <w:rFonts w:ascii="Roboto Condensed Light" w:hAnsi="Roboto Condensed Light"/>
          <w:b w:val="0"/>
          <w:color w:val="2A324B"/>
          <w:sz w:val="22"/>
        </w:rPr>
        <w:t>Akceptacja lub odrzucenie: walidacja statusu, wariantu i wersji klauzuli RODO, blokada podwójnej akceptacji, zapis decyzji, powiadomienie konsultanta mailem oraz zakolejkowanie zdarzenia do CRM.</w:t>
      </w:r>
    </w:p>
    <w:p>
      <w:pPr>
        <w:jc w:val="left"/>
        <w:spacing w:before="160" w:after="40"/>
      </w:pPr>
      <w:r>
        <w:rPr>
          <w:rFonts w:ascii="Roboto Condensed" w:hAnsi="Roboto Condensed"/>
          <w:b w:val="0"/>
          <w:color w:val="2A324B"/>
          <w:sz w:val="36"/>
        </w:rPr>
        <w:t>4. Role i bezpieczeństwo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Trzy role (super_admin, admin, consultant) egzekwowane przez RLS na wszystkich tabelach.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Konsultant widzi wyłącznie oferty utworzone przez siebie lub do niego przypisane. Administratorzy widzą wszystkie.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Rola jest zapisana w profilu i w tokenie sesji. Zmiana roli wymaga aktualizacji obu miejsc oraz wylogowania sesji.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Weryfikacja dwuetapowa wymagana dla administratorów. Trigger bazy blokuje samodzielne podniesienie uprawnień.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Limity zapytań w warstwie pośredniej: 100 na minutę dla ścieżek publicznych, 1000 na minutę dla pozostałych.</w:t>
      </w:r>
    </w:p>
    <w:p>
      <w:pPr>
        <w:jc w:val="both"/>
        <w:spacing w:after="2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Dostęp klienta wyłącznie przez losowy token oferty (bez konta). Ścieżki publiczne korzystają z uprawnień serwera, a reguły RLS domyślnie blokują dostęp anonimowy.</w:t>
      </w:r>
    </w:p>
    <w:p>
      <w:pPr>
        <w:jc w:val="left"/>
        <w:spacing w:before="160" w:after="40"/>
      </w:pPr>
      <w:r>
        <w:rPr>
          <w:rFonts w:ascii="Roboto Condensed" w:hAnsi="Roboto Condensed"/>
          <w:b w:val="0"/>
          <w:color w:val="2A324B"/>
          <w:sz w:val="36"/>
        </w:rPr>
        <w:t>5. Silnik cenowy</w:t>
      </w:r>
    </w:p>
    <w:p>
      <w:pPr>
        <w:jc w:val="both"/>
        <w:spacing w:after="120" w:before="0"/>
      </w:pPr>
      <w:r>
        <w:rPr>
          <w:rFonts w:ascii="Roboto Condensed Light" w:hAnsi="Roboto Condensed Light"/>
          <w:b w:val="0"/>
          <w:color w:val="2A324B"/>
          <w:sz w:val="22"/>
        </w:rPr>
        <w:t>Cennik wyliczany jest z konfiguracji, a nie zapisywany na sztywno w kodzie: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Segment dobierany jest po wartości dofinansowania (wartość projektu pomnożona przez intensywność).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Opłata wstępna wynika z segmentu, pomniejszana o rabat lojalnościowy (klient powracający) i rabat za wiele projektów, z dolnym progiem kwotowym.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Wynagrodzenie od sukcesu to stawka procentowa segmentu z dolnym progiem kwotowym. Suma daje wartość wariantu.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Warianty różnią się harmonogramem płatności. Wartość oczekiwana uwzględnia prawdopodobieństwo sukcesu i obsługę miesięczną.</w:t>
      </w:r>
    </w:p>
    <w:p>
      <w:pPr>
        <w:jc w:val="both"/>
        <w:spacing w:after="2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Snapshot cennika jest zamrażany przy tworzeniu i edycji oferty. Ponowne przeliczenie następuje wyłącznie na żądanie.</w:t>
      </w:r>
    </w:p>
    <w:p>
      <w:pPr>
        <w:jc w:val="left"/>
        <w:spacing w:before="160" w:after="40"/>
      </w:pPr>
      <w:r>
        <w:rPr>
          <w:rFonts w:ascii="Roboto Condensed" w:hAnsi="Roboto Condensed"/>
          <w:b w:val="0"/>
          <w:color w:val="2A324B"/>
          <w:sz w:val="36"/>
        </w:rPr>
        <w:t>6. Email i generowanie PDF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Wysyłka maili ma jeden punkt wejścia i trzy tryby: lokalny serwer SMTP (development), Resend (produkcja) oraz zapis do logu, gdy żaden nie jest skonfigurowany.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Nadawcą jest oferty@k2biznes.pl, a odpowiedzi trafiają do konsultanta prowadzącego. Szablony maili obejmują wysyłkę oferty oraz powiadomienia o akceptacji i odrzuceniu.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Każda nieudana wysyłka trafia do Sentry i zostawia znacznik przy ofercie na liście.</w:t>
      </w:r>
    </w:p>
    <w:p>
      <w:pPr>
        <w:jc w:val="both"/>
        <w:spacing w:after="2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PDF generowany jest przez przeglądarkę bezgłową z widoku oferty w trybie druku i cache'owany w Storage. Na obecnym planie Vercel obowiązuje limit czasu funkcji, przez co generowanie PDF na produkcji bywa przerywane - dlatego link do PDF nie jest wystawiony w panelu. Docelowo rozwiązuje to wyższy plan Vercel.</w:t>
      </w:r>
    </w:p>
    <w:p>
      <w:pPr>
        <w:jc w:val="left"/>
        <w:spacing w:before="160" w:after="40"/>
      </w:pPr>
      <w:r>
        <w:rPr>
          <w:rFonts w:ascii="Roboto Condensed" w:hAnsi="Roboto Condensed"/>
          <w:b w:val="0"/>
          <w:color w:val="2A324B"/>
          <w:sz w:val="36"/>
        </w:rPr>
        <w:t>7. Hosting i infrastruktura</w:t>
      </w:r>
    </w:p>
    <w:tbl>
      <w:tblPr>
        <w:tblW w:w="9406" w:type="dxa"/>
        <w:tblStyle w:val="TableGrid"/>
        <w:tblLook w:firstColumn="1" w:firstRow="1" w:lastColumn="0" w:lastRow="0" w:noHBand="0" w:noVBand="1" w:val="04A0"/>
        <w:tblLayout w:type="fixed"/>
      </w:tblPr>
      <w:tblGrid>
        <w:gridCol w:w="2633"/>
        <w:gridCol w:w="6772"/>
      </w:tblGrid>
      <w:tr>
        <w:tc>
          <w:tcPr>
            <w:tcW w:type="dxa" w:w="2633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Element</w:t>
            </w:r>
          </w:p>
        </w:tc>
        <w:tc>
          <w:tcPr>
            <w:tcW w:type="dxa" w:w="6772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Szczegóły</w:t>
            </w:r>
          </w:p>
        </w:tc>
      </w:tr>
      <w:tr>
        <w:tc>
          <w:tcPr>
            <w:tcW w:type="dxa" w:w="2633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Aplikacja</w:t>
            </w:r>
          </w:p>
        </w:tc>
        <w:tc>
          <w:tcPr>
            <w:tcW w:type="dxa" w:w="677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Vercel, automatyczny deploy z gałęzi main repozytorium GitHub.</w:t>
            </w:r>
          </w:p>
        </w:tc>
      </w:tr>
      <w:tr>
        <w:tc>
          <w:tcPr>
            <w:tcW w:type="dxa" w:w="2633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Baza danych</w:t>
            </w:r>
          </w:p>
        </w:tc>
        <w:tc>
          <w:tcPr>
            <w:tcW w:type="dxa" w:w="677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Supabase Cloud, region eu-central-1. UptimeRobot zapobiega uśpieniu bazy.</w:t>
            </w:r>
          </w:p>
        </w:tc>
      </w:tr>
      <w:tr>
        <w:tc>
          <w:tcPr>
            <w:tcW w:type="dxa" w:w="2633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Limity zapytań</w:t>
            </w:r>
          </w:p>
        </w:tc>
        <w:tc>
          <w:tcPr>
            <w:tcW w:type="dxa" w:w="677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Upstash Redis.</w:t>
            </w:r>
          </w:p>
        </w:tc>
      </w:tr>
      <w:tr>
        <w:tc>
          <w:tcPr>
            <w:tcW w:type="dxa" w:w="2633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Monitoring</w:t>
            </w:r>
          </w:p>
        </w:tc>
        <w:tc>
          <w:tcPr>
            <w:tcW w:type="dxa" w:w="677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both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Sentry (region UE, maskowanie danych osobowych).</w:t>
            </w:r>
          </w:p>
        </w:tc>
      </w:tr>
    </w:tbl>
    <w:p>
      <w:pPr>
        <w:spacing w:after="80"/>
      </w:pPr>
    </w:p>
    <w:p>
      <w:pPr>
        <w:jc w:val="left"/>
        <w:spacing w:before="160" w:after="40"/>
      </w:pPr>
      <w:r>
        <w:rPr>
          <w:rFonts w:ascii="Roboto Condensed" w:hAnsi="Roboto Condensed"/>
          <w:b w:val="0"/>
          <w:color w:val="2A324B"/>
          <w:sz w:val="36"/>
        </w:rPr>
        <w:t>8. Migracje bazy danych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Migracje trzymane są w katalogu supabase/migrations wraz z plikiem seed.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Lokalnie stosuje się reset bazy i generowanie typów. Na produkcji migracje aplikuje się przez CLI Supabase lub psql (pooler sesyjny).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Przed każdą migracją produkcyjną wykonywany jest backup bazy, a zmiana jest weryfikowana. Procedurę opisuje docs/RUNBOOK_MIGRATION_ROLLBACK.md.</w:t>
      </w:r>
    </w:p>
    <w:p>
      <w:pPr>
        <w:jc w:val="both"/>
        <w:spacing w:after="2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Parametry cennika (segmenty i konfiguracja) można zmieniać bez wdrożenia, bezpośrednio w panelu Supabase.</w:t>
      </w:r>
    </w:p>
    <w:p>
      <w:pPr>
        <w:jc w:val="left"/>
        <w:spacing w:before="160" w:after="40"/>
      </w:pPr>
      <w:r>
        <w:rPr>
          <w:rFonts w:ascii="Roboto Condensed" w:hAnsi="Roboto Condensed"/>
          <w:b w:val="0"/>
          <w:color w:val="2A324B"/>
          <w:sz w:val="36"/>
        </w:rPr>
        <w:t>Gdzie szukać więcej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docs/BACKEND_SPEC.md - pełna specyfikacja techniczna (model danych, API, bezpieczeństwo).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docs/TECH_ADMIN_MANUAL.md - podręcznik administratora technicznego i rozwiązywanie problemów.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docs/RUNBOOK_MIGRATION_ROLLBACK.md - procedura migracji i wycofywania zmian bazy.</w:t>
      </w:r>
    </w:p>
    <w:p>
      <w:pPr>
        <w:jc w:val="both"/>
        <w:spacing w:after="2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Repozytorium: github.com/tkalla79/k2biznes-oferta.</w:t>
      </w:r>
    </w:p>
    <w:sectPr w:rsidR="00FC693F" w:rsidRPr="0006063C" w:rsidSect="00034616">
      <w:footerReference w:type="default" r:id="rId10"/>
      <w:pgSz w:w="12240" w:h="15840"/>
      <w:pgMar w:top="1417" w:right="1417" w:bottom="170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ook w:firstColumn="1" w:firstRow="1" w:lastColumn="0" w:lastRow="0" w:noHBand="0" w:noVBand="1" w:val="04A0"/>
    </w:tblPr>
    <w:tblGrid>
      <w:gridCol w:w="4703"/>
      <w:gridCol w:w="4703"/>
    </w:tblGrid>
    <w:tr>
      <w:tc>
        <w:tcPr>
          <w:tcW w:type="dxa" w:w="8607"/>
          <w:tcBorders>
            <w:top w:val="none"/>
            <w:left w:val="none"/>
            <w:bottom w:val="none"/>
            <w:right w:val="none"/>
            <w:insideH w:val="none"/>
            <w:insideV w:val="none"/>
          </w:tcBorders>
        </w:tcPr>
        <w:p>
          <w:pPr>
            <w:jc w:val="left"/>
            <w:spacing w:before="0" w:after="0"/>
          </w:pPr>
          <w:r>
            <w:drawing xmlns:a="http://schemas.openxmlformats.org/drawingml/2006/main" xmlns:pic="http://schemas.openxmlformats.org/drawingml/2006/picture">
              <wp:inline distT="0" distB="0" distL="0" distR="0">
                <wp:extent cx="5465746" cy="131252"/>
                <wp:effectExtent l="0" t="0" r="0" b="0"/>
                <wp:docPr id="2594" name="StopkaK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2594" name="StopkaK2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ob xmlns:asvg="http://schemas.microsoft.com/office/drawing/2016/SVG/main" r:embed="rId1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65746" cy="13125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99"/>
          <w:tcBorders>
            <w:top w:val="none"/>
            <w:left w:val="none"/>
            <w:bottom w:val="none"/>
            <w:right w:val="none"/>
            <w:insideH w:val="none"/>
            <w:insideV w:val="none"/>
          </w:tcBorders>
        </w:tcPr>
        <w:p>
          <w:pPr>
            <w:jc w:val="right"/>
          </w:pPr>
          <w:r>
            <w:rPr>
              <w:rFonts w:ascii="Roboto Condensed" w:hAnsi="Roboto Condensed"/>
              <w:color w:val="CE181A"/>
              <w:sz w:val="20"/>
            </w:rPr>
            <w:fldChar w:fldCharType="begin"/>
            <w:instrText> PAGE </w:instrText>
            <w:fldChar w:fldCharType="end"/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themeFontLang w:val="pl-PL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stopka_e860cd.svg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stopka_e761a8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Tomasz Kalla</dc:creator>
  <cp:keywords/>
  <dc:description>generated by python-docx</dc:description>
  <cp:lastModifiedBy>Tomasz Kalla</cp:lastModifiedBy>
  <cp:revision>7</cp:revision>
  <dcterms:created xsi:type="dcterms:W3CDTF">2026-07-06T00:38:47Z</dcterms:created>
  <dcterms:modified xsi:type="dcterms:W3CDTF">2026-07-06T17:44:48Z</dcterms:modified>
  <cp:category/>
</cp:coreProperties>
</file>