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stopka_e761a8.svg" ContentType="image/svg+xml"/>
  <Override PartName="/word/media/stopka_e860cd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406" w:type="dxa"/>
        <w:tblStyle w:val="TableGrid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tcBorders>
              <w:top w:val="none" w:sz="0" w:color="FFFFFF"/>
              <w:bottom w:val="none" w:sz="0" w:color="FFFFFF"/>
              <w:right w:val="none" w:sz="0" w:color="FFFFFF"/>
              <w:left w:val="single" w:sz="36" w:color="CE181A"/>
            </w:tcBorders>
            <w:shd w:fill="FFFFFF" w:val="clear"/>
          </w:tcPr>
          <w:p>
            <w:pPr>
              <w:jc w:val="left"/>
              <w:spacing w:before="0" w:after="160"/>
            </w:pPr>
            <w:r>
              <w:rPr>
                <w:rFonts w:ascii="Roboto Condensed" w:hAnsi="Roboto Condensed"/>
                <w:b w:val="0"/>
                <w:color w:val="2A324B"/>
                <w:sz w:val="64"/>
              </w:rPr>
              <w:t>K2Biznes Oferta - podręcznik i architektura</w:t>
            </w:r>
          </w:p>
        </w:tc>
      </w:tr>
    </w:tbl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O tym dokumencie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K2Biznes Oferta to firmowa aplikacja do przygotowywania, wysyłania i akceptacji ofert doradczych dla klientów ubiegających się o dotacje. Konsultant tworzy ofertę w panelu, wysyła klientowi unikalny link, a klient przegląda ofertę i akceptuje wybrany wariant bez zakładania konta. Aplikacja działa pod adresem oferta.k2biznes.pl.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Dokument ma dwie warstwy. Część I to praktyczna instrukcja dla konsultantów i administratorów tworzących oferty - krok po kroku, prostym językiem. Część II opisuje architekturę systemu dla zespołu technicznego. Kanonem wiedzy technicznej pozostają pliki w repozytorium: docs/BACKEND_SPEC.md oraz docs/TECH_ADMIN_MANUAL.md.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Nowość w tej wersji: formularz oferty potrafi wstępnie uzupełnić się z transkrypcji spotkania (patrz punkt 3.8 w Części I oraz punkt 9 w Części II).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Szybki start - od zera do wysłanej oferty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Najkrótsza droga do wysłania pierwszej oferty. Szczegóły każdego kroku opisuje Część I.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1. </w:t>
      </w:r>
      <w:r>
        <w:rPr>
          <w:rFonts w:ascii="Roboto Condensed Light" w:hAnsi="Roboto Condensed Light"/>
          <w:b w:val="0"/>
          <w:color w:val="2A324B"/>
          <w:sz w:val="22"/>
        </w:rPr>
        <w:t>Zaloguj się na /auth/signin. Przy pierwszym logowaniu jako administrator skonfiguruj weryfikację dwuetapową.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2. </w:t>
      </w:r>
      <w:r>
        <w:rPr>
          <w:rFonts w:ascii="Roboto Condensed Light" w:hAnsi="Roboto Condensed Light"/>
          <w:b w:val="0"/>
          <w:color w:val="2A324B"/>
          <w:sz w:val="22"/>
        </w:rPr>
        <w:t>Wejdź w Oferty i kliknij Nowa oferta.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3. </w:t>
      </w:r>
      <w:r>
        <w:rPr>
          <w:rFonts w:ascii="Roboto Condensed Light" w:hAnsi="Roboto Condensed Light"/>
          <w:b w:val="0"/>
          <w:color w:val="2A324B"/>
          <w:sz w:val="22"/>
        </w:rPr>
        <w:t>Opcjonalnie kliknij Wypełnij z transkrypcji i wklej notatkę lub transkrypcję spotkania - system wstępnie zasili puste pola (patrz punkt 3.8).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4. </w:t>
      </w:r>
      <w:r>
        <w:rPr>
          <w:rFonts w:ascii="Roboto Condensed Light" w:hAnsi="Roboto Condensed Light"/>
          <w:b w:val="0"/>
          <w:color w:val="2A324B"/>
          <w:sz w:val="22"/>
        </w:rPr>
        <w:t>Uzupełnij dane klienta (nazwa firmy jest wymagana). W sekcji Programy wsparcia dodaj z biblioteki program, który rekomendujesz, i zaznacz go jako rekomendowany - trafi do sekcji 02 oferty.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5. </w:t>
      </w:r>
      <w:r>
        <w:rPr>
          <w:rFonts w:ascii="Roboto Condensed Light" w:hAnsi="Roboto Condensed Light"/>
          <w:b w:val="0"/>
          <w:color w:val="2A324B"/>
          <w:sz w:val="22"/>
        </w:rPr>
        <w:t>Wpisz wartość projektu i ustaw intensywność. Cennik przeliczy się automatycznie. Zaznacz oferowane warianty i wskaż rekomendowany.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6. </w:t>
      </w:r>
      <w:r>
        <w:rPr>
          <w:rFonts w:ascii="Roboto Condensed Light" w:hAnsi="Roboto Condensed Light"/>
          <w:b w:val="0"/>
          <w:color w:val="2A324B"/>
          <w:sz w:val="22"/>
        </w:rPr>
        <w:t>Opcjonalnie dostosuj treści, wybierz osobę kontaktową i case study.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7. </w:t>
      </w:r>
      <w:r>
        <w:rPr>
          <w:rFonts w:ascii="Roboto Condensed Light" w:hAnsi="Roboto Condensed Light"/>
          <w:b w:val="0"/>
          <w:color w:val="2A324B"/>
          <w:sz w:val="22"/>
        </w:rPr>
        <w:t>Kliknij Stwórz ofertę. Powstanie wersja robocza. Sprawdź wygląd przyciskiem Podgląd.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8. </w:t>
      </w:r>
      <w:r>
        <w:rPr>
          <w:rFonts w:ascii="Roboto Condensed Light" w:hAnsi="Roboto Condensed Light"/>
          <w:b w:val="0"/>
          <w:color w:val="2A324B"/>
          <w:sz w:val="22"/>
        </w:rPr>
        <w:t>Kliknij Wyślij ofertę i podaj adres email klienta. Klient dostanie link, a Ty śledzisz otwarcia w zakładce Aktywność.</w:t>
      </w:r>
    </w:p>
    <w:p>
      <w:pPr>
        <w:jc w:val="both"/>
        <w:spacing w:after="120" w:before="0"/>
      </w:pPr>
      <w:r>
        <w:rPr>
          <w:rFonts w:ascii="Roboto Condensed" w:hAnsi="Roboto Condensed"/>
          <w:b/>
          <w:color w:val="CE181A"/>
          <w:sz w:val="22"/>
        </w:rPr>
        <w:t>Uwaga: Minimalny zestaw wymaganych pól to nazwa firmy, wartość projektu oraz jeden program wsparcia oznaczony jako rekomendowany. Pozostałe pola można uzupełnić później.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Mapa panelu (struktura systemu)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Poniższa lista pokazuje, gdzie w panelu znajdziesz poszczególne funkcje. Moduły opisane jako super_admin są dostępne tylko dla właściciela systemu.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Oferty (/admin/offers) - lista ofert, Nowa oferta, edycja, Aktywność i Podgląd.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Pulpit (/admin) - wskaźniki sprzedaży: konwersja, wyniki per konsultant, prognoza, symulator. Rola admin i super_admin.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Programy wsparcia (/admin/alt-programs) - biblioteka programów, z której dodajesz pozycje do oferty.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Case studies (/admin/case-studies), Osoby kontaktowe (/admin/contact-persons), FAQ (/admin/faq), Szablony (/admin/templates) - katalogi wspólne dla wszystkich ofert.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Ustawienia firmowe (/admin/ustawienia) - statystyki firmowe i test wysyłki email. Rola super_admin.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Użytkownicy (/admin/users) - konta i role. Rola super_admin.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RODO (/admin/gdpr) - obsługa wniosków o usunięcie danych.</w:t>
      </w:r>
    </w:p>
    <w:p>
      <w:pPr>
        <w:jc w:val="left"/>
        <w:spacing w:before="240" w:after="80"/>
      </w:pPr>
      <w:r>
        <w:rPr>
          <w:rFonts w:ascii="Roboto Condensed" w:hAnsi="Roboto Condensed"/>
          <w:b w:val="0"/>
          <w:color w:val="2A324B"/>
          <w:sz w:val="64"/>
        </w:rPr>
        <w:t>Część I - Tworzenie ofert (dla konsultantów)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1. Logowanie i role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Do panelu logujesz się na stronie /auth/signin - hasłem albo linkiem magicznym. Reset hasła odbywa się przez /auth/forgot-password. Konta zakłada wyłącznie administrator z uprawnieniem super_admin (moduł Użytkownicy), nie ma samodzielnej rejestracji.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W systemie działają trzy role: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super_admin - pełny dostęp, zarządzanie użytkownikami, ustawienia firmowe, wszystkie oferty.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admin - wszystkie oferty, katalogi i dashboard, bez zarządzania użytkownikami i ustawieniami firmowymi.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consultant - widzi i edytuje wyłącznie własne oferty (utworzone przez siebie lub do niego przypisane).</w:t>
      </w:r>
    </w:p>
    <w:p>
      <w:pPr>
        <w:jc w:val="both"/>
        <w:spacing w:after="120" w:before="0"/>
      </w:pPr>
      <w:r>
        <w:rPr>
          <w:rFonts w:ascii="Roboto Condensed" w:hAnsi="Roboto Condensed"/>
          <w:b/>
          <w:color w:val="CE181A"/>
          <w:sz w:val="22"/>
        </w:rPr>
        <w:t>Uwaga: Weryfikacja dwuetapowa (kod z aplikacji, TOTP) jest wymagana dla ról admin i super_admin - przy pierwszym logowaniu system poprowadzi Cię przez jej konfigurację. Dla roli consultant jest opcjonalna. Sesja administratora wygasa po 12 godzinach, konsultanta po 30 dniach.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2. Panel i lista ofert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Po zalogowaniu głównym miejscem pracy jest moduł Oferty (/admin/offers). Nad listą znajduje się przycisk Nowa oferta, który otwiera pusty formularz. Administratorzy mają dodatkowo pulpit /admin ze wskaźnikami sprzedaży: konwersja, wyniki per konsultant, prognoza i symulator wartości oczekiwanej.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Lista ofert pokazuje w kolumnach: numer i klienta, program, wartość projektu, status, wynagrodzenie, liczbę wyświetleń oraz daty. Status oferty przyjmuje jedną z wartości: wersja robocza, wysłana, otwarta, zaakceptowana, odrzucona, wygasła. Dostępne są filtry po statusie, nazwie klienta i programie oraz sortowanie. Jeśli wysyłka maila się nie powiodła, przy ofercie pojawia się czerwony znacznik informujący, że wiadomość nie dotarła. Z poziomu wiersza przejdziesz do Aktywności, Edycji i Podglądu oferty.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3. Formularz oferty krok po kroku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Formularz jest podzielony na sekcje wypełniane od góry do dołu; ich kolejność odpowiada kolejności sekcji w gotowej ofercie. Pola oznaczone gwiazdką są wymagane, reszta jest opcjonalna. U góry formularza dostępny jest przycisk Wypełnij z transkrypcji, który wstępnie zasila puste pola (patrz punkt 3.8).</w:t>
      </w:r>
    </w:p>
    <w:p>
      <w:pPr>
        <w:jc w:val="left"/>
        <w:spacing w:before="120" w:after="40"/>
      </w:pPr>
      <w:r>
        <w:rPr>
          <w:rFonts w:ascii="Roboto Condensed" w:hAnsi="Roboto Condensed"/>
          <w:b w:val="0"/>
          <w:color w:val="2A324B"/>
          <w:sz w:val="28"/>
        </w:rPr>
        <w:t>3.1 Klient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445"/>
        <w:gridCol w:w="1504"/>
        <w:gridCol w:w="5457"/>
      </w:tblGrid>
      <w:tr>
        <w:tc>
          <w:tcPr>
            <w:tcW w:type="dxa" w:w="2445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Pole</w:t>
            </w:r>
          </w:p>
        </w:tc>
        <w:tc>
          <w:tcPr>
            <w:tcW w:type="dxa" w:w="1504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Wymagane</w:t>
            </w:r>
          </w:p>
        </w:tc>
        <w:tc>
          <w:tcPr>
            <w:tcW w:type="dxa" w:w="5457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Opis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Nazwa firmy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Tak</w:t>
            </w:r>
          </w:p>
        </w:tc>
        <w:tc>
          <w:tcPr>
            <w:tcW w:type="dxa" w:w="54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Nazwa klienta, do 200 znaków. Pojawia się w nagłówku oferty.</w:t>
            </w:r>
          </w:p>
        </w:tc>
      </w:tr>
      <w:tr>
        <w:tc>
          <w:tcPr>
            <w:tcW w:type="dxa" w:w="2445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NIP (10 cyfr)</w:t>
            </w:r>
          </w:p>
        </w:tc>
        <w:tc>
          <w:tcPr>
            <w:tcW w:type="dxa" w:w="1504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7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Jeśli podany, musi mieć dokładnie 10 cyfr.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Branża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Pole opisowe.</w:t>
            </w:r>
          </w:p>
        </w:tc>
      </w:tr>
      <w:tr>
        <w:tc>
          <w:tcPr>
            <w:tcW w:type="dxa" w:w="2445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Wielkość firmy</w:t>
            </w:r>
          </w:p>
        </w:tc>
        <w:tc>
          <w:tcPr>
            <w:tcW w:type="dxa" w:w="1504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7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Lista: mikro, mała, średnia, duża.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Województwo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Lista 16 województw oraz opcja ogólnopolska.</w:t>
            </w:r>
          </w:p>
        </w:tc>
      </w:tr>
      <w:tr>
        <w:tc>
          <w:tcPr>
            <w:tcW w:type="dxa" w:w="2445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Ważność oferty (do kiedy)</w:t>
            </w:r>
          </w:p>
        </w:tc>
        <w:tc>
          <w:tcPr>
            <w:tcW w:type="dxa" w:w="1504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7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Data wygaśnięcia linku. Puste oznacza bezterminowo. Dostępne w trybie edycji. Po tej dacie link przestaje działać, a klient widzi informację o wygaśnięciu.</w:t>
            </w:r>
          </w:p>
        </w:tc>
      </w:tr>
    </w:tbl>
    <w:p>
      <w:pPr>
        <w:jc w:val="left"/>
        <w:spacing w:before="120" w:after="40"/>
      </w:pPr>
      <w:r>
        <w:rPr>
          <w:rFonts w:ascii="Roboto Condensed" w:hAnsi="Roboto Condensed"/>
          <w:b w:val="0"/>
          <w:color w:val="2A324B"/>
          <w:sz w:val="28"/>
        </w:rPr>
        <w:t>3.2 Programy wsparcia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445"/>
        <w:gridCol w:w="1504"/>
        <w:gridCol w:w="5457"/>
      </w:tblGrid>
      <w:tr>
        <w:tc>
          <w:tcPr>
            <w:tcW w:type="dxa" w:w="2445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Pole</w:t>
            </w:r>
          </w:p>
        </w:tc>
        <w:tc>
          <w:tcPr>
            <w:tcW w:type="dxa" w:w="1504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Wymagane</w:t>
            </w:r>
          </w:p>
        </w:tc>
        <w:tc>
          <w:tcPr>
            <w:tcW w:type="dxa" w:w="5457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Opis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Programy wsparcia (biblioteka)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Tak</w:t>
            </w:r>
          </w:p>
        </w:tc>
        <w:tc>
          <w:tcPr>
            <w:tcW w:type="dxa" w:w="54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Rozwijana lista z katalogu programów wsparcia. Dodane pozycje tworzą listę; każdą można usunąć.</w:t>
            </w:r>
          </w:p>
        </w:tc>
      </w:tr>
      <w:tr>
        <w:tc>
          <w:tcPr>
            <w:tcW w:type="dxa" w:w="2445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Rekomendowany</w:t>
            </w:r>
          </w:p>
        </w:tc>
        <w:tc>
          <w:tcPr>
            <w:tcW w:type="dxa" w:w="1504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Tak</w:t>
            </w:r>
          </w:p>
        </w:tc>
        <w:tc>
          <w:tcPr>
            <w:tcW w:type="dxa" w:w="5457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Znacznik przy jednej pozycji. Rekomendowany program pojawia się w sekcji 02 jako wyróżniony kafelek. Wymagany co najmniej jeden.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Nazwa, termin, opis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Dane każdej pozycji pobierane z biblioteki; służą do prezentacji programu w ofercie.</w:t>
            </w:r>
          </w:p>
        </w:tc>
      </w:tr>
    </w:tbl>
    <w:p>
      <w:pPr>
        <w:jc w:val="left"/>
        <w:spacing w:before="120" w:after="40"/>
      </w:pPr>
      <w:r>
        <w:rPr>
          <w:rFonts w:ascii="Roboto Condensed" w:hAnsi="Roboto Condensed"/>
          <w:b w:val="0"/>
          <w:color w:val="2A324B"/>
          <w:sz w:val="28"/>
        </w:rPr>
        <w:t>3.3 Finanse projektu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445"/>
        <w:gridCol w:w="1504"/>
        <w:gridCol w:w="5457"/>
      </w:tblGrid>
      <w:tr>
        <w:tc>
          <w:tcPr>
            <w:tcW w:type="dxa" w:w="2445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Pole</w:t>
            </w:r>
          </w:p>
        </w:tc>
        <w:tc>
          <w:tcPr>
            <w:tcW w:type="dxa" w:w="1504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Wymagane</w:t>
            </w:r>
          </w:p>
        </w:tc>
        <w:tc>
          <w:tcPr>
            <w:tcW w:type="dxa" w:w="5457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Opis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Wartość projektu (PLN)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Tak</w:t>
            </w:r>
          </w:p>
        </w:tc>
        <w:tc>
          <w:tcPr>
            <w:tcW w:type="dxa" w:w="54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Kwota netto projektu. Podstawa wyliczenia cennika.</w:t>
            </w:r>
          </w:p>
        </w:tc>
      </w:tr>
      <w:tr>
        <w:tc>
          <w:tcPr>
            <w:tcW w:type="dxa" w:w="2445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Intensywność</w:t>
            </w:r>
          </w:p>
        </w:tc>
        <w:tc>
          <w:tcPr>
            <w:tcW w:type="dxa" w:w="1504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7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Suwak od 10 do 95 procent. Domyślnie 70 procent.</w:t>
            </w:r>
          </w:p>
        </w:tc>
      </w:tr>
      <w:tr>
        <w:tc>
          <w:tcPr>
            <w:tcW w:type="dxa" w:w="244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Liczba projektów</w:t>
            </w:r>
          </w:p>
        </w:tc>
        <w:tc>
          <w:tcPr>
            <w:tcW w:type="dxa" w:w="150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7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Od 1 do 5. Więcej projektów uruchamia rabat.</w:t>
            </w:r>
          </w:p>
        </w:tc>
      </w:tr>
      <w:tr>
        <w:tc>
          <w:tcPr>
            <w:tcW w:type="dxa" w:w="2445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Klient powracający</w:t>
            </w:r>
          </w:p>
        </w:tc>
        <w:tc>
          <w:tcPr>
            <w:tcW w:type="dxa" w:w="1504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Nie</w:t>
            </w:r>
          </w:p>
        </w:tc>
        <w:tc>
          <w:tcPr>
            <w:tcW w:type="dxa" w:w="5457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Zaznaczenie daje rabat 20 procent na opłatę wstępną.</w:t>
            </w:r>
          </w:p>
        </w:tc>
      </w:tr>
    </w:tbl>
    <w:p>
      <w:pPr>
        <w:jc w:val="both"/>
        <w:spacing w:after="120" w:before="0"/>
      </w:pPr>
      <w:r>
        <w:rPr>
          <w:rFonts w:ascii="Roboto Condensed" w:hAnsi="Roboto Condensed"/>
          <w:b/>
          <w:color w:val="CE181A"/>
          <w:sz w:val="22"/>
        </w:rPr>
        <w:t>Uwaga: Każda zmiana finansów uruchamia podgląd cennika na żywo, aktualizowany po krótkiej chwili od ostatniej edycji.</w:t>
      </w:r>
    </w:p>
    <w:p>
      <w:pPr>
        <w:jc w:val="left"/>
        <w:spacing w:before="120" w:after="40"/>
      </w:pPr>
      <w:r>
        <w:rPr>
          <w:rFonts w:ascii="Roboto Condensed" w:hAnsi="Roboto Condensed"/>
          <w:b w:val="0"/>
          <w:color w:val="2A324B"/>
          <w:sz w:val="28"/>
        </w:rPr>
        <w:t>3.4 Pricing (podgląd na żywo)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Cennik działa w dwóch trybach. Auto-calc liczy wartości automatycznie z konfiguracji segmentów. Tryb ręczny (negocjacje) pozwala nadpisać kwoty i jest przydatny przy indywidualnych ustaleniach - po przełączeniu pola startują od wartości wyliczonych automatycznie.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Tabela wariantów zawiera kolumny: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600"/>
        <w:gridCol w:w="6806"/>
      </w:tblGrid>
      <w:tr>
        <w:tc>
          <w:tcPr>
            <w:tcW w:type="dxa" w:w="2600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Kolumna</w:t>
            </w:r>
          </w:p>
        </w:tc>
        <w:tc>
          <w:tcPr>
            <w:tcW w:type="dxa" w:w="6806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Znaczenie</w:t>
            </w:r>
          </w:p>
        </w:tc>
      </w:tr>
      <w:tr>
        <w:tc>
          <w:tcPr>
            <w:tcW w:type="dxa" w:w="2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Opłata wstępna</w:t>
            </w:r>
          </w:p>
        </w:tc>
        <w:tc>
          <w:tcPr>
            <w:tcW w:type="dxa" w:w="68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Kwota płatna na starcie współpracy.</w:t>
            </w:r>
          </w:p>
        </w:tc>
      </w:tr>
      <w:tr>
        <w:tc>
          <w:tcPr>
            <w:tcW w:type="dxa" w:w="26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SF procent</w:t>
            </w:r>
          </w:p>
        </w:tc>
        <w:tc>
          <w:tcPr>
            <w:tcW w:type="dxa" w:w="6806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Stawka wynagrodzenia od sukcesu (success fee).</w:t>
            </w:r>
          </w:p>
        </w:tc>
      </w:tr>
      <w:tr>
        <w:tc>
          <w:tcPr>
            <w:tcW w:type="dxa" w:w="2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Wynagrodzenie wynikowe</w:t>
            </w:r>
          </w:p>
        </w:tc>
        <w:tc>
          <w:tcPr>
            <w:tcW w:type="dxa" w:w="68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Kwota success fee wyliczona z dofinansowania.</w:t>
            </w:r>
          </w:p>
        </w:tc>
      </w:tr>
      <w:tr>
        <w:tc>
          <w:tcPr>
            <w:tcW w:type="dxa" w:w="26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Razem</w:t>
            </w:r>
          </w:p>
        </w:tc>
        <w:tc>
          <w:tcPr>
            <w:tcW w:type="dxa" w:w="6806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Suma opłaty wstępnej i wynagrodzenia wynikowego.</w:t>
            </w:r>
          </w:p>
        </w:tc>
      </w:tr>
      <w:tr>
        <w:tc>
          <w:tcPr>
            <w:tcW w:type="dxa" w:w="2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Mies. (exec)</w:t>
            </w:r>
          </w:p>
        </w:tc>
        <w:tc>
          <w:tcPr>
            <w:tcW w:type="dxa" w:w="68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Miesięczna kwota za obsługę i rozliczanie projektu.</w:t>
            </w:r>
          </w:p>
        </w:tc>
      </w:tr>
      <w:tr>
        <w:tc>
          <w:tcPr>
            <w:tcW w:type="dxa" w:w="26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EV</w:t>
            </w:r>
          </w:p>
        </w:tc>
        <w:tc>
          <w:tcPr>
            <w:tcW w:type="dxa" w:w="6806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Wartość oczekiwana - prognozowany przychód z oferty.</w:t>
            </w:r>
          </w:p>
        </w:tc>
      </w:tr>
    </w:tbl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Zaznaczenie przy wariancie oznacza, że wariant jest oferowany klientowi. Musi być zaznaczony co najmniej jeden.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Pole wyboru Wariant rekomendowany wskazuje wariant polecany klientowi (oznaczony gwiazdką). Musi należeć do oferowanych.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W trybie ręcznym możesz edytować opłatę wstępną, stawkę SF i kwotę miesięczną oraz ułożyć harmonogram płatności per wariant.</w:t>
      </w:r>
    </w:p>
    <w:p>
      <w:pPr>
        <w:jc w:val="left"/>
        <w:spacing w:before="120" w:after="40"/>
      </w:pPr>
      <w:r>
        <w:rPr>
          <w:rFonts w:ascii="Roboto Condensed" w:hAnsi="Roboto Condensed"/>
          <w:b w:val="0"/>
          <w:color w:val="2A324B"/>
          <w:sz w:val="28"/>
        </w:rPr>
        <w:t>3.5 Wynagrodzenie wykonawcze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Wszystkie pola są opcjonalne. Puste oznacza użycie tekstu domyślnego.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600"/>
        <w:gridCol w:w="6806"/>
      </w:tblGrid>
      <w:tr>
        <w:tc>
          <w:tcPr>
            <w:tcW w:type="dxa" w:w="2600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Pole</w:t>
            </w:r>
          </w:p>
        </w:tc>
        <w:tc>
          <w:tcPr>
            <w:tcW w:type="dxa" w:w="6806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Opis</w:t>
            </w:r>
          </w:p>
        </w:tc>
      </w:tr>
      <w:tr>
        <w:tc>
          <w:tcPr>
            <w:tcW w:type="dxa" w:w="2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Kicker</w:t>
            </w:r>
          </w:p>
        </w:tc>
        <w:tc>
          <w:tcPr>
            <w:tcW w:type="dxa" w:w="68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Mała etykieta nad tytułem.</w:t>
            </w:r>
          </w:p>
        </w:tc>
      </w:tr>
      <w:tr>
        <w:tc>
          <w:tcPr>
            <w:tcW w:type="dxa" w:w="26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Tytuł</w:t>
            </w:r>
          </w:p>
        </w:tc>
        <w:tc>
          <w:tcPr>
            <w:tcW w:type="dxa" w:w="6806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Nagłówek bloku wynagrodzenia wykonawczego.</w:t>
            </w:r>
          </w:p>
        </w:tc>
      </w:tr>
      <w:tr>
        <w:tc>
          <w:tcPr>
            <w:tcW w:type="dxa" w:w="2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Opis</w:t>
            </w:r>
          </w:p>
        </w:tc>
        <w:tc>
          <w:tcPr>
            <w:tcW w:type="dxa" w:w="68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Treść pod tytułem.</w:t>
            </w:r>
          </w:p>
        </w:tc>
      </w:tr>
      <w:tr>
        <w:tc>
          <w:tcPr>
            <w:tcW w:type="dxa" w:w="26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Kwota miesięczna (PLN)</w:t>
            </w:r>
          </w:p>
        </w:tc>
        <w:tc>
          <w:tcPr>
            <w:tcW w:type="dxa" w:w="6806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Puste oznacza użycie kwoty z wybranego wariantu.</w:t>
            </w:r>
          </w:p>
        </w:tc>
      </w:tr>
    </w:tbl>
    <w:p>
      <w:pPr>
        <w:jc w:val="left"/>
        <w:spacing w:before="120" w:after="40"/>
      </w:pPr>
      <w:r>
        <w:rPr>
          <w:rFonts w:ascii="Roboto Condensed" w:hAnsi="Roboto Condensed"/>
          <w:b w:val="0"/>
          <w:color w:val="2A324B"/>
          <w:sz w:val="28"/>
        </w:rPr>
        <w:t>3.6 Treść w ofercie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Wszystkie pola są opcjonalne, a puste wracają do treści domyślnej.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900"/>
        <w:gridCol w:w="6506"/>
      </w:tblGrid>
      <w:tr>
        <w:tc>
          <w:tcPr>
            <w:tcW w:type="dxa" w:w="2900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Pole</w:t>
            </w:r>
          </w:p>
        </w:tc>
        <w:tc>
          <w:tcPr>
            <w:tcW w:type="dxa" w:w="6506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Opis</w:t>
            </w:r>
          </w:p>
        </w:tc>
      </w:tr>
      <w:tr>
        <w:tc>
          <w:tcPr>
            <w:tcW w:type="dxa" w:w="29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Zdiagnozowane potrzeby (lewa kolumna)</w:t>
            </w:r>
          </w:p>
        </w:tc>
        <w:tc>
          <w:tcPr>
            <w:tcW w:type="dxa" w:w="65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Krótki opis realnie zdiagnozowanych potrzeb klienta. Sekcja 01 Wprowadzenie.</w:t>
            </w:r>
          </w:p>
        </w:tc>
      </w:tr>
      <w:tr>
        <w:tc>
          <w:tcPr>
            <w:tcW w:type="dxa" w:w="29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Podstawa rekomendacji (prawa kolumna)</w:t>
            </w:r>
          </w:p>
        </w:tc>
        <w:tc>
          <w:tcPr>
            <w:tcW w:type="dxa" w:w="6506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Merytoryczne uzasadnienie rekomendacji, do 1500 znaków. Sekcja 01, układ dwukolumnowy.</w:t>
            </w:r>
          </w:p>
        </w:tc>
      </w:tr>
      <w:tr>
        <w:tc>
          <w:tcPr>
            <w:tcW w:type="dxa" w:w="29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Opis rekomendowanego programu</w:t>
            </w:r>
          </w:p>
        </w:tc>
        <w:tc>
          <w:tcPr>
            <w:tcW w:type="dxa" w:w="65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Edytor tekstu sformatowanego. Puste oznacza opis z biblioteki. Sekcja 02.</w:t>
            </w:r>
          </w:p>
        </w:tc>
      </w:tr>
      <w:tr>
        <w:tc>
          <w:tcPr>
            <w:tcW w:type="dxa" w:w="29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Założenia oferty (punktory)</w:t>
            </w:r>
          </w:p>
        </w:tc>
        <w:tc>
          <w:tcPr>
            <w:tcW w:type="dxa" w:w="6506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Lista punktów w kafelku sekcji 04 (Model wynagrodzenia).</w:t>
            </w:r>
          </w:p>
        </w:tc>
      </w:tr>
      <w:tr>
        <w:tc>
          <w:tcPr>
            <w:tcW w:type="dxa" w:w="29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Uwagi do wyceny</w:t>
            </w:r>
          </w:p>
        </w:tc>
        <w:tc>
          <w:tcPr>
            <w:tcW w:type="dxa" w:w="65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Wyróżniony box przy wynagrodzeniu wykonawczym.</w:t>
            </w:r>
          </w:p>
        </w:tc>
      </w:tr>
    </w:tbl>
    <w:p>
      <w:pPr>
        <w:jc w:val="left"/>
        <w:spacing w:before="120" w:after="40"/>
      </w:pPr>
      <w:r>
        <w:rPr>
          <w:rFonts w:ascii="Roboto Condensed" w:hAnsi="Roboto Condensed"/>
          <w:b w:val="0"/>
          <w:color w:val="2A324B"/>
          <w:sz w:val="28"/>
        </w:rPr>
        <w:t>3.7 Załączniki i właściciel oferty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900"/>
        <w:gridCol w:w="6506"/>
      </w:tblGrid>
      <w:tr>
        <w:tc>
          <w:tcPr>
            <w:tcW w:type="dxa" w:w="2900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Pole</w:t>
            </w:r>
          </w:p>
        </w:tc>
        <w:tc>
          <w:tcPr>
            <w:tcW w:type="dxa" w:w="6506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Opis</w:t>
            </w:r>
          </w:p>
        </w:tc>
      </w:tr>
      <w:tr>
        <w:tc>
          <w:tcPr>
            <w:tcW w:type="dxa" w:w="29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Osoba kontaktowa</w:t>
            </w:r>
          </w:p>
        </w:tc>
        <w:tc>
          <w:tcPr>
            <w:tcW w:type="dxa" w:w="65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Wybór z katalogu osób kontaktowych. Pojawia się w ofercie.</w:t>
            </w:r>
          </w:p>
        </w:tc>
      </w:tr>
      <w:tr>
        <w:tc>
          <w:tcPr>
            <w:tcW w:type="dxa" w:w="29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Case study</w:t>
            </w:r>
          </w:p>
        </w:tc>
        <w:tc>
          <w:tcPr>
            <w:tcW w:type="dxa" w:w="6506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Wybór zrealizowanego projektu z katalogu, pokazywany w sekcji 06. Jeśli projekt ma zapisany link, w ofercie pojawia się odnośnik Zobacz pełny opis projektu.</w:t>
            </w:r>
          </w:p>
        </w:tc>
      </w:tr>
      <w:tr>
        <w:tc>
          <w:tcPr>
            <w:tcW w:type="dxa" w:w="29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Przypisany konsultant</w:t>
            </w:r>
          </w:p>
        </w:tc>
        <w:tc>
          <w:tcPr>
            <w:tcW w:type="dxa" w:w="65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Widoczne dla administratora. Zmienia, kto widzi i edytuje ofertę. Autor się nie zmienia.</w:t>
            </w:r>
          </w:p>
        </w:tc>
      </w:tr>
    </w:tbl>
    <w:p>
      <w:pPr>
        <w:jc w:val="left"/>
        <w:spacing w:before="120" w:after="40"/>
      </w:pPr>
      <w:r>
        <w:rPr>
          <w:rFonts w:ascii="Roboto Condensed" w:hAnsi="Roboto Condensed"/>
          <w:b w:val="0"/>
          <w:color w:val="2A324B"/>
          <w:sz w:val="28"/>
        </w:rPr>
        <w:t>3.8 Wypełnianie z transkrypcji (AI)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U góry formularza oferty znajduje się przycisk Wypełnij z transkrypcji. Otwiera panel, do którego możesz wkleić tekst notatki lub transkrypcji spotkania albo wgrać plik .docx lub .txt. PDF wklej jako tekst. Po analizie system wstępnie uzupełnia tylko puste pola: nazwę firmy, NIP, branżę, wielkość firmy, województwo oraz opis zdiagnozowanych potrzeb i podstawę rekomendacji (sekcja 01). Jeśli w rozmowie padła kwota, proponuje też wartość projektu do ręcznego potwierdzenia, a jeśli któryś program z biblioteki pasuje - podpowiada go.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Pola uzupełnione przez AI są podświetlone na żółto - to znak sprawdź i potwierdź. Panel pokazuje krótkie podsumowanie tego, co udało się wyciągnąć, wraz z ostrzeżeniami (czego nie ustalono, co wymaga weryfikacji). Nic nie jest zapisywane ani wysyłane automatycznie: transkrypcji nie przechowujemy, a dane utrwala dopiero Twój świadomy zapis oferty. Do analizy potrzeba co najmniej kilkunastu znaków tekstu; bardzo długie transkrypcje są skracane do fragmentu początkowego.</w:t>
      </w:r>
    </w:p>
    <w:p>
      <w:pPr>
        <w:jc w:val="both"/>
        <w:spacing w:after="120" w:before="0"/>
      </w:pPr>
      <w:r>
        <w:rPr>
          <w:rFonts w:ascii="Roboto Condensed" w:hAnsi="Roboto Condensed"/>
          <w:b/>
          <w:color w:val="CE181A"/>
          <w:sz w:val="22"/>
        </w:rPr>
        <w:t>Uwaga: AI bywa omylne - traktuj wynik jak szkic do weryfikacji, nie jak gotowe dane. Zawsze sprawdź kwoty, nazwy i rekomendację przed wysłaniem oferty. Funkcja działa tylko wtedy, gdy w środowisku skonfigurowano klucz dostępu do modelu; w przeciwnym razie przycisk zwróci komunikat o niedostępności.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4. Zapis: wersja robocza i szablon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Stwórz ofertę lub Zapisz zmiany zapisuje ofertę. Nowa oferta powstaje jako wersja robocza, po zapisie przechodzisz do edytora.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Zapisz jako szablon zapisuje bieżące ustawienia (program, warianty, treści) bez danych klienta, do wykorzystania w kolejnych ofertach. To nie jest publikacja oferty, tylko wzorzec.</w:t>
      </w:r>
    </w:p>
    <w:p>
      <w:pPr>
        <w:jc w:val="both"/>
        <w:spacing w:after="120" w:before="0"/>
      </w:pPr>
      <w:r>
        <w:rPr>
          <w:rFonts w:ascii="Roboto Condensed" w:hAnsi="Roboto Condensed"/>
          <w:b/>
          <w:color w:val="CE181A"/>
          <w:sz w:val="22"/>
        </w:rPr>
        <w:t>Uwaga: Edycja oferty już wysłanej pokaże ostrzeżenie - zmiana finansów wymusi ponowne przeliczenie cennika i odświeżenie pliku PDF.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5. Akcje na ofercie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900"/>
        <w:gridCol w:w="6506"/>
      </w:tblGrid>
      <w:tr>
        <w:tc>
          <w:tcPr>
            <w:tcW w:type="dxa" w:w="2900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Akcja</w:t>
            </w:r>
          </w:p>
        </w:tc>
        <w:tc>
          <w:tcPr>
            <w:tcW w:type="dxa" w:w="6506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Co robi</w:t>
            </w:r>
          </w:p>
        </w:tc>
      </w:tr>
      <w:tr>
        <w:tc>
          <w:tcPr>
            <w:tcW w:type="dxa" w:w="29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Wyślij ofertę / Wyślij ponownie</w:t>
            </w:r>
          </w:p>
        </w:tc>
        <w:tc>
          <w:tcPr>
            <w:tcW w:type="dxa" w:w="65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Otwiera okno z adresem odbiorcy, tematem i wiadomością. Wysyła klientowi maila z linkiem, ustawia status na wysłana. Jeśli mail nie dotrze, błąd pokazuje się od razu.</w:t>
            </w:r>
          </w:p>
        </w:tc>
      </w:tr>
      <w:tr>
        <w:tc>
          <w:tcPr>
            <w:tcW w:type="dxa" w:w="29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Przelicz pricing</w:t>
            </w:r>
          </w:p>
        </w:tc>
        <w:tc>
          <w:tcPr>
            <w:tcW w:type="dxa" w:w="6506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Ponownie wylicza cennik. Przy ofercie innej niż robocza prosi o potwierdzenie.</w:t>
            </w:r>
          </w:p>
        </w:tc>
      </w:tr>
      <w:tr>
        <w:tc>
          <w:tcPr>
            <w:tcW w:type="dxa" w:w="29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Skopiuj link</w:t>
            </w:r>
          </w:p>
        </w:tc>
        <w:tc>
          <w:tcPr>
            <w:tcW w:type="dxa" w:w="65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Dla wersji roboczej kopiuje link podglądu (działa tylko dla zalogowanego), dla wysłanej link publiczny dla klienta.</w:t>
            </w:r>
          </w:p>
        </w:tc>
      </w:tr>
      <w:tr>
        <w:tc>
          <w:tcPr>
            <w:tcW w:type="dxa" w:w="29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Podgląd</w:t>
            </w:r>
          </w:p>
        </w:tc>
        <w:tc>
          <w:tcPr>
            <w:tcW w:type="dxa" w:w="6506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Otwiera ofertę tak, jak zobaczy ją klient.</w:t>
            </w:r>
          </w:p>
        </w:tc>
      </w:tr>
      <w:tr>
        <w:tc>
          <w:tcPr>
            <w:tcW w:type="dxa" w:w="29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Usuń (soft-delete)</w:t>
            </w:r>
          </w:p>
        </w:tc>
        <w:tc>
          <w:tcPr>
            <w:tcW w:type="dxa" w:w="65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Tylko administrator. Oferta znika z list, ale zostaje w bazie na potrzeby zgodności z RODO.</w:t>
            </w:r>
          </w:p>
        </w:tc>
      </w:tr>
      <w:tr>
        <w:tc>
          <w:tcPr>
            <w:tcW w:type="dxa" w:w="29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Zmiana konsultanta</w:t>
            </w:r>
          </w:p>
        </w:tc>
        <w:tc>
          <w:tcPr>
            <w:tcW w:type="dxa" w:w="6506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Przez sekcję Właściciel oferty w formularzu.</w:t>
            </w:r>
          </w:p>
        </w:tc>
      </w:tr>
    </w:tbl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6. Co widzi klient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Klient otwiera ofertę pod linkiem i przewija osiem numerowanych sekcji. Na górze widzi numer oferty, datę, swoją nazwę i program, a jeśli ustawiono termin ważności - datę do której oferta obowiązuje.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600"/>
        <w:gridCol w:w="6806"/>
      </w:tblGrid>
      <w:tr>
        <w:tc>
          <w:tcPr>
            <w:tcW w:type="dxa" w:w="2600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Sekcja</w:t>
            </w:r>
          </w:p>
        </w:tc>
        <w:tc>
          <w:tcPr>
            <w:tcW w:type="dxa" w:w="6806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Zawartość</w:t>
            </w:r>
          </w:p>
        </w:tc>
      </w:tr>
      <w:tr>
        <w:tc>
          <w:tcPr>
            <w:tcW w:type="dxa" w:w="2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01 Wprowadzenie</w:t>
            </w:r>
          </w:p>
        </w:tc>
        <w:tc>
          <w:tcPr>
            <w:tcW w:type="dxa" w:w="68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Zdiagnozowane potrzeby klienta i merytoryczna podstawa rekomendacji w układzie dwukolumnowym.</w:t>
            </w:r>
          </w:p>
        </w:tc>
      </w:tr>
      <w:tr>
        <w:tc>
          <w:tcPr>
            <w:tcW w:type="dxa" w:w="26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02 Proponowane rozwiązanie</w:t>
            </w:r>
          </w:p>
        </w:tc>
        <w:tc>
          <w:tcPr>
            <w:tcW w:type="dxa" w:w="6806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Rekomendowany program jako wyróżniony kafelek wraz z opisem; pod spodem pozostałe programy wsparcia.</w:t>
            </w:r>
          </w:p>
        </w:tc>
      </w:tr>
      <w:tr>
        <w:tc>
          <w:tcPr>
            <w:tcW w:type="dxa" w:w="2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03 Zakres usługi doradczej</w:t>
            </w:r>
          </w:p>
        </w:tc>
        <w:tc>
          <w:tcPr>
            <w:tcW w:type="dxa" w:w="68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Rozwijana lista zadań na etapie przygotowania i obsługi.</w:t>
            </w:r>
          </w:p>
        </w:tc>
      </w:tr>
      <w:tr>
        <w:tc>
          <w:tcPr>
            <w:tcW w:type="dxa" w:w="26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04 Model wynagrodzenia</w:t>
            </w:r>
          </w:p>
        </w:tc>
        <w:tc>
          <w:tcPr>
            <w:tcW w:type="dxa" w:w="6806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Założenia, tabela wariantów, wynagrodzenie wykonawcze, ewentualny box z rabatem.</w:t>
            </w:r>
          </w:p>
        </w:tc>
      </w:tr>
      <w:tr>
        <w:tc>
          <w:tcPr>
            <w:tcW w:type="dxa" w:w="2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05 Schemat procesu</w:t>
            </w:r>
          </w:p>
        </w:tc>
        <w:tc>
          <w:tcPr>
            <w:tcW w:type="dxa" w:w="68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Oś czasu współpracy.</w:t>
            </w:r>
          </w:p>
        </w:tc>
      </w:tr>
      <w:tr>
        <w:tc>
          <w:tcPr>
            <w:tcW w:type="dxa" w:w="26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06 Dlaczego K2Biznes</w:t>
            </w:r>
          </w:p>
        </w:tc>
        <w:tc>
          <w:tcPr>
            <w:tcW w:type="dxa" w:w="6806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Wartości firmy, statystyki oraz case study jako dowód.</w:t>
            </w:r>
          </w:p>
        </w:tc>
      </w:tr>
      <w:tr>
        <w:tc>
          <w:tcPr>
            <w:tcW w:type="dxa" w:w="2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07 FAQ</w:t>
            </w:r>
          </w:p>
        </w:tc>
        <w:tc>
          <w:tcPr>
            <w:tcW w:type="dxa" w:w="68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Najczęstsze pytania i odpowiedzi.</w:t>
            </w:r>
          </w:p>
        </w:tc>
      </w:tr>
      <w:tr>
        <w:tc>
          <w:tcPr>
            <w:tcW w:type="dxa" w:w="26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08 Akceptacja</w:t>
            </w:r>
          </w:p>
        </w:tc>
        <w:tc>
          <w:tcPr>
            <w:tcW w:type="dxa" w:w="6806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Wybór wariantu, dane osoby akceptującej, komentarz i wymagana zgoda RODO.</w:t>
            </w:r>
          </w:p>
        </w:tc>
      </w:tr>
    </w:tbl>
    <w:p>
      <w:pPr>
        <w:jc w:val="both"/>
        <w:spacing w:after="120" w:before="0"/>
      </w:pPr>
      <w:r>
        <w:rPr>
          <w:rFonts w:ascii="Roboto Condensed" w:hAnsi="Roboto Condensed"/>
          <w:b/>
          <w:color w:val="CE181A"/>
          <w:sz w:val="22"/>
        </w:rPr>
        <w:t>Uwaga: Klient akceptuje lub odrzuca ofertę wprost na stronie. Zgoda RODO przy akceptacji jest obowiązkowa. Po decyzji na górze pojawia się baner ze statusem oferty.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7. Dashboard aktywności oferty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Dla każdej wysłanej oferty dostępny jest podgląd aktywności - widać, jak klient korzysta z oferty: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Liczba otwarć oraz data pierwszego i ostatniego otwarcia.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Postęp czytania - które z ośmiu sekcji klient doczytał.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Zainteresowanie wariantami - najechania i podświetlenia wariantów.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Pobrania pliku PDF.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Oś zdarzeń - chronologiczny zapis aktywności klienta i działań zespołu.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8. Ustawienia firmowe i katalogi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Treści wspólne dla wszystkich ofert utrzymuje się w osobnych modułach, aby nie powtarzać ich przy każdej ofercie: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500"/>
        <w:gridCol w:w="2200"/>
        <w:gridCol w:w="4706"/>
      </w:tblGrid>
      <w:tr>
        <w:tc>
          <w:tcPr>
            <w:tcW w:type="dxa" w:w="2500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Moduł</w:t>
            </w:r>
          </w:p>
        </w:tc>
        <w:tc>
          <w:tcPr>
            <w:tcW w:type="dxa" w:w="2200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Ścieżka</w:t>
            </w:r>
          </w:p>
        </w:tc>
        <w:tc>
          <w:tcPr>
            <w:tcW w:type="dxa" w:w="4706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Do czego służy</w:t>
            </w:r>
          </w:p>
        </w:tc>
      </w:tr>
      <w:tr>
        <w:tc>
          <w:tcPr>
            <w:tcW w:type="dxa" w:w="25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Ustawienia firmowe</w:t>
            </w:r>
          </w:p>
        </w:tc>
        <w:tc>
          <w:tcPr>
            <w:tcW w:type="dxa" w:w="22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/admin/ustawienia</w:t>
            </w:r>
          </w:p>
        </w:tc>
        <w:tc>
          <w:tcPr>
            <w:tcW w:type="dxa" w:w="47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Statystyki firmowe (kwota dofinansowania, liczba projektów, rok startu) i test wysyłki email. Zmiana propaguje na wszystkie oferty. Rola super_admin.</w:t>
            </w:r>
          </w:p>
        </w:tc>
      </w:tr>
      <w:tr>
        <w:tc>
          <w:tcPr>
            <w:tcW w:type="dxa" w:w="25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Case studies</w:t>
            </w:r>
          </w:p>
        </w:tc>
        <w:tc>
          <w:tcPr>
            <w:tcW w:type="dxa" w:w="22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/admin/case-studies</w:t>
            </w:r>
          </w:p>
        </w:tc>
        <w:tc>
          <w:tcPr>
            <w:tcW w:type="dxa" w:w="4706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Zrealizowane projekty pokazywane klientom.</w:t>
            </w:r>
          </w:p>
        </w:tc>
      </w:tr>
      <w:tr>
        <w:tc>
          <w:tcPr>
            <w:tcW w:type="dxa" w:w="25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Osoby kontaktowe</w:t>
            </w:r>
          </w:p>
        </w:tc>
        <w:tc>
          <w:tcPr>
            <w:tcW w:type="dxa" w:w="22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/admin/contact-persons</w:t>
            </w:r>
          </w:p>
        </w:tc>
        <w:tc>
          <w:tcPr>
            <w:tcW w:type="dxa" w:w="47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Dane konsultantów w ofertach.</w:t>
            </w:r>
          </w:p>
        </w:tc>
      </w:tr>
      <w:tr>
        <w:tc>
          <w:tcPr>
            <w:tcW w:type="dxa" w:w="25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Programy wsparcia</w:t>
            </w:r>
          </w:p>
        </w:tc>
        <w:tc>
          <w:tcPr>
            <w:tcW w:type="dxa" w:w="22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/admin/alt-programs</w:t>
            </w:r>
          </w:p>
        </w:tc>
        <w:tc>
          <w:tcPr>
            <w:tcW w:type="dxa" w:w="4706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Biblioteka programów wsparcia. Pozycja oznaczona jako rekomendowana trafia do sekcji 02 oferty. Zastąpiła dawny katalog Programy.</w:t>
            </w:r>
          </w:p>
        </w:tc>
      </w:tr>
      <w:tr>
        <w:tc>
          <w:tcPr>
            <w:tcW w:type="dxa" w:w="25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Szablony</w:t>
            </w:r>
          </w:p>
        </w:tc>
        <w:tc>
          <w:tcPr>
            <w:tcW w:type="dxa" w:w="22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/admin/templates</w:t>
            </w:r>
          </w:p>
        </w:tc>
        <w:tc>
          <w:tcPr>
            <w:tcW w:type="dxa" w:w="47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Zapisane wzorce ofert.</w:t>
            </w:r>
          </w:p>
        </w:tc>
      </w:tr>
      <w:tr>
        <w:tc>
          <w:tcPr>
            <w:tcW w:type="dxa" w:w="25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FAQ</w:t>
            </w:r>
          </w:p>
        </w:tc>
        <w:tc>
          <w:tcPr>
            <w:tcW w:type="dxa" w:w="22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/admin/faq</w:t>
            </w:r>
          </w:p>
        </w:tc>
        <w:tc>
          <w:tcPr>
            <w:tcW w:type="dxa" w:w="4706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Globalne pytania i odpowiedzi.</w:t>
            </w:r>
          </w:p>
        </w:tc>
      </w:tr>
      <w:tr>
        <w:tc>
          <w:tcPr>
            <w:tcW w:type="dxa" w:w="25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Użytkownicy</w:t>
            </w:r>
          </w:p>
        </w:tc>
        <w:tc>
          <w:tcPr>
            <w:tcW w:type="dxa" w:w="22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/admin/users</w:t>
            </w:r>
          </w:p>
        </w:tc>
        <w:tc>
          <w:tcPr>
            <w:tcW w:type="dxa" w:w="47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Konta i role. Rola super_admin.</w:t>
            </w:r>
          </w:p>
        </w:tc>
      </w:tr>
    </w:tbl>
    <w:p>
      <w:pPr>
        <w:jc w:val="left"/>
        <w:spacing w:before="240" w:after="80"/>
      </w:pPr>
      <w:r>
        <w:rPr>
          <w:rFonts w:ascii="Roboto Condensed" w:hAnsi="Roboto Condensed"/>
          <w:b w:val="0"/>
          <w:color w:val="2A324B"/>
          <w:sz w:val="64"/>
        </w:rPr>
        <w:t>Część II - Architektura systemu (dla zespołu technicznego)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1. Stack technologiczny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600"/>
        <w:gridCol w:w="6806"/>
      </w:tblGrid>
      <w:tr>
        <w:tc>
          <w:tcPr>
            <w:tcW w:type="dxa" w:w="2600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Warstwa</w:t>
            </w:r>
          </w:p>
        </w:tc>
        <w:tc>
          <w:tcPr>
            <w:tcW w:type="dxa" w:w="6806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Technologia</w:t>
            </w:r>
          </w:p>
        </w:tc>
      </w:tr>
      <w:tr>
        <w:tc>
          <w:tcPr>
            <w:tcW w:type="dxa" w:w="2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Frontend i backend</w:t>
            </w:r>
          </w:p>
        </w:tc>
        <w:tc>
          <w:tcPr>
            <w:tcW w:type="dxa" w:w="68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Next.js 14 (App Router), TypeScript, walidacja Zod. Monorepo (apps/web, packages, supabase).</w:t>
            </w:r>
          </w:p>
        </w:tc>
      </w:tr>
      <w:tr>
        <w:tc>
          <w:tcPr>
            <w:tcW w:type="dxa" w:w="26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Baza, autoryzacja, pliki</w:t>
            </w:r>
          </w:p>
        </w:tc>
        <w:tc>
          <w:tcPr>
            <w:tcW w:type="dxa" w:w="6806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Supabase Cloud - PostgreSQL 17, region eu-central-1. Autoryzacja PKCE, Storage, RLS na każdej tabeli.</w:t>
            </w:r>
          </w:p>
        </w:tc>
      </w:tr>
      <w:tr>
        <w:tc>
          <w:tcPr>
            <w:tcW w:type="dxa" w:w="2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Hosting</w:t>
            </w:r>
          </w:p>
        </w:tc>
        <w:tc>
          <w:tcPr>
            <w:tcW w:type="dxa" w:w="68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Vercel, domena oferta.k2biznes.pl, automatyczny deploy z gałęzi main.</w:t>
            </w:r>
          </w:p>
        </w:tc>
      </w:tr>
      <w:tr>
        <w:tc>
          <w:tcPr>
            <w:tcW w:type="dxa" w:w="26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Limity zapytań</w:t>
            </w:r>
          </w:p>
        </w:tc>
        <w:tc>
          <w:tcPr>
            <w:tcW w:type="dxa" w:w="6806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Upstash Redis w warstwie pośredniej (middleware).</w:t>
            </w:r>
          </w:p>
        </w:tc>
      </w:tr>
      <w:tr>
        <w:tc>
          <w:tcPr>
            <w:tcW w:type="dxa" w:w="2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Email</w:t>
            </w:r>
          </w:p>
        </w:tc>
        <w:tc>
          <w:tcPr>
            <w:tcW w:type="dxa" w:w="68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Resend, domena k2biznes.pl z podpisem DKIM.</w:t>
            </w:r>
          </w:p>
        </w:tc>
      </w:tr>
      <w:tr>
        <w:tc>
          <w:tcPr>
            <w:tcW w:type="dxa" w:w="26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Monitoring</w:t>
            </w:r>
          </w:p>
        </w:tc>
        <w:tc>
          <w:tcPr>
            <w:tcW w:type="dxa" w:w="6806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Sentry (region UE) oraz UptimeRobot pingujący /api/health co 5 minut.</w:t>
            </w:r>
          </w:p>
        </w:tc>
      </w:tr>
      <w:tr>
        <w:tc>
          <w:tcPr>
            <w:tcW w:type="dxa" w:w="2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Wypełnianie z transkrypcji</w:t>
            </w:r>
          </w:p>
        </w:tc>
        <w:tc>
          <w:tcPr>
            <w:tcW w:type="dxa" w:w="68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Model Claude (Anthropic SDK) wywoływany przez endpoint /api/admin/offer-draft; parsowanie .docx przez mammoth. Wymaga klucza ANTHROPIC_API_KEY; bez niego funkcja jest wyłączona (503).</w:t>
            </w:r>
          </w:p>
        </w:tc>
      </w:tr>
    </w:tbl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2. Model danych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Najważniejsze tabele bazy: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600"/>
        <w:gridCol w:w="6806"/>
      </w:tblGrid>
      <w:tr>
        <w:tc>
          <w:tcPr>
            <w:tcW w:type="dxa" w:w="2600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Tabela</w:t>
            </w:r>
          </w:p>
        </w:tc>
        <w:tc>
          <w:tcPr>
            <w:tcW w:type="dxa" w:w="6806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Rola</w:t>
            </w:r>
          </w:p>
        </w:tc>
      </w:tr>
      <w:tr>
        <w:tc>
          <w:tcPr>
            <w:tcW w:type="dxa" w:w="2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profiles</w:t>
            </w:r>
          </w:p>
        </w:tc>
        <w:tc>
          <w:tcPr>
            <w:tcW w:type="dxa" w:w="68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Użytkownicy wewnętrzni i ich role. Klienci nie mają kont.</w:t>
            </w:r>
          </w:p>
        </w:tc>
      </w:tr>
      <w:tr>
        <w:tc>
          <w:tcPr>
            <w:tcW w:type="dxa" w:w="26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offers</w:t>
            </w:r>
          </w:p>
        </w:tc>
        <w:tc>
          <w:tcPr>
            <w:tcW w:type="dxa" w:w="6806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Rdzeń systemu: dane oferty, status, token klienta, zamrożony snapshot cennika, wybrane warianty, treści, pola akceptacji, tracking.</w:t>
            </w:r>
          </w:p>
        </w:tc>
      </w:tr>
      <w:tr>
        <w:tc>
          <w:tcPr>
            <w:tcW w:type="dxa" w:w="2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offer_events</w:t>
            </w:r>
          </w:p>
        </w:tc>
        <w:tc>
          <w:tcPr>
            <w:tcW w:type="dxa" w:w="68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Log aktywności i audytu (otwarcia, przewijanie, akceptacja, wysyłki maili).</w:t>
            </w:r>
          </w:p>
        </w:tc>
      </w:tr>
      <w:tr>
        <w:tc>
          <w:tcPr>
            <w:tcW w:type="dxa" w:w="26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alt_programs, case_studies, contact_persons</w:t>
            </w:r>
          </w:p>
        </w:tc>
        <w:tc>
          <w:tcPr>
            <w:tcW w:type="dxa" w:w="6806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Katalogi słownikowe wykorzystywane w ofertach (m.in. biblioteka programów wsparcia).</w:t>
            </w:r>
          </w:p>
        </w:tc>
      </w:tr>
      <w:tr>
        <w:tc>
          <w:tcPr>
            <w:tcW w:type="dxa" w:w="2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pricing_segments, pricing_config</w:t>
            </w:r>
          </w:p>
        </w:tc>
        <w:tc>
          <w:tcPr>
            <w:tcW w:type="dxa" w:w="68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Konfiguracja cennika: progi segmentów i parametry (rabaty, minima).</w:t>
            </w:r>
          </w:p>
        </w:tc>
      </w:tr>
      <w:tr>
        <w:tc>
          <w:tcPr>
            <w:tcW w:type="dxa" w:w="26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offer_templates, app_settings</w:t>
            </w:r>
          </w:p>
        </w:tc>
        <w:tc>
          <w:tcPr>
            <w:tcW w:type="dxa" w:w="6806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Szablony ofert i ustawienia firmowe (klucz-wartość).</w:t>
            </w:r>
          </w:p>
        </w:tc>
      </w:tr>
      <w:tr>
        <w:tc>
          <w:tcPr>
            <w:tcW w:type="dxa" w:w="2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faq_items, gdpr_clauses</w:t>
            </w:r>
          </w:p>
        </w:tc>
        <w:tc>
          <w:tcPr>
            <w:tcW w:type="dxa" w:w="68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Globalne FAQ i wersjonowane klauzule RODO.</w:t>
            </w:r>
          </w:p>
        </w:tc>
      </w:tr>
      <w:tr>
        <w:tc>
          <w:tcPr>
            <w:tcW w:type="dxa" w:w="26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webhook_jobs, audit_log</w:t>
            </w:r>
          </w:p>
        </w:tc>
        <w:tc>
          <w:tcPr>
            <w:tcW w:type="dxa" w:w="6806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Kolejka integracji CRM oraz dziennik audytu.</w:t>
            </w:r>
          </w:p>
        </w:tc>
      </w:tr>
    </w:tbl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3. Przepływ oferty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1. </w:t>
      </w:r>
      <w:r>
        <w:rPr>
          <w:rFonts w:ascii="Roboto Condensed Light" w:hAnsi="Roboto Condensed Light"/>
          <w:b w:val="0"/>
          <w:color w:val="2A324B"/>
          <w:sz w:val="22"/>
        </w:rPr>
        <w:t>Utworzenie: walidacja danych, wygenerowanie numeru oferty, wyliczenie cennika i zapis snapshotu. Oferta powstaje jako wersja robocza.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2. </w:t>
      </w:r>
      <w:r>
        <w:rPr>
          <w:rFonts w:ascii="Roboto Condensed Light" w:hAnsi="Roboto Condensed Light"/>
          <w:b w:val="0"/>
          <w:color w:val="2A324B"/>
          <w:sz w:val="22"/>
        </w:rPr>
        <w:t>Wysyłka: zmiana statusu na wysłana, wysłanie maila do klienta z linkiem, zapis zdarzenia i ewentualne zakolejkowanie integracji CRM.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3. </w:t>
      </w:r>
      <w:r>
        <w:rPr>
          <w:rFonts w:ascii="Roboto Condensed Light" w:hAnsi="Roboto Condensed Light"/>
          <w:b w:val="0"/>
          <w:color w:val="2A324B"/>
          <w:sz w:val="22"/>
        </w:rPr>
        <w:t>Widok klienta: strona renderowana po stronie serwera na podstawie tokenu. Wygasły link zwraca kod 410, wersja robocza jest niedostępna publicznie. Aktywność klienta zapisywana jest jako zdarzenia.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4. </w:t>
      </w:r>
      <w:r>
        <w:rPr>
          <w:rFonts w:ascii="Roboto Condensed Light" w:hAnsi="Roboto Condensed Light"/>
          <w:b w:val="0"/>
          <w:color w:val="2A324B"/>
          <w:sz w:val="22"/>
        </w:rPr>
        <w:t>Akceptacja lub odrzucenie: walidacja statusu, wariantu i wersji klauzuli RODO, blokada podwójnej akceptacji, zapis decyzji, powiadomienie konsultanta mailem oraz zakolejkowanie zdarzenia do CRM.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4. Role i bezpieczeństwo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Trzy role (super_admin, admin, consultant) egzekwowane przez RLS na wszystkich tabelach.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Konsultant widzi wyłącznie oferty utworzone przez siebie lub do niego przypisane. Administratorzy widzą wszystkie.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Rola jest zapisana w profilu i w tokenie sesji. Zmiana roli wymaga aktualizacji obu miejsc oraz wylogowania sesji.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Weryfikacja dwuetapowa wymagana dla administratorów. Trigger bazy blokuje samodzielne podniesienie uprawnień.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Limity zapytań w warstwie pośredniej: 100 na minutę dla ścieżek publicznych, 1000 na minutę dla pozostałych.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Dostęp klienta wyłącznie przez losowy token oferty (bez konta). Ścieżki publiczne korzystają z uprawnień serwera, a reguły RLS domyślnie blokują dostęp anonimowy.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5. Silnik cenowy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Segment dobierany jest po wartości dofinansowania (wartość projektu pomnożona przez intensywność).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Opłata wstępna wynika z segmentu, pomniejszana o rabat lojalnościowy (klient powracający) i rabat za wiele projektów, z dolnym progiem kwotowym.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Wynagrodzenie od sukcesu to stawka procentowa segmentu z dolnym progiem kwotowym. Suma daje wartość wariantu.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Warianty różnią się harmonogramem płatności. Wartość oczekiwana uwzględnia prawdopodobieństwo sukcesu i obsługę miesięczną.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Snapshot cennika jest zamrażany przy tworzeniu i edycji oferty. Ponowne przeliczenie następuje wyłącznie na żądanie.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6. Email i generowanie PDF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Wysyłka maili ma jeden punkt wejścia i trzy tryby: lokalny serwer SMTP (development), Resend (produkcja) oraz zapis do logu, gdy żaden nie jest skonfigurowany.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Nadawcą jest oferty@k2biznes.pl, a odpowiedzi trafiają do konsultanta prowadzącego. Szablony maili obejmują wysyłkę oferty oraz powiadomienia o akceptacji i odrzuceniu.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Każda nieudana wysyłka trafia do Sentry i zostawia znacznik przy ofercie na liście.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PDF generowany jest przez przeglądarkę bezgłową z widoku oferty w trybie druku i cache'owany w Storage. Na obecnym planie Vercel obowiązuje limit czasu funkcji, przez co generowanie PDF na produkcji bywa przerywane - dlatego link do PDF nie jest wystawiony w panelu. Docelowo rozwiązuje to wyższy plan Vercel.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7. Hosting i infrastruktura</w:t>
      </w:r>
    </w:p>
    <w:tbl>
      <w:tblPr>
        <w:tblW w:w="9406" w:type="dxa"/>
        <w:tblStyle w:val="TableGrid"/>
        <w:tblLook w:firstColumn="1" w:firstRow="1" w:lastColumn="0" w:lastRow="0" w:noHBand="0" w:noVBand="1" w:val="04A0"/>
        <w:tblLayout w:type="fixed"/>
      </w:tblPr>
      <w:tblGrid>
        <w:gridCol w:w="2600"/>
        <w:gridCol w:w="6806"/>
      </w:tblGrid>
      <w:tr>
        <w:tc>
          <w:tcPr>
            <w:tcW w:type="dxa" w:w="2600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Element</w:t>
            </w:r>
          </w:p>
        </w:tc>
        <w:tc>
          <w:tcPr>
            <w:tcW w:type="dxa" w:w="6806"/>
            <w:shd w:fill="2A324B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" w:hAnsi="Roboto Condensed"/>
                <w:b w:val="0"/>
                <w:color w:val="FFFFFF"/>
                <w:sz w:val="22"/>
              </w:rPr>
              <w:t>Szczegóły</w:t>
            </w:r>
          </w:p>
        </w:tc>
      </w:tr>
      <w:tr>
        <w:tc>
          <w:tcPr>
            <w:tcW w:type="dxa" w:w="2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Aplikacja</w:t>
            </w:r>
          </w:p>
        </w:tc>
        <w:tc>
          <w:tcPr>
            <w:tcW w:type="dxa" w:w="68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Vercel, automatyczny deploy z gałęzi main repozytorium GitHub.</w:t>
            </w:r>
          </w:p>
        </w:tc>
      </w:tr>
      <w:tr>
        <w:tc>
          <w:tcPr>
            <w:tcW w:type="dxa" w:w="26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Baza danych</w:t>
            </w:r>
          </w:p>
        </w:tc>
        <w:tc>
          <w:tcPr>
            <w:tcW w:type="dxa" w:w="6806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Supabase Cloud, region eu-central-1. UptimeRobot zapobiega uśpieniu bazy.</w:t>
            </w:r>
          </w:p>
        </w:tc>
      </w:tr>
      <w:tr>
        <w:tc>
          <w:tcPr>
            <w:tcW w:type="dxa" w:w="260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Limity zapytań</w:t>
            </w:r>
          </w:p>
        </w:tc>
        <w:tc>
          <w:tcPr>
            <w:tcW w:type="dxa" w:w="680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Upstash Redis.</w:t>
            </w:r>
          </w:p>
        </w:tc>
      </w:tr>
      <w:tr>
        <w:tc>
          <w:tcPr>
            <w:tcW w:type="dxa" w:w="2600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/>
                <w:color w:val="2A324B"/>
                <w:sz w:val="20"/>
              </w:rPr>
              <w:t>Monitoring</w:t>
            </w:r>
          </w:p>
        </w:tc>
        <w:tc>
          <w:tcPr>
            <w:tcW w:type="dxa" w:w="6806"/>
            <w:shd w:fill="ECECEC" w:val="clear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  <w:insideH w:val="single" w:sz="4" w:color="CCCCCC"/>
              <w:insideV w:val="single" w:sz="4" w:color="CCCCCC"/>
            </w:tcBorders>
          </w:tcPr>
          <w:p>
            <w:pPr>
              <w:jc w:val="left"/>
              <w:spacing w:after="20" w:before="20"/>
            </w:pPr>
            <w:r>
              <w:rPr>
                <w:rFonts w:ascii="Roboto Condensed Light" w:hAnsi="Roboto Condensed Light"/>
                <w:b w:val="0"/>
                <w:color w:val="2A324B"/>
                <w:sz w:val="20"/>
              </w:rPr>
              <w:t>Sentry (region UE, maskowanie danych osobowych).</w:t>
            </w:r>
          </w:p>
        </w:tc>
      </w:tr>
    </w:tbl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8. Migracje bazy danych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Migracje trzymane są w katalogu supabase/migrations wraz z plikiem seed.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Lokalnie stosuje się reset bazy i generowanie typów. Na produkcji migracje aplikuje się przez CLI Supabase lub psql (pooler sesyjny).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Przed każdą migracją produkcyjną wykonywany jest backup bazy, a zmiana jest weryfikowana. Procedurę opisuje docs/RUNBOOK_MIGRATION_ROLLBACK.md.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Parametry cennika (segmenty i konfiguracja) można zmieniać bez wdrożenia, bezpośrednio w panelu Supabase.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9. Wypełnianie oferty z transkrypcji (AI)</w:t>
      </w:r>
    </w:p>
    <w:p>
      <w:pPr>
        <w:jc w:val="both"/>
        <w:spacing w:after="120" w:before="0"/>
      </w:pPr>
      <w:r>
        <w:rPr>
          <w:rFonts w:ascii="Roboto Condensed Light" w:hAnsi="Roboto Condensed Light"/>
          <w:b w:val="0"/>
          <w:color w:val="2A324B"/>
          <w:sz w:val="22"/>
        </w:rPr>
        <w:t>Endpoint POST /api/admin/offer-draft (dostęp tylko dla roli admin) przyjmuje wklejony tekst w formacie JSON lub plik przesłany jako multipart. Plik .docx jest parsowany w pamięci przez bibliotekę mammoth, a plik .txt czytany jako UTF-8. Model Claude (Haiku) z wymuszonym wywołaniem narzędzia zwraca ustrukturyzowany zestaw pól szkicu. Sugerowany program dopasowywany jest wyłącznie do realnych identyfikatorów z biblioteki alt_programs. Wynik modelu normalizuje moduł lib/offers/draft.ts, pokryty testami.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Zakres wejścia: minimum kilkanaście znaków; analizowany jest fragment do 50 000 znaków, nadmiar jest obcinany z ostrzeżeniem.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RODO: transkryptu ani pliku nie zapisujemy - przetwarzanie odbywa się w pamięci, nic nie trafia do bazy ani do audit_log.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Uzupełniane są wyłącznie puste pola formularza; wartość projektu proponowana jest tylko wtedy, gdy padła wprost, i zawsze oznaczana do potwierdzenia.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Funkcja wymaga zmiennej ANTHROPIC_API_KEY (dev: .env.local, prod: Vercel). Bez klucza endpoint zwraca kod 503.</w:t>
      </w:r>
    </w:p>
    <w:p>
      <w:pPr>
        <w:jc w:val="left"/>
        <w:spacing w:before="160" w:after="40"/>
      </w:pPr>
      <w:r>
        <w:rPr>
          <w:rFonts w:ascii="Roboto Condensed" w:hAnsi="Roboto Condensed"/>
          <w:b w:val="0"/>
          <w:color w:val="2A324B"/>
          <w:sz w:val="36"/>
        </w:rPr>
        <w:t>Gdzie szukać więcej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docs/BACKEND_SPEC.md - pełna specyfikacja techniczna (model danych, API, bezpieczeństwo).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docs/TECH_ADMIN_MANUAL.md - podręcznik administratora technicznego i rozwiązywanie problemów.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docs/RUNBOOK_MIGRATION_ROLLBACK.md - procedura migracji i wycofywania zmian bazy.</w:t>
      </w:r>
    </w:p>
    <w:p>
      <w:pPr>
        <w:jc w:val="both"/>
        <w:spacing w:after="80" w:before="0"/>
        <w:ind w:left="360" w:hanging="360"/>
      </w:pPr>
      <w:r>
        <w:rPr>
          <w:rFonts w:ascii="Roboto Condensed Light" w:hAnsi="Roboto Condensed Light"/>
          <w:b w:val="0"/>
          <w:color w:val="2A324B"/>
          <w:sz w:val="22"/>
        </w:rPr>
        <w:t xml:space="preserve">-  </w:t>
      </w:r>
      <w:r>
        <w:rPr>
          <w:rFonts w:ascii="Roboto Condensed Light" w:hAnsi="Roboto Condensed Light"/>
          <w:b w:val="0"/>
          <w:color w:val="2A324B"/>
          <w:sz w:val="22"/>
        </w:rPr>
        <w:t>Repozytorium: github.com/tkalla79/k2biznes-oferta.</w:t>
      </w:r>
    </w:p>
    <w:sectPr w:rsidR="00FC693F" w:rsidRPr="0006063C" w:rsidSect="00034616">
      <w:footerReference w:type="default" r:id="rId10"/>
      <w:pgSz w:w="12240" w:h="15840"/>
      <w:pgMar w:top="1417" w:right="1417" w:bottom="1701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</w:tblPr>
    <w:tblGrid>
      <w:gridCol w:w="4703"/>
      <w:gridCol w:w="4703"/>
    </w:tblGrid>
    <w:tr>
      <w:tc>
        <w:tcPr>
          <w:tcW w:type="dxa" w:w="8607"/>
          <w:tcBorders>
            <w:top w:val="none"/>
            <w:left w:val="none"/>
            <w:bottom w:val="none"/>
            <w:right w:val="none"/>
            <w:insideH w:val="none"/>
            <w:insideV w:val="none"/>
          </w:tcBorders>
        </w:tcPr>
        <w:p>
          <w:pPr>
            <w:jc w:val="left"/>
            <w:spacing w:before="0" w:after="0"/>
          </w:pPr>
          <w:r>
            <w:drawing xmlns:a="http://schemas.openxmlformats.org/drawingml/2006/main" xmlns:pic="http://schemas.openxmlformats.org/drawingml/2006/picture">
              <wp:inline distT="0" distB="0" distL="0" distR="0">
                <wp:extent cx="5465746" cy="131252"/>
                <wp:effectExtent l="0" t="0" r="0" b="0"/>
                <wp:docPr id="2594" name="StopkaK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2594" name="StopkaK2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ob xmlns:asvg="http://schemas.microsoft.com/office/drawing/2016/SVG/main" r:embed="rId1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65746" cy="13125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99"/>
          <w:tcBorders>
            <w:top w:val="none"/>
            <w:left w:val="none"/>
            <w:bottom w:val="none"/>
            <w:right w:val="none"/>
            <w:insideH w:val="none"/>
            <w:insideV w:val="none"/>
          </w:tcBorders>
        </w:tcPr>
        <w:p>
          <w:pPr>
            <w:jc w:val="right"/>
          </w:pPr>
          <w:r>
            <w:rPr>
              <w:rFonts w:ascii="Roboto Condensed" w:hAnsi="Roboto Condensed"/>
              <w:color w:val="CE181A"/>
              <w:sz w:val="20"/>
            </w:rPr>
            <w:fldChar w:fldCharType="begin"/>
            <w:instrText> PAGE </w:instrText>
            <w:fldChar w:fldCharType="end"/>
          </w:r>
        </w:p>
      </w:tc>
    </w:tr>
  </w:tbl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themeFontLang w:val="pl-PL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stopka_e860cd.svg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stopka_e761a8.sv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Tomasz Kalla</dc:creator>
  <cp:keywords/>
  <dc:description>generated by python-docx</dc:description>
  <cp:lastModifiedBy>Tomasz Kalla</cp:lastModifiedBy>
  <cp:revision>8</cp:revision>
  <dcterms:created xsi:type="dcterms:W3CDTF">2026-07-06T00:38:47Z</dcterms:created>
  <dcterms:modified xsi:type="dcterms:W3CDTF">2026-07-22T10:00:00Z</dcterms:modified>
  <cp:category/>
</cp:coreProperties>
</file>