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stopka_e761a8.svg" ContentType="image/svg+xml"/>
  <Override PartName="/word/media/stopka_e860cd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06" w:type="dxa"/>
        <w:tblStyle w:val="TableGrid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none" w:sz="0" w:color="FFFFFF"/>
              <w:bottom w:val="none" w:sz="0" w:color="FFFFFF"/>
              <w:right w:val="none" w:sz="0" w:color="FFFFFF"/>
              <w:left w:val="single" w:sz="36" w:color="CE181A"/>
            </w:tcBorders>
            <w:shd w:fill="FFFFFF" w:val="clear"/>
          </w:tcPr>
          <w:p>
            <w:pPr>
              <w:jc w:val="left"/>
              <w:spacing w:before="0" w:after="160"/>
            </w:pPr>
            <w:r>
              <w:rPr>
                <w:rFonts w:ascii="Roboto Condensed" w:hAnsi="Roboto Condensed"/>
                <w:b w:val="0"/>
                <w:color w:val="2A324B"/>
                <w:sz w:val="64"/>
              </w:rPr>
              <w:t>K2Biznes Oferta - podręcznik i architektura</w:t>
            </w:r>
          </w:p>
        </w:tc>
      </w:tr>
    </w:tbl>
    <w:p>
      <w:pPr>
        <w:jc w:val="left"/>
        <w:spacing w:before="160" w:after="40"/>
      </w:pPr>
      <w:r>
        <w:rPr>
          <w:rFonts w:ascii="Roboto Condensed" w:hAnsi="Roboto Condensed"/>
          <w:b w:val="0"/>
          <w:color w:val="2A324B"/>
          <w:sz w:val="36"/>
        </w:rPr>
        <w:t>O tym dokumencie</w:t>
      </w:r>
    </w:p>
    <w:p>
      <w:pPr>
        <w:jc w:val="both"/>
        <w:spacing w:after="120" w:before="0"/>
      </w:pPr>
      <w:r>
        <w:rPr>
          <w:rFonts w:ascii="Roboto Condensed Light" w:hAnsi="Roboto Condensed Light"/>
          <w:b w:val="0"/>
          <w:color w:val="2A324B"/>
          <w:sz w:val="22"/>
        </w:rPr>
        <w:t>K2Biznes Oferta to firmowa aplikacja do przygotowywania, wysyłania i akceptacji ofert doradczych dla klientów ubiegających się o dotacje. Konsultant tworzy ofertę w panelu, wysyła klientowi unikalny link, a klient przegląda ofertę i akceptuje wybrany wariant bez zakładania konta. Aplikacja działa pod adresem oferta.k2biznes.pl.</w:t>
      </w:r>
    </w:p>
    <w:p>
      <w:pPr>
        <w:jc w:val="both"/>
        <w:spacing w:after="120" w:before="0"/>
      </w:pPr>
      <w:r>
        <w:rPr>
          <w:rFonts w:ascii="Roboto Condensed Light" w:hAnsi="Roboto Condensed Light"/>
          <w:b w:val="0"/>
          <w:color w:val="2A324B"/>
          <w:sz w:val="22"/>
        </w:rPr>
        <w:t>Dokument ma dwie warstwy. Część I to praktyczna instrukcja dla konsultantów i administratorów tworzących oferty - krok po kroku, prostym językiem. Część II opisuje architekturę systemu dla zespołu technicznego. Kanonem wiedzy technicznej pozostają pliki w repozytorium: docs/BACKEND_SPEC.md oraz docs/TECH_ADMIN_MANUAL.md.</w:t>
      </w:r>
    </w:p>
    <w:p>
      <w:pPr>
        <w:jc w:val="both"/>
        <w:spacing w:after="120" w:before="0"/>
      </w:pPr>
      <w:r>
        <w:rPr>
          <w:rFonts w:ascii="Roboto Condensed Light" w:hAnsi="Roboto Condensed Light"/>
          <w:b w:val="0"/>
          <w:color w:val="2A324B"/>
          <w:sz w:val="22"/>
        </w:rPr>
        <w:t>Nowość w tej wersji: formularz oferty potrafi wstępnie uzupełnić się z transkrypcji spotkania (patrz punkt 3.8 w Części I oraz punkt 9 w Części II).</w:t>
      </w:r>
    </w:p>
    <w:p>
      <w:pPr>
        <w:jc w:val="left"/>
        <w:spacing w:before="160" w:after="40"/>
      </w:pPr>
      <w:r>
        <w:rPr>
          <w:rFonts w:ascii="Roboto Condensed" w:hAnsi="Roboto Condensed"/>
          <w:b w:val="0"/>
          <w:color w:val="2A324B"/>
          <w:sz w:val="36"/>
        </w:rPr>
        <w:t>Szybki start - od zera do wysłanej oferty</w:t>
      </w:r>
    </w:p>
    <w:p>
      <w:pPr>
        <w:jc w:val="both"/>
        <w:spacing w:after="120" w:before="0"/>
      </w:pPr>
      <w:r>
        <w:rPr>
          <w:rFonts w:ascii="Roboto Condensed Light" w:hAnsi="Roboto Condensed Light"/>
          <w:b w:val="0"/>
          <w:color w:val="2A324B"/>
          <w:sz w:val="22"/>
        </w:rPr>
        <w:t>Najkrótsza droga do wysłania pierwszej oferty. Szczegóły każdego kroku opisuje Część I.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1. </w:t>
      </w:r>
      <w:r>
        <w:rPr>
          <w:rFonts w:ascii="Roboto Condensed Light" w:hAnsi="Roboto Condensed Light"/>
          <w:b w:val="0"/>
          <w:color w:val="2A324B"/>
          <w:sz w:val="22"/>
        </w:rPr>
        <w:t>Zaloguj się na /auth/signin. Przy pierwszym logowaniu jako administrator skonfiguruj weryfikację dwuetapową.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2. </w:t>
      </w:r>
      <w:r>
        <w:rPr>
          <w:rFonts w:ascii="Roboto Condensed Light" w:hAnsi="Roboto Condensed Light"/>
          <w:b w:val="0"/>
          <w:color w:val="2A324B"/>
          <w:sz w:val="22"/>
        </w:rPr>
        <w:t>Wejdź w Oferty i kliknij Nowa oferta. Na górze formularza wybierz typ oferty: Dotacja albo Pożyczka (patrz punkt 3.9).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3. </w:t>
      </w:r>
      <w:r>
        <w:rPr>
          <w:rFonts w:ascii="Roboto Condensed Light" w:hAnsi="Roboto Condensed Light"/>
          <w:b w:val="0"/>
          <w:color w:val="2A324B"/>
          <w:sz w:val="22"/>
        </w:rPr>
        <w:t>Opcjonalnie kliknij Wypełnij z transkrypcji i wklej notatkę lub transkrypcję spotkania - system wstępnie zasili puste pola (patrz punkt 3.8).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4. </w:t>
      </w:r>
      <w:r>
        <w:rPr>
          <w:rFonts w:ascii="Roboto Condensed Light" w:hAnsi="Roboto Condensed Light"/>
          <w:b w:val="0"/>
          <w:color w:val="2A324B"/>
          <w:sz w:val="22"/>
        </w:rPr>
        <w:t>Uzupełnij dane klienta (nazwa firmy jest wymagana). W sekcji Programy wsparcia dodaj z biblioteki program, który rekomendujesz, i zaznacz go jako rekomendowany - trafi do sekcji 02 oferty.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5. </w:t>
      </w:r>
      <w:r>
        <w:rPr>
          <w:rFonts w:ascii="Roboto Condensed Light" w:hAnsi="Roboto Condensed Light"/>
          <w:b w:val="0"/>
          <w:color w:val="2A324B"/>
          <w:sz w:val="22"/>
        </w:rPr>
        <w:t>Wpisz wartość projektu i ustaw intensywność. Cennik przeliczy się automatycznie. Zaznacz oferowane warianty i wskaż rekomendowany.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6. </w:t>
      </w:r>
      <w:r>
        <w:rPr>
          <w:rFonts w:ascii="Roboto Condensed Light" w:hAnsi="Roboto Condensed Light"/>
          <w:b w:val="0"/>
          <w:color w:val="2A324B"/>
          <w:sz w:val="22"/>
        </w:rPr>
        <w:t>Opcjonalnie dostosuj treści, wybierz osobę kontaktową i case study.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7. </w:t>
      </w:r>
      <w:r>
        <w:rPr>
          <w:rFonts w:ascii="Roboto Condensed Light" w:hAnsi="Roboto Condensed Light"/>
          <w:b w:val="0"/>
          <w:color w:val="2A324B"/>
          <w:sz w:val="22"/>
        </w:rPr>
        <w:t>Kliknij Stwórz ofertę. Powstanie wersja robocza. Sprawdź wygląd przyciskiem Podgląd.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8. </w:t>
      </w:r>
      <w:r>
        <w:rPr>
          <w:rFonts w:ascii="Roboto Condensed Light" w:hAnsi="Roboto Condensed Light"/>
          <w:b w:val="0"/>
          <w:color w:val="2A324B"/>
          <w:sz w:val="22"/>
        </w:rPr>
        <w:t>Kliknij Wyślij ofertę i podaj adres email klienta. Klient dostanie link, a Ty śledzisz otwarcia w zakładce Aktywność.</w:t>
      </w:r>
    </w:p>
    <w:p>
      <w:pPr>
        <w:jc w:val="both"/>
        <w:spacing w:after="120" w:before="0"/>
      </w:pPr>
      <w:r>
        <w:rPr>
          <w:rFonts w:ascii="Roboto Condensed" w:hAnsi="Roboto Condensed"/>
          <w:b/>
          <w:color w:val="CE181A"/>
          <w:sz w:val="22"/>
        </w:rPr>
        <w:t>Uwaga: Minimalny zestaw wymaganych pól to nazwa firmy, wartość projektu oraz jeden program wsparcia oznaczony jako rekomendowany. Pozostałe pola można uzupełnić później.</w:t>
      </w:r>
    </w:p>
    <w:p>
      <w:pPr>
        <w:jc w:val="left"/>
        <w:spacing w:before="160" w:after="40"/>
      </w:pPr>
      <w:r>
        <w:rPr>
          <w:rFonts w:ascii="Roboto Condensed" w:hAnsi="Roboto Condensed"/>
          <w:b w:val="0"/>
          <w:color w:val="2A324B"/>
          <w:sz w:val="36"/>
        </w:rPr>
        <w:t>Mapa panelu (struktura systemu)</w:t>
      </w:r>
    </w:p>
    <w:p>
      <w:pPr>
        <w:jc w:val="both"/>
        <w:spacing w:after="120" w:before="0"/>
      </w:pPr>
      <w:r>
        <w:rPr>
          <w:rFonts w:ascii="Roboto Condensed Light" w:hAnsi="Roboto Condensed Light"/>
          <w:b w:val="0"/>
          <w:color w:val="2A324B"/>
          <w:sz w:val="22"/>
        </w:rPr>
        <w:t>Poniższa lista pokazuje, gdzie w panelu znajdziesz poszczególne funkcje. Moduły opisane jako super_admin są dostępne tylko dla właściciela systemu.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-  </w:t>
      </w:r>
      <w:r>
        <w:rPr>
          <w:rFonts w:ascii="Roboto Condensed Light" w:hAnsi="Roboto Condensed Light"/>
          <w:b w:val="0"/>
          <w:color w:val="2A324B"/>
          <w:sz w:val="22"/>
        </w:rPr>
        <w:t>Oferty (/admin/offers) - lista ofert, Nowa oferta, edycja, Aktywność i Podgląd.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-  </w:t>
      </w:r>
      <w:r>
        <w:rPr>
          <w:rFonts w:ascii="Roboto Condensed Light" w:hAnsi="Roboto Condensed Light"/>
          <w:b w:val="0"/>
          <w:color w:val="2A324B"/>
          <w:sz w:val="22"/>
        </w:rPr>
        <w:t>Pulpit (/admin) - wskaźniki sprzedaży: konwersja, wyniki per konsultant, prognoza, symulator. Rola admin i super_admin.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-  </w:t>
      </w:r>
      <w:r>
        <w:rPr>
          <w:rFonts w:ascii="Roboto Condensed Light" w:hAnsi="Roboto Condensed Light"/>
          <w:b w:val="0"/>
          <w:color w:val="2A324B"/>
          <w:sz w:val="22"/>
        </w:rPr>
        <w:t>Programy wsparcia (/admin/alt-programs) - biblioteka programów, z której dodajesz pozycje do oferty.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-  </w:t>
      </w:r>
      <w:r>
        <w:rPr>
          <w:rFonts w:ascii="Roboto Condensed Light" w:hAnsi="Roboto Condensed Light"/>
          <w:b w:val="0"/>
          <w:color w:val="2A324B"/>
          <w:sz w:val="22"/>
        </w:rPr>
        <w:t>Case studies (/admin/case-studies), Osoby kontaktowe (/admin/contact-persons), FAQ (/admin/faq), Szablony (/admin/templates) - katalogi wspólne dla wszystkich ofert.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-  </w:t>
      </w:r>
      <w:r>
        <w:rPr>
          <w:rFonts w:ascii="Roboto Condensed Light" w:hAnsi="Roboto Condensed Light"/>
          <w:b w:val="0"/>
          <w:color w:val="2A324B"/>
          <w:sz w:val="22"/>
        </w:rPr>
        <w:t>Ustawienia firmowe (/admin/ustawienia) - statystyki firmowe i test wysyłki email. Rola super_admin.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-  </w:t>
      </w:r>
      <w:r>
        <w:rPr>
          <w:rFonts w:ascii="Roboto Condensed Light" w:hAnsi="Roboto Condensed Light"/>
          <w:b w:val="0"/>
          <w:color w:val="2A324B"/>
          <w:sz w:val="22"/>
        </w:rPr>
        <w:t>Użytkownicy (/admin/users) - konta i role. Rola super_admin.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-  </w:t>
      </w:r>
      <w:r>
        <w:rPr>
          <w:rFonts w:ascii="Roboto Condensed Light" w:hAnsi="Roboto Condensed Light"/>
          <w:b w:val="0"/>
          <w:color w:val="2A324B"/>
          <w:sz w:val="22"/>
        </w:rPr>
        <w:t>RODO (/admin/gdpr) - obsługa wniosków o usunięcie danych.</w:t>
      </w:r>
    </w:p>
    <w:p>
      <w:pPr>
        <w:jc w:val="left"/>
        <w:spacing w:before="240" w:after="80"/>
      </w:pPr>
      <w:r>
        <w:rPr>
          <w:rFonts w:ascii="Roboto Condensed" w:hAnsi="Roboto Condensed"/>
          <w:b w:val="0"/>
          <w:color w:val="2A324B"/>
          <w:sz w:val="64"/>
        </w:rPr>
        <w:t>Część I - Tworzenie ofert (dla konsultantów)</w:t>
      </w:r>
    </w:p>
    <w:p>
      <w:pPr>
        <w:jc w:val="left"/>
        <w:spacing w:before="160" w:after="40"/>
      </w:pPr>
      <w:r>
        <w:rPr>
          <w:rFonts w:ascii="Roboto Condensed" w:hAnsi="Roboto Condensed"/>
          <w:b w:val="0"/>
          <w:color w:val="2A324B"/>
          <w:sz w:val="36"/>
        </w:rPr>
        <w:t>1. Logowanie i role</w:t>
      </w:r>
    </w:p>
    <w:p>
      <w:pPr>
        <w:jc w:val="both"/>
        <w:spacing w:after="120" w:before="0"/>
      </w:pPr>
      <w:r>
        <w:rPr>
          <w:rFonts w:ascii="Roboto Condensed Light" w:hAnsi="Roboto Condensed Light"/>
          <w:b w:val="0"/>
          <w:color w:val="2A324B"/>
          <w:sz w:val="22"/>
        </w:rPr>
        <w:t>Do panelu logujesz się na stronie /auth/signin - hasłem albo linkiem magicznym. Reset hasła odbywa się przez /auth/forgot-password. Konta zakłada wyłącznie administrator z uprawnieniem super_admin (moduł Użytkownicy), nie ma samodzielnej rejestracji.</w:t>
      </w:r>
    </w:p>
    <w:p>
      <w:pPr>
        <w:jc w:val="both"/>
        <w:spacing w:after="120" w:before="0"/>
      </w:pPr>
      <w:r>
        <w:rPr>
          <w:rFonts w:ascii="Roboto Condensed Light" w:hAnsi="Roboto Condensed Light"/>
          <w:b w:val="0"/>
          <w:color w:val="2A324B"/>
          <w:sz w:val="22"/>
        </w:rPr>
        <w:t>W systemie działają trzy role: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-  </w:t>
      </w:r>
      <w:r>
        <w:rPr>
          <w:rFonts w:ascii="Roboto Condensed Light" w:hAnsi="Roboto Condensed Light"/>
          <w:b w:val="0"/>
          <w:color w:val="2A324B"/>
          <w:sz w:val="22"/>
        </w:rPr>
        <w:t>super_admin - pełny dostęp, zarządzanie użytkownikami, ustawienia firmowe, wszystkie oferty.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-  </w:t>
      </w:r>
      <w:r>
        <w:rPr>
          <w:rFonts w:ascii="Roboto Condensed Light" w:hAnsi="Roboto Condensed Light"/>
          <w:b w:val="0"/>
          <w:color w:val="2A324B"/>
          <w:sz w:val="22"/>
        </w:rPr>
        <w:t>admin - wszystkie oferty, katalogi i dashboard, bez zarządzania użytkownikami i ustawieniami firmowymi.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-  </w:t>
      </w:r>
      <w:r>
        <w:rPr>
          <w:rFonts w:ascii="Roboto Condensed Light" w:hAnsi="Roboto Condensed Light"/>
          <w:b w:val="0"/>
          <w:color w:val="2A324B"/>
          <w:sz w:val="22"/>
        </w:rPr>
        <w:t>consultant - widzi i edytuje wyłącznie własne oferty (utworzone przez siebie lub do niego przypisane).</w:t>
      </w:r>
    </w:p>
    <w:p>
      <w:pPr>
        <w:jc w:val="both"/>
        <w:spacing w:after="120" w:before="0"/>
      </w:pPr>
      <w:r>
        <w:rPr>
          <w:rFonts w:ascii="Roboto Condensed" w:hAnsi="Roboto Condensed"/>
          <w:b/>
          <w:color w:val="CE181A"/>
          <w:sz w:val="22"/>
        </w:rPr>
        <w:t>Uwaga: Weryfikacja dwuetapowa (kod z aplikacji, TOTP) jest wymagana dla ról admin i super_admin - przy pierwszym logowaniu system poprowadzi Cię przez jej konfigurację. Dla roli consultant jest opcjonalna. Sesja administratora wygasa po 12 godzinach, konsultanta po 30 dniach.</w:t>
      </w:r>
    </w:p>
    <w:p>
      <w:pPr>
        <w:jc w:val="left"/>
        <w:spacing w:before="160" w:after="40"/>
      </w:pPr>
      <w:r>
        <w:rPr>
          <w:rFonts w:ascii="Roboto Condensed" w:hAnsi="Roboto Condensed"/>
          <w:b w:val="0"/>
          <w:color w:val="2A324B"/>
          <w:sz w:val="36"/>
        </w:rPr>
        <w:t>2. Panel i lista ofert</w:t>
      </w:r>
    </w:p>
    <w:p>
      <w:pPr>
        <w:jc w:val="both"/>
        <w:spacing w:after="120" w:before="0"/>
      </w:pPr>
      <w:r>
        <w:rPr>
          <w:rFonts w:ascii="Roboto Condensed Light" w:hAnsi="Roboto Condensed Light"/>
          <w:b w:val="0"/>
          <w:color w:val="2A324B"/>
          <w:sz w:val="22"/>
        </w:rPr>
        <w:t>Po zalogowaniu głównym miejscem pracy jest moduł Oferty (/admin/offers). Nad listą znajduje się przycisk Nowa oferta, który otwiera pusty formularz. Administratorzy mają dodatkowo pulpit /admin ze wskaźnikami sprzedaży: konwersja, wyniki per konsultant, prognoza i symulator wartości oczekiwanej.</w:t>
      </w:r>
    </w:p>
    <w:p>
      <w:pPr>
        <w:jc w:val="both"/>
        <w:spacing w:after="120" w:before="0"/>
      </w:pPr>
      <w:r>
        <w:rPr>
          <w:rFonts w:ascii="Roboto Condensed Light" w:hAnsi="Roboto Condensed Light"/>
          <w:b w:val="0"/>
          <w:color w:val="2A324B"/>
          <w:sz w:val="22"/>
        </w:rPr>
        <w:t>Lista ofert pokazuje w kolumnach: numer i klienta, program, wartość projektu, status, wynagrodzenie, liczbę wyświetleń oraz daty. Status oferty przyjmuje jedną z wartości: wersja robocza, wysłana, otwarta, zaakceptowana, odrzucona, wygasła. Dostępne są filtry po statusie, nazwie klienta i programie oraz sortowanie. Jeśli wysyłka maila się nie powiodła, przy ofercie pojawia się czerwony znacznik informujący, że wiadomość nie dotarła. Z poziomu wiersza przejdziesz do Aktywności, Edycji i Podglądu oferty.</w:t>
      </w:r>
    </w:p>
    <w:p>
      <w:pPr>
        <w:jc w:val="left"/>
        <w:spacing w:before="160" w:after="40"/>
      </w:pPr>
      <w:r>
        <w:rPr>
          <w:rFonts w:ascii="Roboto Condensed" w:hAnsi="Roboto Condensed"/>
          <w:b w:val="0"/>
          <w:color w:val="2A324B"/>
          <w:sz w:val="36"/>
        </w:rPr>
        <w:t>3. Formularz oferty krok po kroku</w:t>
      </w:r>
    </w:p>
    <w:p>
      <w:pPr>
        <w:jc w:val="both"/>
        <w:spacing w:after="120" w:before="0"/>
      </w:pPr>
      <w:r>
        <w:rPr>
          <w:rFonts w:ascii="Roboto Condensed Light" w:hAnsi="Roboto Condensed Light"/>
          <w:b w:val="0"/>
          <w:color w:val="2A324B"/>
          <w:sz w:val="22"/>
        </w:rPr>
        <w:t>Formularz jest podzielony na sekcje wypełniane od góry do dołu; ich kolejność odpowiada kolejności sekcji w gotowej ofercie. Pola oznaczone gwiazdką są wymagane, reszta jest opcjonalna. U góry formularza dostępny jest przycisk Wypełnij z transkrypcji, który wstępnie zasila puste pola (patrz punkt 3.8).</w:t>
      </w:r>
    </w:p>
    <w:p>
      <w:pPr>
        <w:jc w:val="left"/>
        <w:spacing w:before="120" w:after="40"/>
      </w:pPr>
      <w:r>
        <w:rPr>
          <w:rFonts w:ascii="Roboto Condensed" w:hAnsi="Roboto Condensed"/>
          <w:b w:val="0"/>
          <w:color w:val="2A324B"/>
          <w:sz w:val="28"/>
        </w:rPr>
        <w:t>3.1 Klient</w:t>
      </w:r>
    </w:p>
    <w:tbl>
      <w:tblPr>
        <w:tblW w:w="9406" w:type="dxa"/>
        <w:tblStyle w:val="TableGrid"/>
        <w:tblLook w:firstColumn="1" w:firstRow="1" w:lastColumn="0" w:lastRow="0" w:noHBand="0" w:noVBand="1" w:val="04A0"/>
        <w:tblLayout w:type="fixed"/>
      </w:tblPr>
      <w:tblGrid>
        <w:gridCol w:w="2445"/>
        <w:gridCol w:w="1504"/>
        <w:gridCol w:w="5457"/>
      </w:tblGrid>
      <w:tr>
        <w:tc>
          <w:tcPr>
            <w:tcW w:type="dxa" w:w="2445"/>
            <w:shd w:fill="2A324B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" w:hAnsi="Roboto Condensed"/>
                <w:b w:val="0"/>
                <w:color w:val="FFFFFF"/>
                <w:sz w:val="22"/>
              </w:rPr>
              <w:t>Pole</w:t>
            </w:r>
          </w:p>
        </w:tc>
        <w:tc>
          <w:tcPr>
            <w:tcW w:type="dxa" w:w="1504"/>
            <w:shd w:fill="2A324B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" w:hAnsi="Roboto Condensed"/>
                <w:b w:val="0"/>
                <w:color w:val="FFFFFF"/>
                <w:sz w:val="22"/>
              </w:rPr>
              <w:t>Wymagane</w:t>
            </w:r>
          </w:p>
        </w:tc>
        <w:tc>
          <w:tcPr>
            <w:tcW w:type="dxa" w:w="5457"/>
            <w:shd w:fill="2A324B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" w:hAnsi="Roboto Condensed"/>
                <w:b w:val="0"/>
                <w:color w:val="FFFFFF"/>
                <w:sz w:val="22"/>
              </w:rPr>
              <w:t>Opis</w:t>
            </w:r>
          </w:p>
        </w:tc>
      </w:tr>
      <w:tr>
        <w:tc>
          <w:tcPr>
            <w:tcW w:type="dxa" w:w="244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Nazwa firmy</w:t>
            </w:r>
          </w:p>
        </w:tc>
        <w:tc>
          <w:tcPr>
            <w:tcW w:type="dxa" w:w="15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Tak</w:t>
            </w:r>
          </w:p>
        </w:tc>
        <w:tc>
          <w:tcPr>
            <w:tcW w:type="dxa" w:w="545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Nazwa klienta, do 200 znaków. Pojawia się w nagłówku oferty.</w:t>
            </w:r>
          </w:p>
        </w:tc>
      </w:tr>
      <w:tr>
        <w:tc>
          <w:tcPr>
            <w:tcW w:type="dxa" w:w="2445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NIP (10 cyfr)</w:t>
            </w:r>
          </w:p>
        </w:tc>
        <w:tc>
          <w:tcPr>
            <w:tcW w:type="dxa" w:w="1504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Nie</w:t>
            </w:r>
          </w:p>
        </w:tc>
        <w:tc>
          <w:tcPr>
            <w:tcW w:type="dxa" w:w="5457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Jeśli podany, musi mieć dokładnie 10 cyfr.</w:t>
            </w:r>
          </w:p>
        </w:tc>
      </w:tr>
      <w:tr>
        <w:tc>
          <w:tcPr>
            <w:tcW w:type="dxa" w:w="244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Branża</w:t>
            </w:r>
          </w:p>
        </w:tc>
        <w:tc>
          <w:tcPr>
            <w:tcW w:type="dxa" w:w="15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Nie</w:t>
            </w:r>
          </w:p>
        </w:tc>
        <w:tc>
          <w:tcPr>
            <w:tcW w:type="dxa" w:w="545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Pole opisowe.</w:t>
            </w:r>
          </w:p>
        </w:tc>
      </w:tr>
      <w:tr>
        <w:tc>
          <w:tcPr>
            <w:tcW w:type="dxa" w:w="2445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Wielkość firmy</w:t>
            </w:r>
          </w:p>
        </w:tc>
        <w:tc>
          <w:tcPr>
            <w:tcW w:type="dxa" w:w="1504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Nie</w:t>
            </w:r>
          </w:p>
        </w:tc>
        <w:tc>
          <w:tcPr>
            <w:tcW w:type="dxa" w:w="5457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Lista: mikro, mała, średnia, duża.</w:t>
            </w:r>
          </w:p>
        </w:tc>
      </w:tr>
      <w:tr>
        <w:tc>
          <w:tcPr>
            <w:tcW w:type="dxa" w:w="244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Województwo</w:t>
            </w:r>
          </w:p>
        </w:tc>
        <w:tc>
          <w:tcPr>
            <w:tcW w:type="dxa" w:w="15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Nie</w:t>
            </w:r>
          </w:p>
        </w:tc>
        <w:tc>
          <w:tcPr>
            <w:tcW w:type="dxa" w:w="545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Lista 16 województw oraz opcja ogólnopolska.</w:t>
            </w:r>
          </w:p>
        </w:tc>
      </w:tr>
      <w:tr>
        <w:tc>
          <w:tcPr>
            <w:tcW w:type="dxa" w:w="2445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Ważność oferty (do kiedy)</w:t>
            </w:r>
          </w:p>
        </w:tc>
        <w:tc>
          <w:tcPr>
            <w:tcW w:type="dxa" w:w="1504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Nie</w:t>
            </w:r>
          </w:p>
        </w:tc>
        <w:tc>
          <w:tcPr>
            <w:tcW w:type="dxa" w:w="5457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Data wygaśnięcia linku. Puste oznacza bezterminowo. Dostępne w trybie edycji. Po tej dacie link przestaje działać, a klient widzi informację o wygaśnięciu.</w:t>
            </w:r>
          </w:p>
        </w:tc>
      </w:tr>
    </w:tbl>
    <w:p>
      <w:pPr>
        <w:jc w:val="left"/>
        <w:spacing w:before="120" w:after="40"/>
      </w:pPr>
      <w:r>
        <w:rPr>
          <w:rFonts w:ascii="Roboto Condensed" w:hAnsi="Roboto Condensed"/>
          <w:b w:val="0"/>
          <w:color w:val="2A324B"/>
          <w:sz w:val="28"/>
        </w:rPr>
        <w:t>3.2 Programy wsparcia</w:t>
      </w:r>
    </w:p>
    <w:tbl>
      <w:tblPr>
        <w:tblW w:w="9406" w:type="dxa"/>
        <w:tblStyle w:val="TableGrid"/>
        <w:tblLook w:firstColumn="1" w:firstRow="1" w:lastColumn="0" w:lastRow="0" w:noHBand="0" w:noVBand="1" w:val="04A0"/>
        <w:tblLayout w:type="fixed"/>
      </w:tblPr>
      <w:tblGrid>
        <w:gridCol w:w="2445"/>
        <w:gridCol w:w="1504"/>
        <w:gridCol w:w="5457"/>
      </w:tblGrid>
      <w:tr>
        <w:tc>
          <w:tcPr>
            <w:tcW w:type="dxa" w:w="2445"/>
            <w:shd w:fill="2A324B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" w:hAnsi="Roboto Condensed"/>
                <w:b w:val="0"/>
                <w:color w:val="FFFFFF"/>
                <w:sz w:val="22"/>
              </w:rPr>
              <w:t>Pole</w:t>
            </w:r>
          </w:p>
        </w:tc>
        <w:tc>
          <w:tcPr>
            <w:tcW w:type="dxa" w:w="1504"/>
            <w:shd w:fill="2A324B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" w:hAnsi="Roboto Condensed"/>
                <w:b w:val="0"/>
                <w:color w:val="FFFFFF"/>
                <w:sz w:val="22"/>
              </w:rPr>
              <w:t>Wymagane</w:t>
            </w:r>
          </w:p>
        </w:tc>
        <w:tc>
          <w:tcPr>
            <w:tcW w:type="dxa" w:w="5457"/>
            <w:shd w:fill="2A324B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" w:hAnsi="Roboto Condensed"/>
                <w:b w:val="0"/>
                <w:color w:val="FFFFFF"/>
                <w:sz w:val="22"/>
              </w:rPr>
              <w:t>Opis</w:t>
            </w:r>
          </w:p>
        </w:tc>
      </w:tr>
      <w:tr>
        <w:tc>
          <w:tcPr>
            <w:tcW w:type="dxa" w:w="244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Programy wsparcia (biblioteka)</w:t>
            </w:r>
          </w:p>
        </w:tc>
        <w:tc>
          <w:tcPr>
            <w:tcW w:type="dxa" w:w="15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Tak</w:t>
            </w:r>
          </w:p>
        </w:tc>
        <w:tc>
          <w:tcPr>
            <w:tcW w:type="dxa" w:w="545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Rozwijana lista z katalogu programów wsparcia. Dodane pozycje tworzą listę; każdą można usunąć.</w:t>
            </w:r>
          </w:p>
        </w:tc>
      </w:tr>
      <w:tr>
        <w:tc>
          <w:tcPr>
            <w:tcW w:type="dxa" w:w="2445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Rekomendowany</w:t>
            </w:r>
          </w:p>
        </w:tc>
        <w:tc>
          <w:tcPr>
            <w:tcW w:type="dxa" w:w="1504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Tak</w:t>
            </w:r>
          </w:p>
        </w:tc>
        <w:tc>
          <w:tcPr>
            <w:tcW w:type="dxa" w:w="5457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Znacznik przy jednej pozycji. Rekomendowany program pojawia się w sekcji 02 jako wyróżniony kafelek. Wymagany co najmniej jeden.</w:t>
            </w:r>
          </w:p>
        </w:tc>
      </w:tr>
      <w:tr>
        <w:tc>
          <w:tcPr>
            <w:tcW w:type="dxa" w:w="244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Nazwa, termin, opis</w:t>
            </w:r>
          </w:p>
        </w:tc>
        <w:tc>
          <w:tcPr>
            <w:tcW w:type="dxa" w:w="15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Nie</w:t>
            </w:r>
          </w:p>
        </w:tc>
        <w:tc>
          <w:tcPr>
            <w:tcW w:type="dxa" w:w="545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Dane każdej pozycji pobierane z biblioteki; służą do prezentacji programu w ofercie.</w:t>
            </w:r>
          </w:p>
        </w:tc>
      </w:tr>
    </w:tbl>
    <w:p>
      <w:pPr>
        <w:jc w:val="left"/>
        <w:spacing w:before="120" w:after="40"/>
      </w:pPr>
      <w:r>
        <w:rPr>
          <w:rFonts w:ascii="Roboto Condensed" w:hAnsi="Roboto Condensed"/>
          <w:b w:val="0"/>
          <w:color w:val="2A324B"/>
          <w:sz w:val="28"/>
        </w:rPr>
        <w:t>3.3 Finanse projektu</w:t>
      </w:r>
    </w:p>
    <w:tbl>
      <w:tblPr>
        <w:tblW w:w="9406" w:type="dxa"/>
        <w:tblStyle w:val="TableGrid"/>
        <w:tblLook w:firstColumn="1" w:firstRow="1" w:lastColumn="0" w:lastRow="0" w:noHBand="0" w:noVBand="1" w:val="04A0"/>
        <w:tblLayout w:type="fixed"/>
      </w:tblPr>
      <w:tblGrid>
        <w:gridCol w:w="2445"/>
        <w:gridCol w:w="1504"/>
        <w:gridCol w:w="5457"/>
      </w:tblGrid>
      <w:tr>
        <w:tc>
          <w:tcPr>
            <w:tcW w:type="dxa" w:w="2445"/>
            <w:shd w:fill="2A324B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" w:hAnsi="Roboto Condensed"/>
                <w:b w:val="0"/>
                <w:color w:val="FFFFFF"/>
                <w:sz w:val="22"/>
              </w:rPr>
              <w:t>Pole</w:t>
            </w:r>
          </w:p>
        </w:tc>
        <w:tc>
          <w:tcPr>
            <w:tcW w:type="dxa" w:w="1504"/>
            <w:shd w:fill="2A324B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" w:hAnsi="Roboto Condensed"/>
                <w:b w:val="0"/>
                <w:color w:val="FFFFFF"/>
                <w:sz w:val="22"/>
              </w:rPr>
              <w:t>Wymagane</w:t>
            </w:r>
          </w:p>
        </w:tc>
        <w:tc>
          <w:tcPr>
            <w:tcW w:type="dxa" w:w="5457"/>
            <w:shd w:fill="2A324B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" w:hAnsi="Roboto Condensed"/>
                <w:b w:val="0"/>
                <w:color w:val="FFFFFF"/>
                <w:sz w:val="22"/>
              </w:rPr>
              <w:t>Opis</w:t>
            </w:r>
          </w:p>
        </w:tc>
      </w:tr>
      <w:tr>
        <w:tc>
          <w:tcPr>
            <w:tcW w:type="dxa" w:w="244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Wartość projektu (PLN)</w:t>
            </w:r>
          </w:p>
        </w:tc>
        <w:tc>
          <w:tcPr>
            <w:tcW w:type="dxa" w:w="15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Tak</w:t>
            </w:r>
          </w:p>
        </w:tc>
        <w:tc>
          <w:tcPr>
            <w:tcW w:type="dxa" w:w="545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Kwota netto projektu. Podstawa wyliczenia cennika.</w:t>
            </w:r>
          </w:p>
        </w:tc>
      </w:tr>
      <w:tr>
        <w:tc>
          <w:tcPr>
            <w:tcW w:type="dxa" w:w="2445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Intensywność</w:t>
            </w:r>
          </w:p>
        </w:tc>
        <w:tc>
          <w:tcPr>
            <w:tcW w:type="dxa" w:w="1504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Nie</w:t>
            </w:r>
          </w:p>
        </w:tc>
        <w:tc>
          <w:tcPr>
            <w:tcW w:type="dxa" w:w="5457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Suwak od 10 do 95 procent. Domyślnie 70 procent.</w:t>
            </w:r>
          </w:p>
        </w:tc>
      </w:tr>
      <w:tr>
        <w:tc>
          <w:tcPr>
            <w:tcW w:type="dxa" w:w="244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Liczba projektów</w:t>
            </w:r>
          </w:p>
        </w:tc>
        <w:tc>
          <w:tcPr>
            <w:tcW w:type="dxa" w:w="15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Nie</w:t>
            </w:r>
          </w:p>
        </w:tc>
        <w:tc>
          <w:tcPr>
            <w:tcW w:type="dxa" w:w="545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Od 1 do 5. Więcej projektów uruchamia rabat.</w:t>
            </w:r>
          </w:p>
        </w:tc>
      </w:tr>
      <w:tr>
        <w:tc>
          <w:tcPr>
            <w:tcW w:type="dxa" w:w="2445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Klient powracający</w:t>
            </w:r>
          </w:p>
        </w:tc>
        <w:tc>
          <w:tcPr>
            <w:tcW w:type="dxa" w:w="1504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Nie</w:t>
            </w:r>
          </w:p>
        </w:tc>
        <w:tc>
          <w:tcPr>
            <w:tcW w:type="dxa" w:w="5457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Zaznaczenie daje rabat 20 procent na opłatę wstępną.</w:t>
            </w:r>
          </w:p>
        </w:tc>
      </w:tr>
    </w:tbl>
    <w:p>
      <w:pPr>
        <w:jc w:val="both"/>
        <w:spacing w:after="120" w:before="0"/>
      </w:pPr>
      <w:r>
        <w:rPr>
          <w:rFonts w:ascii="Roboto Condensed" w:hAnsi="Roboto Condensed"/>
          <w:b/>
          <w:color w:val="CE181A"/>
          <w:sz w:val="22"/>
        </w:rPr>
        <w:t>Uwaga: Każda zmiana finansów uruchamia podgląd cennika na żywo, aktualizowany po krótkiej chwili od ostatniej edycji.</w:t>
      </w:r>
    </w:p>
    <w:p>
      <w:pPr>
        <w:jc w:val="left"/>
        <w:spacing w:before="120" w:after="40"/>
      </w:pPr>
      <w:r>
        <w:rPr>
          <w:rFonts w:ascii="Roboto Condensed" w:hAnsi="Roboto Condensed"/>
          <w:b w:val="0"/>
          <w:color w:val="2A324B"/>
          <w:sz w:val="28"/>
        </w:rPr>
        <w:t>3.4 Pricing (podgląd na żywo)</w:t>
      </w:r>
    </w:p>
    <w:p>
      <w:pPr>
        <w:jc w:val="both"/>
        <w:spacing w:after="120" w:before="0"/>
      </w:pPr>
      <w:r>
        <w:rPr>
          <w:rFonts w:ascii="Roboto Condensed Light" w:hAnsi="Roboto Condensed Light"/>
          <w:b w:val="0"/>
          <w:color w:val="2A324B"/>
          <w:sz w:val="22"/>
        </w:rPr>
        <w:t>Cennik działa w dwóch trybach. Auto-calc liczy wartości automatycznie z konfiguracji segmentów. Tryb ręczny (negocjacje) pozwala nadpisać kwoty i jest przydatny przy indywidualnych ustaleniach - po przełączeniu pola startują od wartości wyliczonych automatycznie.</w:t>
      </w:r>
    </w:p>
    <w:p>
      <w:pPr>
        <w:jc w:val="both"/>
        <w:spacing w:after="120" w:before="0"/>
      </w:pPr>
      <w:r>
        <w:rPr>
          <w:rFonts w:ascii="Roboto Condensed Light" w:hAnsi="Roboto Condensed Light"/>
          <w:b w:val="0"/>
          <w:color w:val="2A324B"/>
          <w:sz w:val="22"/>
        </w:rPr>
        <w:t>Tabela wariantów zawiera kolumny:</w:t>
      </w:r>
    </w:p>
    <w:tbl>
      <w:tblPr>
        <w:tblW w:w="9406" w:type="dxa"/>
        <w:tblStyle w:val="TableGrid"/>
        <w:tblLook w:firstColumn="1" w:firstRow="1" w:lastColumn="0" w:lastRow="0" w:noHBand="0" w:noVBand="1" w:val="04A0"/>
        <w:tblLayout w:type="fixed"/>
      </w:tblPr>
      <w:tblGrid>
        <w:gridCol w:w="2600"/>
        <w:gridCol w:w="6806"/>
      </w:tblGrid>
      <w:tr>
        <w:tc>
          <w:tcPr>
            <w:tcW w:type="dxa" w:w="2600"/>
            <w:shd w:fill="2A324B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" w:hAnsi="Roboto Condensed"/>
                <w:b w:val="0"/>
                <w:color w:val="FFFFFF"/>
                <w:sz w:val="22"/>
              </w:rPr>
              <w:t>Kolumna</w:t>
            </w:r>
          </w:p>
        </w:tc>
        <w:tc>
          <w:tcPr>
            <w:tcW w:type="dxa" w:w="6806"/>
            <w:shd w:fill="2A324B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" w:hAnsi="Roboto Condensed"/>
                <w:b w:val="0"/>
                <w:color w:val="FFFFFF"/>
                <w:sz w:val="22"/>
              </w:rPr>
              <w:t>Znaczenie</w:t>
            </w:r>
          </w:p>
        </w:tc>
      </w:tr>
      <w:tr>
        <w:tc>
          <w:tcPr>
            <w:tcW w:type="dxa" w:w="26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Opłata wstępna</w:t>
            </w:r>
          </w:p>
        </w:tc>
        <w:tc>
          <w:tcPr>
            <w:tcW w:type="dxa" w:w="680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Kwota płatna na starcie współpracy.</w:t>
            </w:r>
          </w:p>
        </w:tc>
      </w:tr>
      <w:tr>
        <w:tc>
          <w:tcPr>
            <w:tcW w:type="dxa" w:w="2600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SF procent</w:t>
            </w:r>
          </w:p>
        </w:tc>
        <w:tc>
          <w:tcPr>
            <w:tcW w:type="dxa" w:w="6806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Stawka wynagrodzenia od sukcesu (success fee).</w:t>
            </w:r>
          </w:p>
        </w:tc>
      </w:tr>
      <w:tr>
        <w:tc>
          <w:tcPr>
            <w:tcW w:type="dxa" w:w="26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Wynagrodzenie wynikowe</w:t>
            </w:r>
          </w:p>
        </w:tc>
        <w:tc>
          <w:tcPr>
            <w:tcW w:type="dxa" w:w="680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Kwota success fee wyliczona z dofinansowania.</w:t>
            </w:r>
          </w:p>
        </w:tc>
      </w:tr>
      <w:tr>
        <w:tc>
          <w:tcPr>
            <w:tcW w:type="dxa" w:w="2600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Razem</w:t>
            </w:r>
          </w:p>
        </w:tc>
        <w:tc>
          <w:tcPr>
            <w:tcW w:type="dxa" w:w="6806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Suma opłaty wstępnej i wynagrodzenia wynikowego.</w:t>
            </w:r>
          </w:p>
        </w:tc>
      </w:tr>
      <w:tr>
        <w:tc>
          <w:tcPr>
            <w:tcW w:type="dxa" w:w="26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Mies. (exec)</w:t>
            </w:r>
          </w:p>
        </w:tc>
        <w:tc>
          <w:tcPr>
            <w:tcW w:type="dxa" w:w="680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Miesięczna kwota za obsługę i rozliczanie projektu.</w:t>
            </w:r>
          </w:p>
        </w:tc>
      </w:tr>
      <w:tr>
        <w:tc>
          <w:tcPr>
            <w:tcW w:type="dxa" w:w="2600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EV</w:t>
            </w:r>
          </w:p>
        </w:tc>
        <w:tc>
          <w:tcPr>
            <w:tcW w:type="dxa" w:w="6806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Wartość oczekiwana - prognozowany przychód z oferty.</w:t>
            </w:r>
          </w:p>
        </w:tc>
      </w:tr>
    </w:tbl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-  </w:t>
      </w:r>
      <w:r>
        <w:rPr>
          <w:rFonts w:ascii="Roboto Condensed Light" w:hAnsi="Roboto Condensed Light"/>
          <w:b w:val="0"/>
          <w:color w:val="2A324B"/>
          <w:sz w:val="22"/>
        </w:rPr>
        <w:t>Zaznaczenie przy wariancie oznacza, że wariant jest oferowany klientowi. Musi być zaznaczony co najmniej jeden.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-  </w:t>
      </w:r>
      <w:r>
        <w:rPr>
          <w:rFonts w:ascii="Roboto Condensed Light" w:hAnsi="Roboto Condensed Light"/>
          <w:b w:val="0"/>
          <w:color w:val="2A324B"/>
          <w:sz w:val="22"/>
        </w:rPr>
        <w:t>Pole wyboru Wariant rekomendowany wskazuje wariant polecany klientowi (oznaczony gwiazdką). Musi należeć do oferowanych.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-  </w:t>
      </w:r>
      <w:r>
        <w:rPr>
          <w:rFonts w:ascii="Roboto Condensed Light" w:hAnsi="Roboto Condensed Light"/>
          <w:b w:val="0"/>
          <w:color w:val="2A324B"/>
          <w:sz w:val="22"/>
        </w:rPr>
        <w:t>W trybie ręcznym możesz edytować opłatę wstępną, stawkę SF i kwotę miesięczną oraz ułożyć harmonogram płatności per wariant.</w:t>
      </w:r>
    </w:p>
    <w:p>
      <w:pPr>
        <w:jc w:val="left"/>
        <w:spacing w:before="120" w:after="40"/>
      </w:pPr>
      <w:r>
        <w:rPr>
          <w:rFonts w:ascii="Roboto Condensed" w:hAnsi="Roboto Condensed"/>
          <w:b w:val="0"/>
          <w:color w:val="2A324B"/>
          <w:sz w:val="28"/>
        </w:rPr>
        <w:t>3.5 Wynagrodzenie wykonawcze</w:t>
      </w:r>
    </w:p>
    <w:p>
      <w:pPr>
        <w:jc w:val="both"/>
        <w:spacing w:after="120" w:before="0"/>
      </w:pPr>
      <w:r>
        <w:rPr>
          <w:rFonts w:ascii="Roboto Condensed Light" w:hAnsi="Roboto Condensed Light"/>
          <w:b w:val="0"/>
          <w:color w:val="2A324B"/>
          <w:sz w:val="22"/>
        </w:rPr>
        <w:t>Wszystkie pola są opcjonalne. Puste oznacza użycie tekstu domyślnego.</w:t>
      </w:r>
    </w:p>
    <w:tbl>
      <w:tblPr>
        <w:tblW w:w="9406" w:type="dxa"/>
        <w:tblStyle w:val="TableGrid"/>
        <w:tblLook w:firstColumn="1" w:firstRow="1" w:lastColumn="0" w:lastRow="0" w:noHBand="0" w:noVBand="1" w:val="04A0"/>
        <w:tblLayout w:type="fixed"/>
      </w:tblPr>
      <w:tblGrid>
        <w:gridCol w:w="2600"/>
        <w:gridCol w:w="6806"/>
      </w:tblGrid>
      <w:tr>
        <w:tc>
          <w:tcPr>
            <w:tcW w:type="dxa" w:w="2600"/>
            <w:shd w:fill="2A324B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" w:hAnsi="Roboto Condensed"/>
                <w:b w:val="0"/>
                <w:color w:val="FFFFFF"/>
                <w:sz w:val="22"/>
              </w:rPr>
              <w:t>Pole</w:t>
            </w:r>
          </w:p>
        </w:tc>
        <w:tc>
          <w:tcPr>
            <w:tcW w:type="dxa" w:w="6806"/>
            <w:shd w:fill="2A324B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" w:hAnsi="Roboto Condensed"/>
                <w:b w:val="0"/>
                <w:color w:val="FFFFFF"/>
                <w:sz w:val="22"/>
              </w:rPr>
              <w:t>Opis</w:t>
            </w:r>
          </w:p>
        </w:tc>
      </w:tr>
      <w:tr>
        <w:tc>
          <w:tcPr>
            <w:tcW w:type="dxa" w:w="26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Kicker</w:t>
            </w:r>
          </w:p>
        </w:tc>
        <w:tc>
          <w:tcPr>
            <w:tcW w:type="dxa" w:w="680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Mała etykieta nad tytułem.</w:t>
            </w:r>
          </w:p>
        </w:tc>
      </w:tr>
      <w:tr>
        <w:tc>
          <w:tcPr>
            <w:tcW w:type="dxa" w:w="2600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Tytuł</w:t>
            </w:r>
          </w:p>
        </w:tc>
        <w:tc>
          <w:tcPr>
            <w:tcW w:type="dxa" w:w="6806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Nagłówek bloku wynagrodzenia wykonawczego.</w:t>
            </w:r>
          </w:p>
        </w:tc>
      </w:tr>
      <w:tr>
        <w:tc>
          <w:tcPr>
            <w:tcW w:type="dxa" w:w="26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Opis</w:t>
            </w:r>
          </w:p>
        </w:tc>
        <w:tc>
          <w:tcPr>
            <w:tcW w:type="dxa" w:w="680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Treść pod tytułem.</w:t>
            </w:r>
          </w:p>
        </w:tc>
      </w:tr>
      <w:tr>
        <w:tc>
          <w:tcPr>
            <w:tcW w:type="dxa" w:w="2600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Kwota miesięczna (PLN)</w:t>
            </w:r>
          </w:p>
        </w:tc>
        <w:tc>
          <w:tcPr>
            <w:tcW w:type="dxa" w:w="6806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Puste oznacza użycie kwoty z wybranego wariantu.</w:t>
            </w:r>
          </w:p>
        </w:tc>
      </w:tr>
    </w:tbl>
    <w:p>
      <w:pPr>
        <w:jc w:val="left"/>
        <w:spacing w:before="120" w:after="40"/>
      </w:pPr>
      <w:r>
        <w:rPr>
          <w:rFonts w:ascii="Roboto Condensed" w:hAnsi="Roboto Condensed"/>
          <w:b w:val="0"/>
          <w:color w:val="2A324B"/>
          <w:sz w:val="28"/>
        </w:rPr>
        <w:t>3.6 Treść w ofercie</w:t>
      </w:r>
    </w:p>
    <w:p>
      <w:pPr>
        <w:jc w:val="both"/>
        <w:spacing w:after="120" w:before="0"/>
      </w:pPr>
      <w:r>
        <w:rPr>
          <w:rFonts w:ascii="Roboto Condensed Light" w:hAnsi="Roboto Condensed Light"/>
          <w:b w:val="0"/>
          <w:color w:val="2A324B"/>
          <w:sz w:val="22"/>
        </w:rPr>
        <w:t>Wszystkie pola są opcjonalne, a puste wracają do treści domyślnej.</w:t>
      </w:r>
    </w:p>
    <w:tbl>
      <w:tblPr>
        <w:tblW w:w="9406" w:type="dxa"/>
        <w:tblStyle w:val="TableGrid"/>
        <w:tblLook w:firstColumn="1" w:firstRow="1" w:lastColumn="0" w:lastRow="0" w:noHBand="0" w:noVBand="1" w:val="04A0"/>
        <w:tblLayout w:type="fixed"/>
      </w:tblPr>
      <w:tblGrid>
        <w:gridCol w:w="2900"/>
        <w:gridCol w:w="6506"/>
      </w:tblGrid>
      <w:tr>
        <w:tc>
          <w:tcPr>
            <w:tcW w:type="dxa" w:w="2900"/>
            <w:shd w:fill="2A324B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" w:hAnsi="Roboto Condensed"/>
                <w:b w:val="0"/>
                <w:color w:val="FFFFFF"/>
                <w:sz w:val="22"/>
              </w:rPr>
              <w:t>Pole</w:t>
            </w:r>
          </w:p>
        </w:tc>
        <w:tc>
          <w:tcPr>
            <w:tcW w:type="dxa" w:w="6506"/>
            <w:shd w:fill="2A324B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" w:hAnsi="Roboto Condensed"/>
                <w:b w:val="0"/>
                <w:color w:val="FFFFFF"/>
                <w:sz w:val="22"/>
              </w:rPr>
              <w:t>Opis</w:t>
            </w:r>
          </w:p>
        </w:tc>
      </w:tr>
      <w:tr>
        <w:tc>
          <w:tcPr>
            <w:tcW w:type="dxa" w:w="29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Zdiagnozowane potrzeby (lewa kolumna)</w:t>
            </w:r>
          </w:p>
        </w:tc>
        <w:tc>
          <w:tcPr>
            <w:tcW w:type="dxa" w:w="650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Krótki opis realnie zdiagnozowanych potrzeb klienta. Sekcja 01 Wprowadzenie.</w:t>
            </w:r>
          </w:p>
        </w:tc>
      </w:tr>
      <w:tr>
        <w:tc>
          <w:tcPr>
            <w:tcW w:type="dxa" w:w="2900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Podstawa rekomendacji (prawa kolumna)</w:t>
            </w:r>
          </w:p>
        </w:tc>
        <w:tc>
          <w:tcPr>
            <w:tcW w:type="dxa" w:w="6506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Merytoryczne uzasadnienie rekomendacji, do 1500 znaków. Sekcja 01, układ dwukolumnowy.</w:t>
            </w:r>
          </w:p>
        </w:tc>
      </w:tr>
      <w:tr>
        <w:tc>
          <w:tcPr>
            <w:tcW w:type="dxa" w:w="29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Opis rekomendowanego programu</w:t>
            </w:r>
          </w:p>
        </w:tc>
        <w:tc>
          <w:tcPr>
            <w:tcW w:type="dxa" w:w="650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Edytor tekstu sformatowanego. Puste oznacza opis z biblioteki. Sekcja 02.</w:t>
            </w:r>
          </w:p>
        </w:tc>
      </w:tr>
      <w:tr>
        <w:tc>
          <w:tcPr>
            <w:tcW w:type="dxa" w:w="2900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Założenia oferty (punktory)</w:t>
            </w:r>
          </w:p>
        </w:tc>
        <w:tc>
          <w:tcPr>
            <w:tcW w:type="dxa" w:w="6506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Lista punktów w kafelku sekcji 04 (Model wynagrodzenia).</w:t>
            </w:r>
          </w:p>
        </w:tc>
      </w:tr>
      <w:tr>
        <w:tc>
          <w:tcPr>
            <w:tcW w:type="dxa" w:w="29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Uwagi do wyceny</w:t>
            </w:r>
          </w:p>
        </w:tc>
        <w:tc>
          <w:tcPr>
            <w:tcW w:type="dxa" w:w="650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Wyróżniony box przy wynagrodzeniu wykonawczym.</w:t>
            </w:r>
          </w:p>
        </w:tc>
      </w:tr>
    </w:tbl>
    <w:p>
      <w:pPr>
        <w:jc w:val="left"/>
        <w:spacing w:before="120" w:after="40"/>
      </w:pPr>
      <w:r>
        <w:rPr>
          <w:rFonts w:ascii="Roboto Condensed" w:hAnsi="Roboto Condensed"/>
          <w:b w:val="0"/>
          <w:color w:val="2A324B"/>
          <w:sz w:val="28"/>
        </w:rPr>
        <w:t>3.7 Załączniki i właściciel oferty</w:t>
      </w:r>
    </w:p>
    <w:tbl>
      <w:tblPr>
        <w:tblW w:w="9406" w:type="dxa"/>
        <w:tblStyle w:val="TableGrid"/>
        <w:tblLook w:firstColumn="1" w:firstRow="1" w:lastColumn="0" w:lastRow="0" w:noHBand="0" w:noVBand="1" w:val="04A0"/>
        <w:tblLayout w:type="fixed"/>
      </w:tblPr>
      <w:tblGrid>
        <w:gridCol w:w="2900"/>
        <w:gridCol w:w="6506"/>
      </w:tblGrid>
      <w:tr>
        <w:tc>
          <w:tcPr>
            <w:tcW w:type="dxa" w:w="2900"/>
            <w:shd w:fill="2A324B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" w:hAnsi="Roboto Condensed"/>
                <w:b w:val="0"/>
                <w:color w:val="FFFFFF"/>
                <w:sz w:val="22"/>
              </w:rPr>
              <w:t>Pole</w:t>
            </w:r>
          </w:p>
        </w:tc>
        <w:tc>
          <w:tcPr>
            <w:tcW w:type="dxa" w:w="6506"/>
            <w:shd w:fill="2A324B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" w:hAnsi="Roboto Condensed"/>
                <w:b w:val="0"/>
                <w:color w:val="FFFFFF"/>
                <w:sz w:val="22"/>
              </w:rPr>
              <w:t>Opis</w:t>
            </w:r>
          </w:p>
        </w:tc>
      </w:tr>
      <w:tr>
        <w:tc>
          <w:tcPr>
            <w:tcW w:type="dxa" w:w="29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Osoba kontaktowa</w:t>
            </w:r>
          </w:p>
        </w:tc>
        <w:tc>
          <w:tcPr>
            <w:tcW w:type="dxa" w:w="650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Wybór z katalogu osób kontaktowych. Pojawia się w ofercie.</w:t>
            </w:r>
          </w:p>
        </w:tc>
      </w:tr>
      <w:tr>
        <w:tc>
          <w:tcPr>
            <w:tcW w:type="dxa" w:w="2900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Case study</w:t>
            </w:r>
          </w:p>
        </w:tc>
        <w:tc>
          <w:tcPr>
            <w:tcW w:type="dxa" w:w="6506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Wybór zrealizowanego projektu z katalogu, pokazywany w sekcji 06. Jeśli projekt ma zapisany link, w ofercie pojawia się odnośnik Zobacz pełny opis projektu.</w:t>
            </w:r>
          </w:p>
        </w:tc>
      </w:tr>
      <w:tr>
        <w:tc>
          <w:tcPr>
            <w:tcW w:type="dxa" w:w="29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Przypisany konsultant</w:t>
            </w:r>
          </w:p>
        </w:tc>
        <w:tc>
          <w:tcPr>
            <w:tcW w:type="dxa" w:w="650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Widoczne dla administratora. Zmienia, kto widzi i edytuje ofertę. Autor się nie zmienia.</w:t>
            </w:r>
          </w:p>
        </w:tc>
      </w:tr>
    </w:tbl>
    <w:p>
      <w:pPr>
        <w:jc w:val="left"/>
        <w:spacing w:before="120" w:after="40"/>
      </w:pPr>
      <w:r>
        <w:rPr>
          <w:rFonts w:ascii="Roboto Condensed" w:hAnsi="Roboto Condensed"/>
          <w:b w:val="0"/>
          <w:color w:val="2A324B"/>
          <w:sz w:val="28"/>
        </w:rPr>
        <w:t>3.8 Wypełnianie z transkrypcji (AI)</w:t>
      </w:r>
    </w:p>
    <w:p>
      <w:pPr>
        <w:jc w:val="both"/>
        <w:spacing w:after="120" w:before="0"/>
      </w:pPr>
      <w:r>
        <w:rPr>
          <w:rFonts w:ascii="Roboto Condensed Light" w:hAnsi="Roboto Condensed Light"/>
          <w:b w:val="0"/>
          <w:color w:val="2A324B"/>
          <w:sz w:val="22"/>
        </w:rPr>
        <w:t>U góry formularza oferty znajduje się przycisk Wypełnij z transkrypcji. Otwiera panel, do którego możesz wkleić tekst notatki lub transkrypcji spotkania albo wgrać plik .docx lub .txt. PDF wklej jako tekst. Po analizie system wstępnie uzupełnia tylko puste pola: nazwę firmy, NIP, branżę, wielkość firmy, województwo oraz opis zdiagnozowanych potrzeb i podstawę rekomendacji (sekcja 01). Jeśli w rozmowie padła kwota, proponuje też wartość projektu do ręcznego potwierdzenia, a jeśli któryś program z biblioteki pasuje - podpowiada go.</w:t>
      </w:r>
    </w:p>
    <w:p>
      <w:pPr>
        <w:jc w:val="both"/>
        <w:spacing w:after="120" w:before="0"/>
      </w:pPr>
      <w:r>
        <w:rPr>
          <w:rFonts w:ascii="Roboto Condensed Light" w:hAnsi="Roboto Condensed Light"/>
          <w:b w:val="0"/>
          <w:color w:val="2A324B"/>
          <w:sz w:val="22"/>
        </w:rPr>
        <w:t>Pola uzupełnione przez AI są podświetlone na żółto - to znak sprawdź i potwierdź. Panel pokazuje krótkie podsumowanie tego, co udało się wyciągnąć, wraz z ostrzeżeniami (czego nie ustalono, co wymaga weryfikacji). Nic nie jest zapisywane ani wysyłane automatycznie: transkrypcji nie przechowujemy, a dane utrwala dopiero Twój świadomy zapis oferty. Do analizy potrzeba co najmniej kilkunastu znaków tekstu; bardzo długie transkrypcje są skracane do fragmentu początkowego.</w:t>
      </w:r>
    </w:p>
    <w:p>
      <w:pPr>
        <w:jc w:val="both"/>
        <w:spacing w:after="120" w:before="0"/>
      </w:pPr>
      <w:r>
        <w:rPr>
          <w:rFonts w:ascii="Roboto Condensed" w:hAnsi="Roboto Condensed"/>
          <w:b/>
          <w:color w:val="CE181A"/>
          <w:sz w:val="22"/>
        </w:rPr>
        <w:t>Uwaga: AI bywa omylne - traktuj wynik jak szkic do weryfikacji, nie jak gotowe dane. Zawsze sprawdź kwoty, nazwy i rekomendację przed wysłaniem oferty. Funkcja działa tylko wtedy, gdy w środowisku skonfigurowano klucz dostępu do modelu; w przeciwnym razie przycisk zwróci komunikat o niedostępności.</w:t>
      </w:r>
    </w:p>
    <w:p>
      <w:pPr>
        <w:jc w:val="left"/>
        <w:spacing w:before="120" w:after="40"/>
      </w:pPr>
      <w:r>
        <w:rPr>
          <w:rFonts w:ascii="Roboto Condensed" w:hAnsi="Roboto Condensed"/>
          <w:b w:val="0"/>
          <w:color w:val="2A324B"/>
          <w:sz w:val="28"/>
        </w:rPr>
        <w:t>3.9 Oferta pożyczkowa (typ oferty)</w:t>
      </w:r>
    </w:p>
    <w:p>
      <w:pPr>
        <w:jc w:val="both"/>
        <w:spacing w:after="120" w:before="0"/>
      </w:pPr>
      <w:r>
        <w:rPr>
          <w:rFonts w:ascii="Roboto Condensed Light" w:hAnsi="Roboto Condensed Light"/>
          <w:b w:val="0"/>
          <w:color w:val="2A324B"/>
          <w:sz w:val="22"/>
        </w:rPr>
        <w:t>Na samej górze formularza wybierasz typ oferty: Dotacja albo Pożyczka. Wybór przestawia cały formularz. W trybie Pożyczka znikają pola dotacyjne (intensywność, liczba projektów, klient powracający, biblioteka programów, warianty), a pojawiają się pola właściwe dla finansowania zwrotnego.</w:t>
      </w:r>
    </w:p>
    <w:tbl>
      <w:tblPr>
        <w:tblW w:w="9406" w:type="dxa"/>
        <w:tblStyle w:val="TableGrid"/>
        <w:tblLook w:firstColumn="1" w:firstRow="1" w:lastColumn="0" w:lastRow="0" w:noHBand="0" w:noVBand="1" w:val="04A0"/>
        <w:tblLayout w:type="fixed"/>
      </w:tblPr>
      <w:tblGrid>
        <w:gridCol w:w="2900"/>
        <w:gridCol w:w="6506"/>
      </w:tblGrid>
      <w:tr>
        <w:tc>
          <w:tcPr>
            <w:tcW w:type="dxa" w:w="2900"/>
            <w:shd w:fill="2A324B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" w:hAnsi="Roboto Condensed"/>
                <w:b w:val="0"/>
                <w:color w:val="FFFFFF"/>
                <w:sz w:val="22"/>
              </w:rPr>
              <w:t>Pole</w:t>
            </w:r>
          </w:p>
        </w:tc>
        <w:tc>
          <w:tcPr>
            <w:tcW w:type="dxa" w:w="6506"/>
            <w:shd w:fill="2A324B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" w:hAnsi="Roboto Condensed"/>
                <w:b w:val="0"/>
                <w:color w:val="FFFFFF"/>
                <w:sz w:val="22"/>
              </w:rPr>
              <w:t>Opis</w:t>
            </w:r>
          </w:p>
        </w:tc>
      </w:tr>
      <w:tr>
        <w:tc>
          <w:tcPr>
            <w:tcW w:type="dxa" w:w="29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Nazwa produktu pożyczkowego</w:t>
            </w:r>
          </w:p>
        </w:tc>
        <w:tc>
          <w:tcPr>
            <w:tcW w:type="dxa" w:w="650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Wpisujesz ją ręcznie, na przykład Pożyczka na inwestycje w MŚP. Trafia do nagłówka oferty i do karty produktu u klienta.</w:t>
            </w:r>
          </w:p>
        </w:tc>
      </w:tr>
      <w:tr>
        <w:tc>
          <w:tcPr>
            <w:tcW w:type="dxa" w:w="2900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Kwota pożyczki (PLN)</w:t>
            </w:r>
          </w:p>
        </w:tc>
        <w:tc>
          <w:tcPr>
            <w:tcW w:type="dxa" w:w="6506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Wnioskowana kwota. Jest podstawą wyliczenia wynagrodzenia wynikowego.</w:t>
            </w:r>
          </w:p>
        </w:tc>
      </w:tr>
      <w:tr>
        <w:tc>
          <w:tcPr>
            <w:tcW w:type="dxa" w:w="29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Oprocentowanie, okres spłaty, karencja, prowizja, wkład własny</w:t>
            </w:r>
          </w:p>
        </w:tc>
        <w:tc>
          <w:tcPr>
            <w:tcW w:type="dxa" w:w="650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Warunki produktu wpisywane osobno dla każdej oferty (pola opisowe, na przykład od 2 procent w skali roku, do 84 miesięcy). Puste pola nie pojawiają się u klienta.</w:t>
            </w:r>
          </w:p>
        </w:tc>
      </w:tr>
      <w:tr>
        <w:tc>
          <w:tcPr>
            <w:tcW w:type="dxa" w:w="2900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Opłata wstępna (PLN)</w:t>
            </w:r>
          </w:p>
        </w:tc>
        <w:tc>
          <w:tcPr>
            <w:tcW w:type="dxa" w:w="6506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Domyślnie 4000 zł. Możesz zmienić dla konkretnej oferty.</w:t>
            </w:r>
          </w:p>
        </w:tc>
      </w:tr>
      <w:tr>
        <w:tc>
          <w:tcPr>
            <w:tcW w:type="dxa" w:w="29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Wynagrodzenie wynikowe (procent)</w:t>
            </w:r>
          </w:p>
        </w:tc>
        <w:tc>
          <w:tcPr>
            <w:tcW w:type="dxa" w:w="650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Domyślnie 1,5 procent kwoty pożyczki. Możesz zmienić dla konkretnej oferty.</w:t>
            </w:r>
          </w:p>
        </w:tc>
      </w:tr>
    </w:tbl>
    <w:p>
      <w:pPr>
        <w:jc w:val="both"/>
        <w:spacing w:after="120" w:before="0"/>
      </w:pPr>
      <w:r>
        <w:rPr>
          <w:rFonts w:ascii="Roboto Condensed Light" w:hAnsi="Roboto Condensed Light"/>
          <w:b w:val="0"/>
          <w:color w:val="2A324B"/>
          <w:sz w:val="22"/>
        </w:rPr>
        <w:t>Pod polami widzisz wyliczenie na żywo: opłata wstępna, wynagrodzenie wynikowe i suma. Przy kwocie 500 000 zł i domyślnych stawkach daje to 4000 zł plus 7500 zł, razem 11 500 zł.</w:t>
      </w:r>
    </w:p>
    <w:p>
      <w:pPr>
        <w:jc w:val="both"/>
        <w:spacing w:after="120" w:before="0"/>
      </w:pPr>
      <w:r>
        <w:rPr>
          <w:rFonts w:ascii="Roboto Condensed" w:hAnsi="Roboto Condensed"/>
          <w:b/>
          <w:color w:val="CE181A"/>
          <w:sz w:val="22"/>
        </w:rPr>
        <w:t>Uwaga: W ofercie pożyczkowej nie ma wariantów ani wynagrodzenia miesięcznego za rozliczanie. Klient akceptuje jedną, konkretną wycenę. Warunki produktu ustawiasz przy każdej ofercie osobno, bo różnią się między funduszami i naborami.</w:t>
      </w:r>
    </w:p>
    <w:p>
      <w:pPr>
        <w:jc w:val="left"/>
        <w:spacing w:before="160" w:after="40"/>
      </w:pPr>
      <w:r>
        <w:rPr>
          <w:rFonts w:ascii="Roboto Condensed" w:hAnsi="Roboto Condensed"/>
          <w:b w:val="0"/>
          <w:color w:val="2A324B"/>
          <w:sz w:val="36"/>
        </w:rPr>
        <w:t>4. Zapis: wersja robocza i szablon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-  </w:t>
      </w:r>
      <w:r>
        <w:rPr>
          <w:rFonts w:ascii="Roboto Condensed Light" w:hAnsi="Roboto Condensed Light"/>
          <w:b w:val="0"/>
          <w:color w:val="2A324B"/>
          <w:sz w:val="22"/>
        </w:rPr>
        <w:t>Stwórz ofertę lub Zapisz zmiany zapisuje ofertę. Nowa oferta powstaje jako wersja robocza, po zapisie przechodzisz do edytora.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-  </w:t>
      </w:r>
      <w:r>
        <w:rPr>
          <w:rFonts w:ascii="Roboto Condensed Light" w:hAnsi="Roboto Condensed Light"/>
          <w:b w:val="0"/>
          <w:color w:val="2A324B"/>
          <w:sz w:val="22"/>
        </w:rPr>
        <w:t>Zapisz jako szablon zapisuje bieżące ustawienia (program, warianty, treści) bez danych klienta, do wykorzystania w kolejnych ofertach. To nie jest publikacja oferty, tylko wzorzec.</w:t>
      </w:r>
    </w:p>
    <w:p>
      <w:pPr>
        <w:jc w:val="both"/>
        <w:spacing w:after="120" w:before="0"/>
      </w:pPr>
      <w:r>
        <w:rPr>
          <w:rFonts w:ascii="Roboto Condensed" w:hAnsi="Roboto Condensed"/>
          <w:b/>
          <w:color w:val="CE181A"/>
          <w:sz w:val="22"/>
        </w:rPr>
        <w:t>Uwaga: Edycja oferty już wysłanej pokaże ostrzeżenie - zmiana finansów wymusi ponowne przeliczenie cennika i odświeżenie pliku PDF.</w:t>
      </w:r>
    </w:p>
    <w:p>
      <w:pPr>
        <w:jc w:val="left"/>
        <w:spacing w:before="160" w:after="40"/>
      </w:pPr>
      <w:r>
        <w:rPr>
          <w:rFonts w:ascii="Roboto Condensed" w:hAnsi="Roboto Condensed"/>
          <w:b w:val="0"/>
          <w:color w:val="2A324B"/>
          <w:sz w:val="36"/>
        </w:rPr>
        <w:t>5. Akcje na ofercie</w:t>
      </w:r>
    </w:p>
    <w:tbl>
      <w:tblPr>
        <w:tblW w:w="9406" w:type="dxa"/>
        <w:tblStyle w:val="TableGrid"/>
        <w:tblLook w:firstColumn="1" w:firstRow="1" w:lastColumn="0" w:lastRow="0" w:noHBand="0" w:noVBand="1" w:val="04A0"/>
        <w:tblLayout w:type="fixed"/>
      </w:tblPr>
      <w:tblGrid>
        <w:gridCol w:w="2900"/>
        <w:gridCol w:w="6506"/>
      </w:tblGrid>
      <w:tr>
        <w:tc>
          <w:tcPr>
            <w:tcW w:type="dxa" w:w="2900"/>
            <w:shd w:fill="2A324B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" w:hAnsi="Roboto Condensed"/>
                <w:b w:val="0"/>
                <w:color w:val="FFFFFF"/>
                <w:sz w:val="22"/>
              </w:rPr>
              <w:t>Akcja</w:t>
            </w:r>
          </w:p>
        </w:tc>
        <w:tc>
          <w:tcPr>
            <w:tcW w:type="dxa" w:w="6506"/>
            <w:shd w:fill="2A324B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" w:hAnsi="Roboto Condensed"/>
                <w:b w:val="0"/>
                <w:color w:val="FFFFFF"/>
                <w:sz w:val="22"/>
              </w:rPr>
              <w:t>Co robi</w:t>
            </w:r>
          </w:p>
        </w:tc>
      </w:tr>
      <w:tr>
        <w:tc>
          <w:tcPr>
            <w:tcW w:type="dxa" w:w="29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Wyślij ofertę / Wyślij ponownie</w:t>
            </w:r>
          </w:p>
        </w:tc>
        <w:tc>
          <w:tcPr>
            <w:tcW w:type="dxa" w:w="650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Otwiera okno z adresem odbiorcy, tematem i wiadomością. Wysyła klientowi maila z linkiem, ustawia status na wysłana. Jeśli mail nie dotrze, błąd pokazuje się od razu.</w:t>
            </w:r>
          </w:p>
        </w:tc>
      </w:tr>
      <w:tr>
        <w:tc>
          <w:tcPr>
            <w:tcW w:type="dxa" w:w="2900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Przelicz pricing</w:t>
            </w:r>
          </w:p>
        </w:tc>
        <w:tc>
          <w:tcPr>
            <w:tcW w:type="dxa" w:w="6506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Ponownie wylicza cennik. Przy ofercie innej niż robocza prosi o potwierdzenie.</w:t>
            </w:r>
          </w:p>
        </w:tc>
      </w:tr>
      <w:tr>
        <w:tc>
          <w:tcPr>
            <w:tcW w:type="dxa" w:w="29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Skopiuj link</w:t>
            </w:r>
          </w:p>
        </w:tc>
        <w:tc>
          <w:tcPr>
            <w:tcW w:type="dxa" w:w="650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Dla wersji roboczej kopiuje link podglądu (działa tylko dla zalogowanego), dla wysłanej link publiczny dla klienta.</w:t>
            </w:r>
          </w:p>
        </w:tc>
      </w:tr>
      <w:tr>
        <w:tc>
          <w:tcPr>
            <w:tcW w:type="dxa" w:w="2900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Podgląd</w:t>
            </w:r>
          </w:p>
        </w:tc>
        <w:tc>
          <w:tcPr>
            <w:tcW w:type="dxa" w:w="6506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Otwiera ofertę tak, jak zobaczy ją klient.</w:t>
            </w:r>
          </w:p>
        </w:tc>
      </w:tr>
      <w:tr>
        <w:tc>
          <w:tcPr>
            <w:tcW w:type="dxa" w:w="29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Usuń (soft-delete)</w:t>
            </w:r>
          </w:p>
        </w:tc>
        <w:tc>
          <w:tcPr>
            <w:tcW w:type="dxa" w:w="650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Tylko administrator. Oferta znika z list, ale zostaje w bazie na potrzeby zgodności z RODO.</w:t>
            </w:r>
          </w:p>
        </w:tc>
      </w:tr>
      <w:tr>
        <w:tc>
          <w:tcPr>
            <w:tcW w:type="dxa" w:w="2900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Zmiana konsultanta</w:t>
            </w:r>
          </w:p>
        </w:tc>
        <w:tc>
          <w:tcPr>
            <w:tcW w:type="dxa" w:w="6506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Przez sekcję Właściciel oferty w formularzu.</w:t>
            </w:r>
          </w:p>
        </w:tc>
      </w:tr>
    </w:tbl>
    <w:p>
      <w:pPr>
        <w:jc w:val="left"/>
        <w:spacing w:before="160" w:after="40"/>
      </w:pPr>
      <w:r>
        <w:rPr>
          <w:rFonts w:ascii="Roboto Condensed" w:hAnsi="Roboto Condensed"/>
          <w:b w:val="0"/>
          <w:color w:val="2A324B"/>
          <w:sz w:val="36"/>
        </w:rPr>
        <w:t>6. Co widzi klient</w:t>
      </w:r>
    </w:p>
    <w:p>
      <w:pPr>
        <w:jc w:val="both"/>
        <w:spacing w:after="120" w:before="0"/>
      </w:pPr>
      <w:r>
        <w:rPr>
          <w:rFonts w:ascii="Roboto Condensed Light" w:hAnsi="Roboto Condensed Light"/>
          <w:b w:val="0"/>
          <w:color w:val="2A324B"/>
          <w:sz w:val="22"/>
        </w:rPr>
        <w:t>Klient otwiera ofertę pod linkiem i przewija osiem numerowanych sekcji. Na górze widzi numer oferty, datę, swoją nazwę i program, a jeśli ustawiono termin ważności - datę do której oferta obowiązuje.</w:t>
      </w:r>
    </w:p>
    <w:tbl>
      <w:tblPr>
        <w:tblW w:w="9406" w:type="dxa"/>
        <w:tblStyle w:val="TableGrid"/>
        <w:tblLook w:firstColumn="1" w:firstRow="1" w:lastColumn="0" w:lastRow="0" w:noHBand="0" w:noVBand="1" w:val="04A0"/>
        <w:tblLayout w:type="fixed"/>
      </w:tblPr>
      <w:tblGrid>
        <w:gridCol w:w="2600"/>
        <w:gridCol w:w="6806"/>
      </w:tblGrid>
      <w:tr>
        <w:tc>
          <w:tcPr>
            <w:tcW w:type="dxa" w:w="2600"/>
            <w:shd w:fill="2A324B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" w:hAnsi="Roboto Condensed"/>
                <w:b w:val="0"/>
                <w:color w:val="FFFFFF"/>
                <w:sz w:val="22"/>
              </w:rPr>
              <w:t>Sekcja</w:t>
            </w:r>
          </w:p>
        </w:tc>
        <w:tc>
          <w:tcPr>
            <w:tcW w:type="dxa" w:w="6806"/>
            <w:shd w:fill="2A324B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" w:hAnsi="Roboto Condensed"/>
                <w:b w:val="0"/>
                <w:color w:val="FFFFFF"/>
                <w:sz w:val="22"/>
              </w:rPr>
              <w:t>Zawartość</w:t>
            </w:r>
          </w:p>
        </w:tc>
      </w:tr>
      <w:tr>
        <w:tc>
          <w:tcPr>
            <w:tcW w:type="dxa" w:w="26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01 Wprowadzenie</w:t>
            </w:r>
          </w:p>
        </w:tc>
        <w:tc>
          <w:tcPr>
            <w:tcW w:type="dxa" w:w="680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Zdiagnozowane potrzeby klienta i merytoryczna podstawa rekomendacji w układzie dwukolumnowym.</w:t>
            </w:r>
          </w:p>
        </w:tc>
      </w:tr>
      <w:tr>
        <w:tc>
          <w:tcPr>
            <w:tcW w:type="dxa" w:w="2600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02 Proponowane rozwiązanie</w:t>
            </w:r>
          </w:p>
        </w:tc>
        <w:tc>
          <w:tcPr>
            <w:tcW w:type="dxa" w:w="6806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Rekomendowany program jako wyróżniony kafelek wraz z opisem; pod spodem pozostałe programy wsparcia.</w:t>
            </w:r>
          </w:p>
        </w:tc>
      </w:tr>
      <w:tr>
        <w:tc>
          <w:tcPr>
            <w:tcW w:type="dxa" w:w="26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03 Zakres usługi doradczej</w:t>
            </w:r>
          </w:p>
        </w:tc>
        <w:tc>
          <w:tcPr>
            <w:tcW w:type="dxa" w:w="680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Rozwijana lista zadań na etapie przygotowania i obsługi.</w:t>
            </w:r>
          </w:p>
        </w:tc>
      </w:tr>
      <w:tr>
        <w:tc>
          <w:tcPr>
            <w:tcW w:type="dxa" w:w="2600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04 Model wynagrodzenia</w:t>
            </w:r>
          </w:p>
        </w:tc>
        <w:tc>
          <w:tcPr>
            <w:tcW w:type="dxa" w:w="6806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Założenia, tabela wariantów, wynagrodzenie wykonawcze, ewentualny box z rabatem.</w:t>
            </w:r>
          </w:p>
        </w:tc>
      </w:tr>
      <w:tr>
        <w:tc>
          <w:tcPr>
            <w:tcW w:type="dxa" w:w="26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05 Schemat procesu</w:t>
            </w:r>
          </w:p>
        </w:tc>
        <w:tc>
          <w:tcPr>
            <w:tcW w:type="dxa" w:w="680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Oś czasu współpracy.</w:t>
            </w:r>
          </w:p>
        </w:tc>
      </w:tr>
      <w:tr>
        <w:tc>
          <w:tcPr>
            <w:tcW w:type="dxa" w:w="2600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06 Dlaczego K2Biznes</w:t>
            </w:r>
          </w:p>
        </w:tc>
        <w:tc>
          <w:tcPr>
            <w:tcW w:type="dxa" w:w="6806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Wartości firmy, statystyki oraz case study jako dowód.</w:t>
            </w:r>
          </w:p>
        </w:tc>
      </w:tr>
      <w:tr>
        <w:tc>
          <w:tcPr>
            <w:tcW w:type="dxa" w:w="26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07 FAQ</w:t>
            </w:r>
          </w:p>
        </w:tc>
        <w:tc>
          <w:tcPr>
            <w:tcW w:type="dxa" w:w="680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Najczęstsze pytania i odpowiedzi.</w:t>
            </w:r>
          </w:p>
        </w:tc>
      </w:tr>
      <w:tr>
        <w:tc>
          <w:tcPr>
            <w:tcW w:type="dxa" w:w="2600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08 Akceptacja</w:t>
            </w:r>
          </w:p>
        </w:tc>
        <w:tc>
          <w:tcPr>
            <w:tcW w:type="dxa" w:w="6806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Wybór wariantu, dane osoby akceptującej, komentarz i wymagana zgoda RODO.</w:t>
            </w:r>
          </w:p>
        </w:tc>
      </w:tr>
    </w:tbl>
    <w:p>
      <w:pPr>
        <w:jc w:val="both"/>
        <w:spacing w:after="120" w:before="0"/>
      </w:pPr>
      <w:r>
        <w:rPr>
          <w:rFonts w:ascii="Roboto Condensed Light" w:hAnsi="Roboto Condensed Light"/>
          <w:b w:val="0"/>
          <w:color w:val="2A324B"/>
          <w:sz w:val="22"/>
        </w:rPr>
        <w:t>W ofercie pożyczkowej układ jest prostszy: sekcja 02 pokazuje kartę produktu z warunkami finansowania (kwota, oprocentowanie, okres spłaty, karencja, prowizja, wkład własny), sekcja 04 jedną tabelę wynagrodzenia zamiast wariantów, a sekcja 08 akceptację bez wyboru wariantu. Zakres usługi i pytania w FAQ opisane są językiem finansowania zwrotnego.</w:t>
      </w:r>
    </w:p>
    <w:p>
      <w:pPr>
        <w:jc w:val="both"/>
        <w:spacing w:after="120" w:before="0"/>
      </w:pPr>
      <w:r>
        <w:rPr>
          <w:rFonts w:ascii="Roboto Condensed" w:hAnsi="Roboto Condensed"/>
          <w:b/>
          <w:color w:val="CE181A"/>
          <w:sz w:val="22"/>
        </w:rPr>
        <w:t>Uwaga: Klient akceptuje lub odrzuca ofertę wprost na stronie. Zgoda RODO przy akceptacji jest obowiązkowa. Po decyzji na górze pojawia się baner ze statusem oferty.</w:t>
      </w:r>
    </w:p>
    <w:p>
      <w:pPr>
        <w:jc w:val="left"/>
        <w:spacing w:before="160" w:after="40"/>
      </w:pPr>
      <w:r>
        <w:rPr>
          <w:rFonts w:ascii="Roboto Condensed" w:hAnsi="Roboto Condensed"/>
          <w:b w:val="0"/>
          <w:color w:val="2A324B"/>
          <w:sz w:val="36"/>
        </w:rPr>
        <w:t>7. Dashboard aktywności oferty</w:t>
      </w:r>
    </w:p>
    <w:p>
      <w:pPr>
        <w:jc w:val="both"/>
        <w:spacing w:after="120" w:before="0"/>
      </w:pPr>
      <w:r>
        <w:rPr>
          <w:rFonts w:ascii="Roboto Condensed Light" w:hAnsi="Roboto Condensed Light"/>
          <w:b w:val="0"/>
          <w:color w:val="2A324B"/>
          <w:sz w:val="22"/>
        </w:rPr>
        <w:t>Dla każdej wysłanej oferty dostępny jest podgląd aktywności - widać, jak klient korzysta z oferty: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-  </w:t>
      </w:r>
      <w:r>
        <w:rPr>
          <w:rFonts w:ascii="Roboto Condensed Light" w:hAnsi="Roboto Condensed Light"/>
          <w:b w:val="0"/>
          <w:color w:val="2A324B"/>
          <w:sz w:val="22"/>
        </w:rPr>
        <w:t>Liczba otwarć oraz data pierwszego i ostatniego otwarcia.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-  </w:t>
      </w:r>
      <w:r>
        <w:rPr>
          <w:rFonts w:ascii="Roboto Condensed Light" w:hAnsi="Roboto Condensed Light"/>
          <w:b w:val="0"/>
          <w:color w:val="2A324B"/>
          <w:sz w:val="22"/>
        </w:rPr>
        <w:t>Postęp czytania - które z ośmiu sekcji klient doczytał.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-  </w:t>
      </w:r>
      <w:r>
        <w:rPr>
          <w:rFonts w:ascii="Roboto Condensed Light" w:hAnsi="Roboto Condensed Light"/>
          <w:b w:val="0"/>
          <w:color w:val="2A324B"/>
          <w:sz w:val="22"/>
        </w:rPr>
        <w:t>Zainteresowanie wariantami - najechania i podświetlenia wariantów.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-  </w:t>
      </w:r>
      <w:r>
        <w:rPr>
          <w:rFonts w:ascii="Roboto Condensed Light" w:hAnsi="Roboto Condensed Light"/>
          <w:b w:val="0"/>
          <w:color w:val="2A324B"/>
          <w:sz w:val="22"/>
        </w:rPr>
        <w:t>Pobrania pliku PDF.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-  </w:t>
      </w:r>
      <w:r>
        <w:rPr>
          <w:rFonts w:ascii="Roboto Condensed Light" w:hAnsi="Roboto Condensed Light"/>
          <w:b w:val="0"/>
          <w:color w:val="2A324B"/>
          <w:sz w:val="22"/>
        </w:rPr>
        <w:t>Oś zdarzeń - chronologiczny zapis aktywności klienta i działań zespołu.</w:t>
      </w:r>
    </w:p>
    <w:p>
      <w:pPr>
        <w:jc w:val="left"/>
        <w:spacing w:before="160" w:after="40"/>
      </w:pPr>
      <w:r>
        <w:rPr>
          <w:rFonts w:ascii="Roboto Condensed" w:hAnsi="Roboto Condensed"/>
          <w:b w:val="0"/>
          <w:color w:val="2A324B"/>
          <w:sz w:val="36"/>
        </w:rPr>
        <w:t>8. Ustawienia firmowe i katalogi</w:t>
      </w:r>
    </w:p>
    <w:p>
      <w:pPr>
        <w:jc w:val="both"/>
        <w:spacing w:after="120" w:before="0"/>
      </w:pPr>
      <w:r>
        <w:rPr>
          <w:rFonts w:ascii="Roboto Condensed Light" w:hAnsi="Roboto Condensed Light"/>
          <w:b w:val="0"/>
          <w:color w:val="2A324B"/>
          <w:sz w:val="22"/>
        </w:rPr>
        <w:t>Treści wspólne dla wszystkich ofert utrzymuje się w osobnych modułach, aby nie powtarzać ich przy każdej ofercie:</w:t>
      </w:r>
    </w:p>
    <w:tbl>
      <w:tblPr>
        <w:tblW w:w="9406" w:type="dxa"/>
        <w:tblStyle w:val="TableGrid"/>
        <w:tblLook w:firstColumn="1" w:firstRow="1" w:lastColumn="0" w:lastRow="0" w:noHBand="0" w:noVBand="1" w:val="04A0"/>
        <w:tblLayout w:type="fixed"/>
      </w:tblPr>
      <w:tblGrid>
        <w:gridCol w:w="2500"/>
        <w:gridCol w:w="2200"/>
        <w:gridCol w:w="4706"/>
      </w:tblGrid>
      <w:tr>
        <w:tc>
          <w:tcPr>
            <w:tcW w:type="dxa" w:w="2500"/>
            <w:shd w:fill="2A324B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" w:hAnsi="Roboto Condensed"/>
                <w:b w:val="0"/>
                <w:color w:val="FFFFFF"/>
                <w:sz w:val="22"/>
              </w:rPr>
              <w:t>Moduł</w:t>
            </w:r>
          </w:p>
        </w:tc>
        <w:tc>
          <w:tcPr>
            <w:tcW w:type="dxa" w:w="2200"/>
            <w:shd w:fill="2A324B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" w:hAnsi="Roboto Condensed"/>
                <w:b w:val="0"/>
                <w:color w:val="FFFFFF"/>
                <w:sz w:val="22"/>
              </w:rPr>
              <w:t>Ścieżka</w:t>
            </w:r>
          </w:p>
        </w:tc>
        <w:tc>
          <w:tcPr>
            <w:tcW w:type="dxa" w:w="4706"/>
            <w:shd w:fill="2A324B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" w:hAnsi="Roboto Condensed"/>
                <w:b w:val="0"/>
                <w:color w:val="FFFFFF"/>
                <w:sz w:val="22"/>
              </w:rPr>
              <w:t>Do czego służy</w:t>
            </w:r>
          </w:p>
        </w:tc>
      </w:tr>
      <w:tr>
        <w:tc>
          <w:tcPr>
            <w:tcW w:type="dxa" w:w="25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Ustawienia firmowe</w:t>
            </w:r>
          </w:p>
        </w:tc>
        <w:tc>
          <w:tcPr>
            <w:tcW w:type="dxa" w:w="2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/admin/ustawienia</w:t>
            </w:r>
          </w:p>
        </w:tc>
        <w:tc>
          <w:tcPr>
            <w:tcW w:type="dxa" w:w="470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Statystyki firmowe (kwota dofinansowania, liczba projektów, rok startu) i test wysyłki email. Zmiana propaguje na wszystkie oferty. Rola super_admin.</w:t>
            </w:r>
          </w:p>
        </w:tc>
      </w:tr>
      <w:tr>
        <w:tc>
          <w:tcPr>
            <w:tcW w:type="dxa" w:w="2500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Case studies</w:t>
            </w:r>
          </w:p>
        </w:tc>
        <w:tc>
          <w:tcPr>
            <w:tcW w:type="dxa" w:w="2200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/admin/case-studies</w:t>
            </w:r>
          </w:p>
        </w:tc>
        <w:tc>
          <w:tcPr>
            <w:tcW w:type="dxa" w:w="4706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Zrealizowane projekty pokazywane klientom.</w:t>
            </w:r>
          </w:p>
        </w:tc>
      </w:tr>
      <w:tr>
        <w:tc>
          <w:tcPr>
            <w:tcW w:type="dxa" w:w="25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Osoby kontaktowe</w:t>
            </w:r>
          </w:p>
        </w:tc>
        <w:tc>
          <w:tcPr>
            <w:tcW w:type="dxa" w:w="2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/admin/contact-persons</w:t>
            </w:r>
          </w:p>
        </w:tc>
        <w:tc>
          <w:tcPr>
            <w:tcW w:type="dxa" w:w="470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Dane konsultantów w ofertach.</w:t>
            </w:r>
          </w:p>
        </w:tc>
      </w:tr>
      <w:tr>
        <w:tc>
          <w:tcPr>
            <w:tcW w:type="dxa" w:w="2500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Programy wsparcia</w:t>
            </w:r>
          </w:p>
        </w:tc>
        <w:tc>
          <w:tcPr>
            <w:tcW w:type="dxa" w:w="2200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/admin/alt-programs</w:t>
            </w:r>
          </w:p>
        </w:tc>
        <w:tc>
          <w:tcPr>
            <w:tcW w:type="dxa" w:w="4706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Biblioteka programów wsparcia. Pozycja oznaczona jako rekomendowana trafia do sekcji 02 oferty. Zastąpiła dawny katalog Programy.</w:t>
            </w:r>
          </w:p>
        </w:tc>
      </w:tr>
      <w:tr>
        <w:tc>
          <w:tcPr>
            <w:tcW w:type="dxa" w:w="25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Szablony</w:t>
            </w:r>
          </w:p>
        </w:tc>
        <w:tc>
          <w:tcPr>
            <w:tcW w:type="dxa" w:w="2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/admin/templates</w:t>
            </w:r>
          </w:p>
        </w:tc>
        <w:tc>
          <w:tcPr>
            <w:tcW w:type="dxa" w:w="470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Zapisane wzorce ofert.</w:t>
            </w:r>
          </w:p>
        </w:tc>
      </w:tr>
      <w:tr>
        <w:tc>
          <w:tcPr>
            <w:tcW w:type="dxa" w:w="2500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FAQ</w:t>
            </w:r>
          </w:p>
        </w:tc>
        <w:tc>
          <w:tcPr>
            <w:tcW w:type="dxa" w:w="2200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/admin/faq</w:t>
            </w:r>
          </w:p>
        </w:tc>
        <w:tc>
          <w:tcPr>
            <w:tcW w:type="dxa" w:w="4706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Globalne pytania i odpowiedzi.</w:t>
            </w:r>
          </w:p>
        </w:tc>
      </w:tr>
      <w:tr>
        <w:tc>
          <w:tcPr>
            <w:tcW w:type="dxa" w:w="25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Użytkownicy</w:t>
            </w:r>
          </w:p>
        </w:tc>
        <w:tc>
          <w:tcPr>
            <w:tcW w:type="dxa" w:w="2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/admin/users</w:t>
            </w:r>
          </w:p>
        </w:tc>
        <w:tc>
          <w:tcPr>
            <w:tcW w:type="dxa" w:w="470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Konta i role. Rola super_admin.</w:t>
            </w:r>
          </w:p>
        </w:tc>
      </w:tr>
    </w:tbl>
    <w:p>
      <w:pPr>
        <w:jc w:val="left"/>
        <w:spacing w:before="240" w:after="80"/>
      </w:pPr>
      <w:r>
        <w:rPr>
          <w:rFonts w:ascii="Roboto Condensed" w:hAnsi="Roboto Condensed"/>
          <w:b w:val="0"/>
          <w:color w:val="2A324B"/>
          <w:sz w:val="64"/>
        </w:rPr>
        <w:t>Część II - Architektura systemu (dla zespołu technicznego)</w:t>
      </w:r>
    </w:p>
    <w:p>
      <w:pPr>
        <w:jc w:val="left"/>
        <w:spacing w:before="160" w:after="40"/>
      </w:pPr>
      <w:r>
        <w:rPr>
          <w:rFonts w:ascii="Roboto Condensed" w:hAnsi="Roboto Condensed"/>
          <w:b w:val="0"/>
          <w:color w:val="2A324B"/>
          <w:sz w:val="36"/>
        </w:rPr>
        <w:t>1. Stack technologiczny</w:t>
      </w:r>
    </w:p>
    <w:tbl>
      <w:tblPr>
        <w:tblW w:w="9406" w:type="dxa"/>
        <w:tblStyle w:val="TableGrid"/>
        <w:tblLook w:firstColumn="1" w:firstRow="1" w:lastColumn="0" w:lastRow="0" w:noHBand="0" w:noVBand="1" w:val="04A0"/>
        <w:tblLayout w:type="fixed"/>
      </w:tblPr>
      <w:tblGrid>
        <w:gridCol w:w="2600"/>
        <w:gridCol w:w="6806"/>
      </w:tblGrid>
      <w:tr>
        <w:tc>
          <w:tcPr>
            <w:tcW w:type="dxa" w:w="2600"/>
            <w:shd w:fill="2A324B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" w:hAnsi="Roboto Condensed"/>
                <w:b w:val="0"/>
                <w:color w:val="FFFFFF"/>
                <w:sz w:val="22"/>
              </w:rPr>
              <w:t>Warstwa</w:t>
            </w:r>
          </w:p>
        </w:tc>
        <w:tc>
          <w:tcPr>
            <w:tcW w:type="dxa" w:w="6806"/>
            <w:shd w:fill="2A324B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" w:hAnsi="Roboto Condensed"/>
                <w:b w:val="0"/>
                <w:color w:val="FFFFFF"/>
                <w:sz w:val="22"/>
              </w:rPr>
              <w:t>Technologia</w:t>
            </w:r>
          </w:p>
        </w:tc>
      </w:tr>
      <w:tr>
        <w:tc>
          <w:tcPr>
            <w:tcW w:type="dxa" w:w="26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Frontend i backend</w:t>
            </w:r>
          </w:p>
        </w:tc>
        <w:tc>
          <w:tcPr>
            <w:tcW w:type="dxa" w:w="680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Next.js 14 (App Router), TypeScript, walidacja Zod. Monorepo (apps/web, packages, supabase).</w:t>
            </w:r>
          </w:p>
        </w:tc>
      </w:tr>
      <w:tr>
        <w:tc>
          <w:tcPr>
            <w:tcW w:type="dxa" w:w="2600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Baza, autoryzacja, pliki</w:t>
            </w:r>
          </w:p>
        </w:tc>
        <w:tc>
          <w:tcPr>
            <w:tcW w:type="dxa" w:w="6806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Supabase Cloud - PostgreSQL 17, region eu-central-1. Autoryzacja PKCE, Storage, RLS na każdej tabeli.</w:t>
            </w:r>
          </w:p>
        </w:tc>
      </w:tr>
      <w:tr>
        <w:tc>
          <w:tcPr>
            <w:tcW w:type="dxa" w:w="26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Hosting</w:t>
            </w:r>
          </w:p>
        </w:tc>
        <w:tc>
          <w:tcPr>
            <w:tcW w:type="dxa" w:w="680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Vercel, domena oferta.k2biznes.pl, automatyczny deploy z gałęzi main.</w:t>
            </w:r>
          </w:p>
        </w:tc>
      </w:tr>
      <w:tr>
        <w:tc>
          <w:tcPr>
            <w:tcW w:type="dxa" w:w="2600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Limity zapytań</w:t>
            </w:r>
          </w:p>
        </w:tc>
        <w:tc>
          <w:tcPr>
            <w:tcW w:type="dxa" w:w="6806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Upstash Redis w warstwie pośredniej (middleware).</w:t>
            </w:r>
          </w:p>
        </w:tc>
      </w:tr>
      <w:tr>
        <w:tc>
          <w:tcPr>
            <w:tcW w:type="dxa" w:w="26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Email</w:t>
            </w:r>
          </w:p>
        </w:tc>
        <w:tc>
          <w:tcPr>
            <w:tcW w:type="dxa" w:w="680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Resend, domena k2biznes.pl z podpisem DKIM.</w:t>
            </w:r>
          </w:p>
        </w:tc>
      </w:tr>
      <w:tr>
        <w:tc>
          <w:tcPr>
            <w:tcW w:type="dxa" w:w="2600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Monitoring</w:t>
            </w:r>
          </w:p>
        </w:tc>
        <w:tc>
          <w:tcPr>
            <w:tcW w:type="dxa" w:w="6806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Sentry (region UE) oraz UptimeRobot pingujący /api/health co 5 minut.</w:t>
            </w:r>
          </w:p>
        </w:tc>
      </w:tr>
      <w:tr>
        <w:tc>
          <w:tcPr>
            <w:tcW w:type="dxa" w:w="26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Wypełnianie z transkrypcji</w:t>
            </w:r>
          </w:p>
        </w:tc>
        <w:tc>
          <w:tcPr>
            <w:tcW w:type="dxa" w:w="680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Model Claude (Anthropic SDK) wywoływany przez endpoint /api/admin/offer-draft; parsowanie .docx przez mammoth. Wymaga klucza ANTHROPIC_API_KEY; bez niego funkcja jest wyłączona (503).</w:t>
            </w:r>
          </w:p>
        </w:tc>
      </w:tr>
    </w:tbl>
    <w:p>
      <w:pPr>
        <w:jc w:val="left"/>
        <w:spacing w:before="160" w:after="40"/>
      </w:pPr>
      <w:r>
        <w:rPr>
          <w:rFonts w:ascii="Roboto Condensed" w:hAnsi="Roboto Condensed"/>
          <w:b w:val="0"/>
          <w:color w:val="2A324B"/>
          <w:sz w:val="36"/>
        </w:rPr>
        <w:t>2. Model danych</w:t>
      </w:r>
    </w:p>
    <w:p>
      <w:pPr>
        <w:jc w:val="both"/>
        <w:spacing w:after="120" w:before="0"/>
      </w:pPr>
      <w:r>
        <w:rPr>
          <w:rFonts w:ascii="Roboto Condensed Light" w:hAnsi="Roboto Condensed Light"/>
          <w:b w:val="0"/>
          <w:color w:val="2A324B"/>
          <w:sz w:val="22"/>
        </w:rPr>
        <w:t>Najważniejsze tabele bazy:</w:t>
      </w:r>
    </w:p>
    <w:tbl>
      <w:tblPr>
        <w:tblW w:w="9406" w:type="dxa"/>
        <w:tblStyle w:val="TableGrid"/>
        <w:tblLook w:firstColumn="1" w:firstRow="1" w:lastColumn="0" w:lastRow="0" w:noHBand="0" w:noVBand="1" w:val="04A0"/>
        <w:tblLayout w:type="fixed"/>
      </w:tblPr>
      <w:tblGrid>
        <w:gridCol w:w="2600"/>
        <w:gridCol w:w="6806"/>
      </w:tblGrid>
      <w:tr>
        <w:tc>
          <w:tcPr>
            <w:tcW w:type="dxa" w:w="2600"/>
            <w:shd w:fill="2A324B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" w:hAnsi="Roboto Condensed"/>
                <w:b w:val="0"/>
                <w:color w:val="FFFFFF"/>
                <w:sz w:val="22"/>
              </w:rPr>
              <w:t>Tabela</w:t>
            </w:r>
          </w:p>
        </w:tc>
        <w:tc>
          <w:tcPr>
            <w:tcW w:type="dxa" w:w="6806"/>
            <w:shd w:fill="2A324B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" w:hAnsi="Roboto Condensed"/>
                <w:b w:val="0"/>
                <w:color w:val="FFFFFF"/>
                <w:sz w:val="22"/>
              </w:rPr>
              <w:t>Rola</w:t>
            </w:r>
          </w:p>
        </w:tc>
      </w:tr>
      <w:tr>
        <w:tc>
          <w:tcPr>
            <w:tcW w:type="dxa" w:w="26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profiles</w:t>
            </w:r>
          </w:p>
        </w:tc>
        <w:tc>
          <w:tcPr>
            <w:tcW w:type="dxa" w:w="680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Użytkownicy wewnętrzni i ich role. Klienci nie mają kont.</w:t>
            </w:r>
          </w:p>
        </w:tc>
      </w:tr>
      <w:tr>
        <w:tc>
          <w:tcPr>
            <w:tcW w:type="dxa" w:w="2600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offers</w:t>
            </w:r>
          </w:p>
        </w:tc>
        <w:tc>
          <w:tcPr>
            <w:tcW w:type="dxa" w:w="6806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Rdzeń systemu: dane oferty, status, token klienta, zamrożony snapshot cennika, wybrane warianty, treści, pola akceptacji, tracking.</w:t>
            </w:r>
          </w:p>
        </w:tc>
      </w:tr>
      <w:tr>
        <w:tc>
          <w:tcPr>
            <w:tcW w:type="dxa" w:w="26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offer_events</w:t>
            </w:r>
          </w:p>
        </w:tc>
        <w:tc>
          <w:tcPr>
            <w:tcW w:type="dxa" w:w="680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Log aktywności i audytu (otwarcia, przewijanie, akceptacja, wysyłki maili).</w:t>
            </w:r>
          </w:p>
        </w:tc>
      </w:tr>
      <w:tr>
        <w:tc>
          <w:tcPr>
            <w:tcW w:type="dxa" w:w="2600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alt_programs, case_studies, contact_persons</w:t>
            </w:r>
          </w:p>
        </w:tc>
        <w:tc>
          <w:tcPr>
            <w:tcW w:type="dxa" w:w="6806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Katalogi słownikowe wykorzystywane w ofertach (m.in. biblioteka programów wsparcia).</w:t>
            </w:r>
          </w:p>
        </w:tc>
      </w:tr>
      <w:tr>
        <w:tc>
          <w:tcPr>
            <w:tcW w:type="dxa" w:w="26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pricing_segments, pricing_config</w:t>
            </w:r>
          </w:p>
        </w:tc>
        <w:tc>
          <w:tcPr>
            <w:tcW w:type="dxa" w:w="680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Konfiguracja cennika: progi segmentów i parametry (rabaty, minima).</w:t>
            </w:r>
          </w:p>
        </w:tc>
      </w:tr>
      <w:tr>
        <w:tc>
          <w:tcPr>
            <w:tcW w:type="dxa" w:w="2600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offer_templates, app_settings</w:t>
            </w:r>
          </w:p>
        </w:tc>
        <w:tc>
          <w:tcPr>
            <w:tcW w:type="dxa" w:w="6806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Szablony ofert i ustawienia firmowe (klucz-wartość).</w:t>
            </w:r>
          </w:p>
        </w:tc>
      </w:tr>
      <w:tr>
        <w:tc>
          <w:tcPr>
            <w:tcW w:type="dxa" w:w="26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faq_items, gdpr_clauses</w:t>
            </w:r>
          </w:p>
        </w:tc>
        <w:tc>
          <w:tcPr>
            <w:tcW w:type="dxa" w:w="680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Globalne FAQ i wersjonowane klauzule RODO.</w:t>
            </w:r>
          </w:p>
        </w:tc>
      </w:tr>
      <w:tr>
        <w:tc>
          <w:tcPr>
            <w:tcW w:type="dxa" w:w="2600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webhook_jobs, audit_log</w:t>
            </w:r>
          </w:p>
        </w:tc>
        <w:tc>
          <w:tcPr>
            <w:tcW w:type="dxa" w:w="6806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Kolejka integracji CRM oraz dziennik audytu.</w:t>
            </w:r>
          </w:p>
        </w:tc>
      </w:tr>
    </w:tbl>
    <w:p>
      <w:pPr>
        <w:jc w:val="left"/>
        <w:spacing w:before="160" w:after="40"/>
      </w:pPr>
      <w:r>
        <w:rPr>
          <w:rFonts w:ascii="Roboto Condensed" w:hAnsi="Roboto Condensed"/>
          <w:b w:val="0"/>
          <w:color w:val="2A324B"/>
          <w:sz w:val="36"/>
        </w:rPr>
        <w:t>3. Przepływ oferty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1. </w:t>
      </w:r>
      <w:r>
        <w:rPr>
          <w:rFonts w:ascii="Roboto Condensed Light" w:hAnsi="Roboto Condensed Light"/>
          <w:b w:val="0"/>
          <w:color w:val="2A324B"/>
          <w:sz w:val="22"/>
        </w:rPr>
        <w:t>Utworzenie: walidacja danych, wygenerowanie numeru oferty, wyliczenie cennika i zapis snapshotu. Oferta powstaje jako wersja robocza.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2. </w:t>
      </w:r>
      <w:r>
        <w:rPr>
          <w:rFonts w:ascii="Roboto Condensed Light" w:hAnsi="Roboto Condensed Light"/>
          <w:b w:val="0"/>
          <w:color w:val="2A324B"/>
          <w:sz w:val="22"/>
        </w:rPr>
        <w:t>Wysyłka: zmiana statusu na wysłana, wysłanie maila do klienta z linkiem, zapis zdarzenia i ewentualne zakolejkowanie integracji CRM.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3. </w:t>
      </w:r>
      <w:r>
        <w:rPr>
          <w:rFonts w:ascii="Roboto Condensed Light" w:hAnsi="Roboto Condensed Light"/>
          <w:b w:val="0"/>
          <w:color w:val="2A324B"/>
          <w:sz w:val="22"/>
        </w:rPr>
        <w:t>Widok klienta: strona renderowana po stronie serwera na podstawie tokenu. Wygasły link zwraca kod 410, wersja robocza jest niedostępna publicznie. Aktywność klienta zapisywana jest jako zdarzenia.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4. </w:t>
      </w:r>
      <w:r>
        <w:rPr>
          <w:rFonts w:ascii="Roboto Condensed Light" w:hAnsi="Roboto Condensed Light"/>
          <w:b w:val="0"/>
          <w:color w:val="2A324B"/>
          <w:sz w:val="22"/>
        </w:rPr>
        <w:t>Akceptacja lub odrzucenie: walidacja statusu, wariantu i wersji klauzuli RODO, blokada podwójnej akceptacji, zapis decyzji, powiadomienie konsultanta mailem oraz zakolejkowanie zdarzenia do CRM.</w:t>
      </w:r>
    </w:p>
    <w:p>
      <w:pPr>
        <w:jc w:val="left"/>
        <w:spacing w:before="160" w:after="40"/>
      </w:pPr>
      <w:r>
        <w:rPr>
          <w:rFonts w:ascii="Roboto Condensed" w:hAnsi="Roboto Condensed"/>
          <w:b w:val="0"/>
          <w:color w:val="2A324B"/>
          <w:sz w:val="36"/>
        </w:rPr>
        <w:t>4. Role i bezpieczeństwo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-  </w:t>
      </w:r>
      <w:r>
        <w:rPr>
          <w:rFonts w:ascii="Roboto Condensed Light" w:hAnsi="Roboto Condensed Light"/>
          <w:b w:val="0"/>
          <w:color w:val="2A324B"/>
          <w:sz w:val="22"/>
        </w:rPr>
        <w:t>Trzy role (super_admin, admin, consultant) egzekwowane przez RLS na wszystkich tabelach.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-  </w:t>
      </w:r>
      <w:r>
        <w:rPr>
          <w:rFonts w:ascii="Roboto Condensed Light" w:hAnsi="Roboto Condensed Light"/>
          <w:b w:val="0"/>
          <w:color w:val="2A324B"/>
          <w:sz w:val="22"/>
        </w:rPr>
        <w:t>Konsultant widzi wyłącznie oferty utworzone przez siebie lub do niego przypisane. Administratorzy widzą wszystkie.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-  </w:t>
      </w:r>
      <w:r>
        <w:rPr>
          <w:rFonts w:ascii="Roboto Condensed Light" w:hAnsi="Roboto Condensed Light"/>
          <w:b w:val="0"/>
          <w:color w:val="2A324B"/>
          <w:sz w:val="22"/>
        </w:rPr>
        <w:t>Rola jest zapisana w profilu i w tokenie sesji. Zmiana roli wymaga aktualizacji obu miejsc oraz wylogowania sesji.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-  </w:t>
      </w:r>
      <w:r>
        <w:rPr>
          <w:rFonts w:ascii="Roboto Condensed Light" w:hAnsi="Roboto Condensed Light"/>
          <w:b w:val="0"/>
          <w:color w:val="2A324B"/>
          <w:sz w:val="22"/>
        </w:rPr>
        <w:t>Weryfikacja dwuetapowa wymagana dla administratorów. Trigger bazy blokuje samodzielne podniesienie uprawnień.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-  </w:t>
      </w:r>
      <w:r>
        <w:rPr>
          <w:rFonts w:ascii="Roboto Condensed Light" w:hAnsi="Roboto Condensed Light"/>
          <w:b w:val="0"/>
          <w:color w:val="2A324B"/>
          <w:sz w:val="22"/>
        </w:rPr>
        <w:t>Limity zapytań w warstwie pośredniej: 100 na minutę dla ścieżek publicznych, 1000 na minutę dla pozostałych.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-  </w:t>
      </w:r>
      <w:r>
        <w:rPr>
          <w:rFonts w:ascii="Roboto Condensed Light" w:hAnsi="Roboto Condensed Light"/>
          <w:b w:val="0"/>
          <w:color w:val="2A324B"/>
          <w:sz w:val="22"/>
        </w:rPr>
        <w:t>Dostęp klienta wyłącznie przez losowy token oferty (bez konta). Ścieżki publiczne korzystają z uprawnień serwera, a reguły RLS domyślnie blokują dostęp anonimowy.</w:t>
      </w:r>
    </w:p>
    <w:p>
      <w:pPr>
        <w:jc w:val="left"/>
        <w:spacing w:before="160" w:after="40"/>
      </w:pPr>
      <w:r>
        <w:rPr>
          <w:rFonts w:ascii="Roboto Condensed" w:hAnsi="Roboto Condensed"/>
          <w:b w:val="0"/>
          <w:color w:val="2A324B"/>
          <w:sz w:val="36"/>
        </w:rPr>
        <w:t>5. Silnik cenowy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-  </w:t>
      </w:r>
      <w:r>
        <w:rPr>
          <w:rFonts w:ascii="Roboto Condensed Light" w:hAnsi="Roboto Condensed Light"/>
          <w:b w:val="0"/>
          <w:color w:val="2A324B"/>
          <w:sz w:val="22"/>
        </w:rPr>
        <w:t>Segment dobierany jest po wartości dofinansowania (wartość projektu pomnożona przez intensywność).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-  </w:t>
      </w:r>
      <w:r>
        <w:rPr>
          <w:rFonts w:ascii="Roboto Condensed Light" w:hAnsi="Roboto Condensed Light"/>
          <w:b w:val="0"/>
          <w:color w:val="2A324B"/>
          <w:sz w:val="22"/>
        </w:rPr>
        <w:t>Opłata wstępna wynika z segmentu, pomniejszana o rabat lojalnościowy (klient powracający) i rabat za wiele projektów, z dolnym progiem kwotowym.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-  </w:t>
      </w:r>
      <w:r>
        <w:rPr>
          <w:rFonts w:ascii="Roboto Condensed Light" w:hAnsi="Roboto Condensed Light"/>
          <w:b w:val="0"/>
          <w:color w:val="2A324B"/>
          <w:sz w:val="22"/>
        </w:rPr>
        <w:t>Wynagrodzenie od sukcesu to stawka procentowa segmentu z dolnym progiem kwotowym. Suma daje wartość wariantu.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-  </w:t>
      </w:r>
      <w:r>
        <w:rPr>
          <w:rFonts w:ascii="Roboto Condensed Light" w:hAnsi="Roboto Condensed Light"/>
          <w:b w:val="0"/>
          <w:color w:val="2A324B"/>
          <w:sz w:val="22"/>
        </w:rPr>
        <w:t>Warianty różnią się harmonogramem płatności. Wartość oczekiwana uwzględnia prawdopodobieństwo sukcesu i obsługę miesięczną.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-  </w:t>
      </w:r>
      <w:r>
        <w:rPr>
          <w:rFonts w:ascii="Roboto Condensed Light" w:hAnsi="Roboto Condensed Light"/>
          <w:b w:val="0"/>
          <w:color w:val="2A324B"/>
          <w:sz w:val="22"/>
        </w:rPr>
        <w:t>Snapshot cennika jest zamrażany przy tworzeniu i edycji oferty. Ponowne przeliczenie następuje wyłącznie na żądanie.</w:t>
      </w:r>
    </w:p>
    <w:p>
      <w:pPr>
        <w:jc w:val="left"/>
        <w:spacing w:before="160" w:after="40"/>
      </w:pPr>
      <w:r>
        <w:rPr>
          <w:rFonts w:ascii="Roboto Condensed" w:hAnsi="Roboto Condensed"/>
          <w:b w:val="0"/>
          <w:color w:val="2A324B"/>
          <w:sz w:val="36"/>
        </w:rPr>
        <w:t>6. Email i generowanie PDF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-  </w:t>
      </w:r>
      <w:r>
        <w:rPr>
          <w:rFonts w:ascii="Roboto Condensed Light" w:hAnsi="Roboto Condensed Light"/>
          <w:b w:val="0"/>
          <w:color w:val="2A324B"/>
          <w:sz w:val="22"/>
        </w:rPr>
        <w:t>Wysyłka maili ma jeden punkt wejścia i trzy tryby: lokalny serwer SMTP (development), Resend (produkcja) oraz zapis do logu, gdy żaden nie jest skonfigurowany.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-  </w:t>
      </w:r>
      <w:r>
        <w:rPr>
          <w:rFonts w:ascii="Roboto Condensed Light" w:hAnsi="Roboto Condensed Light"/>
          <w:b w:val="0"/>
          <w:color w:val="2A324B"/>
          <w:sz w:val="22"/>
        </w:rPr>
        <w:t>Nadawcą jest oferty@k2biznes.pl, a odpowiedzi trafiają do konsultanta prowadzącego. Szablony maili obejmują wysyłkę oferty oraz powiadomienia o akceptacji i odrzuceniu.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-  </w:t>
      </w:r>
      <w:r>
        <w:rPr>
          <w:rFonts w:ascii="Roboto Condensed Light" w:hAnsi="Roboto Condensed Light"/>
          <w:b w:val="0"/>
          <w:color w:val="2A324B"/>
          <w:sz w:val="22"/>
        </w:rPr>
        <w:t>Każda nieudana wysyłka trafia do Sentry i zostawia znacznik przy ofercie na liście.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-  </w:t>
      </w:r>
      <w:r>
        <w:rPr>
          <w:rFonts w:ascii="Roboto Condensed Light" w:hAnsi="Roboto Condensed Light"/>
          <w:b w:val="0"/>
          <w:color w:val="2A324B"/>
          <w:sz w:val="22"/>
        </w:rPr>
        <w:t>PDF generowany jest przez przeglądarkę bezgłową z widoku oferty w trybie druku i cache'owany w Storage. Na obecnym planie Vercel obowiązuje limit czasu funkcji, przez co generowanie PDF na produkcji bywa przerywane - dlatego link do PDF nie jest wystawiony w panelu. Docelowo rozwiązuje to wyższy plan Vercel.</w:t>
      </w:r>
    </w:p>
    <w:p>
      <w:pPr>
        <w:jc w:val="left"/>
        <w:spacing w:before="160" w:after="40"/>
      </w:pPr>
      <w:r>
        <w:rPr>
          <w:rFonts w:ascii="Roboto Condensed" w:hAnsi="Roboto Condensed"/>
          <w:b w:val="0"/>
          <w:color w:val="2A324B"/>
          <w:sz w:val="36"/>
        </w:rPr>
        <w:t>7. Hosting i infrastruktura</w:t>
      </w:r>
    </w:p>
    <w:tbl>
      <w:tblPr>
        <w:tblW w:w="9406" w:type="dxa"/>
        <w:tblStyle w:val="TableGrid"/>
        <w:tblLook w:firstColumn="1" w:firstRow="1" w:lastColumn="0" w:lastRow="0" w:noHBand="0" w:noVBand="1" w:val="04A0"/>
        <w:tblLayout w:type="fixed"/>
      </w:tblPr>
      <w:tblGrid>
        <w:gridCol w:w="2600"/>
        <w:gridCol w:w="6806"/>
      </w:tblGrid>
      <w:tr>
        <w:tc>
          <w:tcPr>
            <w:tcW w:type="dxa" w:w="2600"/>
            <w:shd w:fill="2A324B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" w:hAnsi="Roboto Condensed"/>
                <w:b w:val="0"/>
                <w:color w:val="FFFFFF"/>
                <w:sz w:val="22"/>
              </w:rPr>
              <w:t>Element</w:t>
            </w:r>
          </w:p>
        </w:tc>
        <w:tc>
          <w:tcPr>
            <w:tcW w:type="dxa" w:w="6806"/>
            <w:shd w:fill="2A324B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" w:hAnsi="Roboto Condensed"/>
                <w:b w:val="0"/>
                <w:color w:val="FFFFFF"/>
                <w:sz w:val="22"/>
              </w:rPr>
              <w:t>Szczegóły</w:t>
            </w:r>
          </w:p>
        </w:tc>
      </w:tr>
      <w:tr>
        <w:tc>
          <w:tcPr>
            <w:tcW w:type="dxa" w:w="26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Aplikacja</w:t>
            </w:r>
          </w:p>
        </w:tc>
        <w:tc>
          <w:tcPr>
            <w:tcW w:type="dxa" w:w="680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Vercel, automatyczny deploy z gałęzi main repozytorium GitHub.</w:t>
            </w:r>
          </w:p>
        </w:tc>
      </w:tr>
      <w:tr>
        <w:tc>
          <w:tcPr>
            <w:tcW w:type="dxa" w:w="2600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Baza danych</w:t>
            </w:r>
          </w:p>
        </w:tc>
        <w:tc>
          <w:tcPr>
            <w:tcW w:type="dxa" w:w="6806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Supabase Cloud, region eu-central-1. UptimeRobot zapobiega uśpieniu bazy.</w:t>
            </w:r>
          </w:p>
        </w:tc>
      </w:tr>
      <w:tr>
        <w:tc>
          <w:tcPr>
            <w:tcW w:type="dxa" w:w="26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Limity zapytań</w:t>
            </w:r>
          </w:p>
        </w:tc>
        <w:tc>
          <w:tcPr>
            <w:tcW w:type="dxa" w:w="680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Upstash Redis.</w:t>
            </w:r>
          </w:p>
        </w:tc>
      </w:tr>
      <w:tr>
        <w:tc>
          <w:tcPr>
            <w:tcW w:type="dxa" w:w="2600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/>
                <w:color w:val="2A324B"/>
                <w:sz w:val="20"/>
              </w:rPr>
              <w:t>Monitoring</w:t>
            </w:r>
          </w:p>
        </w:tc>
        <w:tc>
          <w:tcPr>
            <w:tcW w:type="dxa" w:w="6806"/>
            <w:shd w:fill="ECEC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left"/>
              <w:spacing w:after="20" w:before="20"/>
            </w:pPr>
            <w:r>
              <w:rPr>
                <w:rFonts w:ascii="Roboto Condensed Light" w:hAnsi="Roboto Condensed Light"/>
                <w:b w:val="0"/>
                <w:color w:val="2A324B"/>
                <w:sz w:val="20"/>
              </w:rPr>
              <w:t>Sentry (region UE, maskowanie danych osobowych).</w:t>
            </w:r>
          </w:p>
        </w:tc>
      </w:tr>
    </w:tbl>
    <w:p>
      <w:pPr>
        <w:jc w:val="left"/>
        <w:spacing w:before="160" w:after="40"/>
      </w:pPr>
      <w:r>
        <w:rPr>
          <w:rFonts w:ascii="Roboto Condensed" w:hAnsi="Roboto Condensed"/>
          <w:b w:val="0"/>
          <w:color w:val="2A324B"/>
          <w:sz w:val="36"/>
        </w:rPr>
        <w:t>8. Migracje bazy danych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-  </w:t>
      </w:r>
      <w:r>
        <w:rPr>
          <w:rFonts w:ascii="Roboto Condensed Light" w:hAnsi="Roboto Condensed Light"/>
          <w:b w:val="0"/>
          <w:color w:val="2A324B"/>
          <w:sz w:val="22"/>
        </w:rPr>
        <w:t>Migracje trzymane są w katalogu supabase/migrations wraz z plikiem seed.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-  </w:t>
      </w:r>
      <w:r>
        <w:rPr>
          <w:rFonts w:ascii="Roboto Condensed Light" w:hAnsi="Roboto Condensed Light"/>
          <w:b w:val="0"/>
          <w:color w:val="2A324B"/>
          <w:sz w:val="22"/>
        </w:rPr>
        <w:t>Lokalnie stosuje się reset bazy i generowanie typów. Na produkcji migracje aplikuje się przez CLI Supabase lub psql (pooler sesyjny).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-  </w:t>
      </w:r>
      <w:r>
        <w:rPr>
          <w:rFonts w:ascii="Roboto Condensed Light" w:hAnsi="Roboto Condensed Light"/>
          <w:b w:val="0"/>
          <w:color w:val="2A324B"/>
          <w:sz w:val="22"/>
        </w:rPr>
        <w:t>Przed każdą migracją produkcyjną wykonywany jest backup bazy, a zmiana jest weryfikowana. Procedurę opisuje docs/RUNBOOK_MIGRATION_ROLLBACK.md.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-  </w:t>
      </w:r>
      <w:r>
        <w:rPr>
          <w:rFonts w:ascii="Roboto Condensed Light" w:hAnsi="Roboto Condensed Light"/>
          <w:b w:val="0"/>
          <w:color w:val="2A324B"/>
          <w:sz w:val="22"/>
        </w:rPr>
        <w:t>Parametry cennika (segmenty i konfiguracja) można zmieniać bez wdrożenia, bezpośrednio w panelu Supabase.</w:t>
      </w:r>
    </w:p>
    <w:p>
      <w:pPr>
        <w:jc w:val="left"/>
        <w:spacing w:before="160" w:after="40"/>
      </w:pPr>
      <w:r>
        <w:rPr>
          <w:rFonts w:ascii="Roboto Condensed" w:hAnsi="Roboto Condensed"/>
          <w:b w:val="0"/>
          <w:color w:val="2A324B"/>
          <w:sz w:val="36"/>
        </w:rPr>
        <w:t>9. Wypełnianie oferty z transkrypcji (AI)</w:t>
      </w:r>
    </w:p>
    <w:p>
      <w:pPr>
        <w:jc w:val="both"/>
        <w:spacing w:after="120" w:before="0"/>
      </w:pPr>
      <w:r>
        <w:rPr>
          <w:rFonts w:ascii="Roboto Condensed Light" w:hAnsi="Roboto Condensed Light"/>
          <w:b w:val="0"/>
          <w:color w:val="2A324B"/>
          <w:sz w:val="22"/>
        </w:rPr>
        <w:t>Endpoint POST /api/admin/offer-draft (dostęp tylko dla roli admin) przyjmuje wklejony tekst w formacie JSON lub plik przesłany jako multipart. Plik .docx jest parsowany w pamięci przez bibliotekę mammoth, a plik .txt czytany jako UTF-8. Model Claude (Haiku) z wymuszonym wywołaniem narzędzia zwraca ustrukturyzowany zestaw pól szkicu. Sugerowany program dopasowywany jest wyłącznie do realnych identyfikatorów z biblioteki alt_programs. Wynik modelu normalizuje moduł lib/offers/draft.ts, pokryty testami.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-  </w:t>
      </w:r>
      <w:r>
        <w:rPr>
          <w:rFonts w:ascii="Roboto Condensed Light" w:hAnsi="Roboto Condensed Light"/>
          <w:b w:val="0"/>
          <w:color w:val="2A324B"/>
          <w:sz w:val="22"/>
        </w:rPr>
        <w:t>Zakres wejścia: minimum kilkanaście znaków; analizowany jest fragment do 50 000 znaków, nadmiar jest obcinany z ostrzeżeniem.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-  </w:t>
      </w:r>
      <w:r>
        <w:rPr>
          <w:rFonts w:ascii="Roboto Condensed Light" w:hAnsi="Roboto Condensed Light"/>
          <w:b w:val="0"/>
          <w:color w:val="2A324B"/>
          <w:sz w:val="22"/>
        </w:rPr>
        <w:t>RODO: transkryptu ani pliku nie zapisujemy - przetwarzanie odbywa się w pamięci, nic nie trafia do bazy ani do audit_log.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-  </w:t>
      </w:r>
      <w:r>
        <w:rPr>
          <w:rFonts w:ascii="Roboto Condensed Light" w:hAnsi="Roboto Condensed Light"/>
          <w:b w:val="0"/>
          <w:color w:val="2A324B"/>
          <w:sz w:val="22"/>
        </w:rPr>
        <w:t>Uzupełniane są wyłącznie puste pola formularza; wartość projektu proponowana jest tylko wtedy, gdy padła wprost, i zawsze oznaczana do potwierdzenia.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-  </w:t>
      </w:r>
      <w:r>
        <w:rPr>
          <w:rFonts w:ascii="Roboto Condensed Light" w:hAnsi="Roboto Condensed Light"/>
          <w:b w:val="0"/>
          <w:color w:val="2A324B"/>
          <w:sz w:val="22"/>
        </w:rPr>
        <w:t>Funkcja wymaga zmiennej ANTHROPIC_API_KEY (dev: .env.local, prod: Vercel). Bez klucza endpoint zwraca kod 503.</w:t>
      </w:r>
    </w:p>
    <w:p>
      <w:pPr>
        <w:jc w:val="left"/>
        <w:spacing w:before="160" w:after="40"/>
      </w:pPr>
      <w:r>
        <w:rPr>
          <w:rFonts w:ascii="Roboto Condensed" w:hAnsi="Roboto Condensed"/>
          <w:b w:val="0"/>
          <w:color w:val="2A324B"/>
          <w:sz w:val="36"/>
        </w:rPr>
        <w:t>10. Tryb pożyczkowy</w:t>
      </w:r>
    </w:p>
    <w:p>
      <w:pPr>
        <w:jc w:val="both"/>
        <w:spacing w:after="120" w:before="0"/>
      </w:pPr>
      <w:r>
        <w:rPr>
          <w:rFonts w:ascii="Roboto Condensed Light" w:hAnsi="Roboto Condensed Light"/>
          <w:b w:val="0"/>
          <w:color w:val="2A324B"/>
          <w:sz w:val="22"/>
        </w:rPr>
        <w:t>Typ oferty rozstrzyga kolumna offer_kind w tabeli offers: grant oznacza dotację, loan pożyczkę. Wartością domyślną jest grant, więc wszystkie wcześniejsze oferty zachowują dotychczasowe zachowanie. Dla pożyczki intensywność dofinansowania nie ma zastosowania i pozostaje pusta, a kwota pożyczki zapisywana jest w tej samej kolumnie co wartość projektu.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-  </w:t>
      </w:r>
      <w:r>
        <w:rPr>
          <w:rFonts w:ascii="Roboto Condensed Light" w:hAnsi="Roboto Condensed Light"/>
          <w:b w:val="0"/>
          <w:color w:val="2A324B"/>
          <w:sz w:val="22"/>
        </w:rPr>
        <w:t>Cennik pożyczki to opłata wstępna powiększona o procent od kwoty pożyczki. Domyślnie 4000 zł i 1,5 procent, obie wartości edytowalne przy każdej ofercie.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-  </w:t>
      </w:r>
      <w:r>
        <w:rPr>
          <w:rFonts w:ascii="Roboto Condensed Light" w:hAnsi="Roboto Condensed Light"/>
          <w:b w:val="0"/>
          <w:color w:val="2A324B"/>
          <w:sz w:val="22"/>
        </w:rPr>
        <w:t>Stawki oraz parametry produktu (oprocentowanie, okres spłaty, karencja, prowizja, wkład własny) zapisywane są przy ofercie, w polu treści. Nie ma osobnego katalogu produktów pożyczkowych, bo warunki funduszy zmieniają się między naborami.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-  </w:t>
      </w:r>
      <w:r>
        <w:rPr>
          <w:rFonts w:ascii="Roboto Condensed Light" w:hAnsi="Roboto Condensed Light"/>
          <w:b w:val="0"/>
          <w:color w:val="2A324B"/>
          <w:sz w:val="22"/>
        </w:rPr>
        <w:t>Zamrożony snapshot cennika ma dla pożyczki własny kształt: kwota pożyczki, opłata wstępna, stawka i kwota wynagrodzenia wynikowego oraz suma.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-  </w:t>
      </w:r>
      <w:r>
        <w:rPr>
          <w:rFonts w:ascii="Roboto Condensed Light" w:hAnsi="Roboto Condensed Light"/>
          <w:b w:val="0"/>
          <w:color w:val="2A324B"/>
          <w:sz w:val="22"/>
        </w:rPr>
        <w:t>Przy akceptacji oferty pożyczkowej zapisywana jest pełna kwota wynagrodzenia, bez wyboru wariantu.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-  </w:t>
      </w:r>
      <w:r>
        <w:rPr>
          <w:rFonts w:ascii="Roboto Condensed Light" w:hAnsi="Roboto Condensed Light"/>
          <w:b w:val="0"/>
          <w:color w:val="2A324B"/>
          <w:sz w:val="22"/>
        </w:rPr>
        <w:t>Oferty pożyczkowe nie są wliczane do wskaźników sprzedaży i prognozy na pulpicie - te liczą wyłącznie projekty dotacyjne.</w:t>
      </w:r>
    </w:p>
    <w:p>
      <w:pPr>
        <w:jc w:val="left"/>
        <w:spacing w:before="160" w:after="40"/>
      </w:pPr>
      <w:r>
        <w:rPr>
          <w:rFonts w:ascii="Roboto Condensed" w:hAnsi="Roboto Condensed"/>
          <w:b w:val="0"/>
          <w:color w:val="2A324B"/>
          <w:sz w:val="36"/>
        </w:rPr>
        <w:t>Gdzie szukać więcej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-  </w:t>
      </w:r>
      <w:r>
        <w:rPr>
          <w:rFonts w:ascii="Roboto Condensed Light" w:hAnsi="Roboto Condensed Light"/>
          <w:b w:val="0"/>
          <w:color w:val="2A324B"/>
          <w:sz w:val="22"/>
        </w:rPr>
        <w:t>docs/BACKEND_SPEC.md - pełna specyfikacja techniczna (model danych, API, bezpieczeństwo).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-  </w:t>
      </w:r>
      <w:r>
        <w:rPr>
          <w:rFonts w:ascii="Roboto Condensed Light" w:hAnsi="Roboto Condensed Light"/>
          <w:b w:val="0"/>
          <w:color w:val="2A324B"/>
          <w:sz w:val="22"/>
        </w:rPr>
        <w:t>docs/TECH_ADMIN_MANUAL.md - podręcznik administratora technicznego i rozwiązywanie problemów.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-  </w:t>
      </w:r>
      <w:r>
        <w:rPr>
          <w:rFonts w:ascii="Roboto Condensed Light" w:hAnsi="Roboto Condensed Light"/>
          <w:b w:val="0"/>
          <w:color w:val="2A324B"/>
          <w:sz w:val="22"/>
        </w:rPr>
        <w:t>docs/RUNBOOK_MIGRATION_ROLLBACK.md - procedura migracji i wycofywania zmian bazy.</w:t>
      </w:r>
    </w:p>
    <w:p>
      <w:pPr>
        <w:jc w:val="both"/>
        <w:spacing w:after="80" w:before="0"/>
        <w:ind w:left="360" w:hanging="360"/>
      </w:pPr>
      <w:r>
        <w:rPr>
          <w:rFonts w:ascii="Roboto Condensed Light" w:hAnsi="Roboto Condensed Light"/>
          <w:b w:val="0"/>
          <w:color w:val="2A324B"/>
          <w:sz w:val="22"/>
        </w:rPr>
        <w:t xml:space="preserve">-  </w:t>
      </w:r>
      <w:r>
        <w:rPr>
          <w:rFonts w:ascii="Roboto Condensed Light" w:hAnsi="Roboto Condensed Light"/>
          <w:b w:val="0"/>
          <w:color w:val="2A324B"/>
          <w:sz w:val="22"/>
        </w:rPr>
        <w:t>Repozytorium: github.com/tkalla79/k2biznes-oferta.</w:t>
      </w:r>
    </w:p>
    <w:sectPr w:rsidR="00FC693F" w:rsidRPr="0006063C" w:rsidSect="00034616">
      <w:footerReference w:type="default" r:id="rId10"/>
      <w:pgSz w:w="12240" w:h="15840"/>
      <w:pgMar w:top="1417" w:right="1417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703"/>
      <w:gridCol w:w="4703"/>
    </w:tblGrid>
    <w:tr>
      <w:tc>
        <w:tcPr>
          <w:tcW w:type="dxa" w:w="8607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before="0" w:after="0"/>
          </w:pPr>
          <w:r>
            <w:drawing xmlns:a="http://schemas.openxmlformats.org/drawingml/2006/main" xmlns:pic="http://schemas.openxmlformats.org/drawingml/2006/picture">
              <wp:inline distT="0" distB="0" distL="0" distR="0">
                <wp:extent cx="5465746" cy="131252"/>
                <wp:effectExtent l="0" t="0" r="0" b="0"/>
                <wp:docPr id="2594" name="StopkaK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2594" name="StopkaK2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ob xmlns:asvg="http://schemas.microsoft.com/office/drawing/2016/SVG/main" r:embed="rId1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65746" cy="1312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99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right"/>
          </w:pPr>
          <w:r>
            <w:rPr>
              <w:rFonts w:ascii="Roboto Condensed" w:hAnsi="Roboto Condensed"/>
              <w:color w:val="CE181A"/>
              <w:sz w:val="20"/>
            </w:rPr>
            <w:fldChar w:fldCharType="begin"/>
            <w:instrText> PAGE </w:instrTex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themeFontLang w:val="pl-PL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stopka_e860cd.svg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stopka_e761a8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Kalla</dc:creator>
  <cp:keywords/>
  <dc:description>generated by python-docx</dc:description>
  <cp:lastModifiedBy>Tomasz Kalla</cp:lastModifiedBy>
  <cp:revision>9</cp:revision>
  <dcterms:created xsi:type="dcterms:W3CDTF">2026-07-06T00:38:47Z</dcterms:created>
  <dcterms:modified xsi:type="dcterms:W3CDTF">2026-08-29T07:30:00Z</dcterms:modified>
  <cp:category/>
</cp:coreProperties>
</file>