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stopka_e761a8.svg" ContentType="image/svg+xml"/>
  <Override PartName="/word/media/stopka_e860cd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406" w:type="dxa"/>
        <w:tblStyle w:val="TableGrid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 w:sz="0" w:color="FFFFFF"/>
              <w:bottom w:val="none" w:sz="0" w:color="FFFFFF"/>
              <w:right w:val="none" w:sz="0" w:color="FFFFFF"/>
              <w:left w:val="single" w:sz="36" w:color="CE181A"/>
            </w:tcBorders>
            <w:shd w:fill="FFFFFF" w:val="clear"/>
          </w:tcPr>
          <w:p>
            <w:pPr>
              <w:jc w:val="left"/>
              <w:spacing w:before="0" w:after="160"/>
            </w:pPr>
            <w:r>
              <w:rPr>
                <w:rFonts w:ascii="Roboto Condensed" w:hAnsi="Roboto Condensed"/>
                <w:b w:val="0"/>
                <w:color w:val="2A324B"/>
                <w:sz w:val="64"/>
              </w:rPr>
              <w:t>K2Biznes Oferta - podręcznik i architektura</w:t>
            </w:r>
          </w:p>
        </w:tc>
      </w:tr>
    </w:tbl>
    <w:p>
      <w:pPr>
        <w:spacing w:after="12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O tym dokumencie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K2Biznes Oferta to firmowa aplikacja do przygotowywania, wysyłania i akceptacji ofert doradczych dla klientów ubiegających się o dotacje. Konsultant tworzy ofertę w panelu, wysyła klientowi unikalny link, a klient przegląda ofertę i akceptuje wybrany wariant bez zakładania konta. Aplikacja działa pod adresem oferta.k2biznes.pl.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Dokument ma dwie warstwy. Część I to praktyczna instrukcja dla konsultantów i administratorów tworzących oferty - krok po kroku, prostym językiem. Część II opisuje architekturę systemu dla zespołu technicznego. Kanonem wiedzy technicznej pozostają pliki w repozytorium: docs/BACKEND_SPEC.md oraz docs/TECH_ADMIN_MANUAL.md.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Szybki start - od zera do wysłanej oferty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Najkrótsza droga do wysłania pierwszej oferty. Szczegóły każdego kroku opisuje Część 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1. </w:t>
      </w:r>
      <w:r>
        <w:rPr>
          <w:rFonts w:ascii="Roboto Condensed Light" w:hAnsi="Roboto Condensed Light"/>
          <w:b w:val="0"/>
          <w:color w:val="2A324B"/>
          <w:sz w:val="22"/>
        </w:rPr>
        <w:t>Zaloguj się na /auth/signin. Przy pierwszym logowaniu jako administrator skonfiguruj weryfikację dwuetapową.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2. </w:t>
      </w:r>
      <w:r>
        <w:rPr>
          <w:rFonts w:ascii="Roboto Condensed Light" w:hAnsi="Roboto Condensed Light"/>
          <w:b w:val="0"/>
          <w:color w:val="2A324B"/>
          <w:sz w:val="22"/>
        </w:rPr>
        <w:t>Wejdź w Oferty i kliknij Nowa oferta.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>3. Uzupełnij dane klienta (nazwa firmy jest wymagana). W sekcji „Programy wsparcia” dodaj z biblioteki program, który rekomendujesz, i zaznacz go jako rekomendowany - trafi do sekcji 02 oferty.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4. </w:t>
      </w:r>
      <w:r>
        <w:rPr>
          <w:rFonts w:ascii="Roboto Condensed Light" w:hAnsi="Roboto Condensed Light"/>
          <w:b w:val="0"/>
          <w:color w:val="2A324B"/>
          <w:sz w:val="22"/>
        </w:rPr>
        <w:t>Wpisz wartość projektu i ustaw intensywność. Cennik przeliczy się automatycznie. Zaznacz oferowane warianty i wskaż rekomendowany.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5. </w:t>
      </w:r>
      <w:r>
        <w:rPr>
          <w:rFonts w:ascii="Roboto Condensed Light" w:hAnsi="Roboto Condensed Light"/>
          <w:b w:val="0"/>
          <w:color w:val="2A324B"/>
          <w:sz w:val="22"/>
        </w:rPr>
        <w:t>Opcjonalnie dostosuj treści, wybierz osobę kontaktową i case study.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6. </w:t>
      </w:r>
      <w:r>
        <w:rPr>
          <w:rFonts w:ascii="Roboto Condensed Light" w:hAnsi="Roboto Condensed Light"/>
          <w:b w:val="0"/>
          <w:color w:val="2A324B"/>
          <w:sz w:val="22"/>
        </w:rPr>
        <w:t>Kliknij Stwórz ofertę. Powstanie wersja robocza. Sprawdź wygląd przyciskiem Podgląd.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7. </w:t>
      </w:r>
      <w:r>
        <w:rPr>
          <w:rFonts w:ascii="Roboto Condensed Light" w:hAnsi="Roboto Condensed Light"/>
          <w:b w:val="0"/>
          <w:color w:val="2A324B"/>
          <w:sz w:val="22"/>
        </w:rPr>
        <w:t>Kliknij Wyślij ofertę i podaj adres email klienta. Klient dostanie link, a Ty śledzisz otwarcia w zakładce Aktywność.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>Uwaga: Minimalny zestaw wymaganych pól to nazwa firmy, wartość projektu oraz jeden program wsparcia oznaczony jako rekomendowany. Pozostałe pola można uzupełnić później.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Mapa panelu (struktura systemu)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Diagram pokazuje, gdzie w panelu znajdziesz poszczególne funkcje. Moduły opisane jako super_admin są dostępne tylko dla właściciela systemu.</w:t>
      </w:r>
    </w:p>
    <w:p>
      <w:pPr>
        <w:jc w:val="center"/>
        <w:spacing w:before="80" w:after="160"/>
      </w:pPr>
      <w:r>
        <w:drawing xmlns:a="http://schemas.openxmlformats.org/drawingml/2006/main" xmlns:pic="http://schemas.openxmlformats.org/drawingml/2006/picture">
          <wp:inline distT="0" distB="0" distL="0" distR="0">
            <wp:extent cx="5375529" cy="5440686"/>
            <wp:effectExtent l="0" t="0" r="0" b="0"/>
            <wp:docPr id="6995" name="StopkaK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995" name="StopkaK2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ob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5529" cy="544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240" w:after="40"/>
      </w:pPr>
      <w:r>
        <w:rPr>
          <w:rFonts w:ascii="Roboto Condensed" w:hAnsi="Roboto Condensed"/>
          <w:b w:val="0"/>
          <w:color w:val="2A324B"/>
          <w:sz w:val="64"/>
        </w:rPr>
        <w:t>Część I - Tworzenie ofert (dla konsultantów)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1. Logowanie i role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Do panelu logujesz się na stronie /auth/signin - hasłem albo linkiem magicznym. Reset hasła odbywa się przez /auth/forgot-password. Konta zakłada wyłącznie administrator z uprawnieniem super_admin (moduł Użytkownicy), nie ma samodzielnej rejestracji.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 systemie działają trzy role: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super_admin - pełny dostęp, zarządzanie użytkownikami, ustawienia firmowe, wszystkie oferty.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admin - wszystkie oferty, katalogi i dashboard, bez zarządzania użytkownikami i ustawieniami firmowymi.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consultant - widzi i edytuje wyłącznie własne oferty (utworzone przez siebie lub do niego przypisane).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Weryfikacja dwuetapowa (kod z aplikacji, TOTP) jest wymagana dla ról admin i super_admin - przy pierwszym logowaniu system poprowadzi Cię przez jej konfigurację. Dla roli consultant jest opcjonalna. Sesja administratora wygasa po 12 godzinach, konsultanta po 30 dniach.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2. Panel i lista ofert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Po zalogowaniu głównym miejscem pracy jest moduł Oferty (/admin/offers). Nad listą znajduje się przycisk Nowa oferta, który otwiera pusty formularz. Administratorzy mają dodatkowo pulpit /admin ze wskaźnikami sprzedaży: konwersja, wyniki per konsultant, prognoza i symulator wartości oczekiwanej.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Lista ofert pokazuje w kolumnach: numer i klienta, program, wartość projektu, status, wynagrodzenie, liczbę wyświetleń oraz daty. Status oferty przyjmuje jedną z wartości: wersja robocza, wysłana, otwarta, zaakceptowana, odrzucona, wygasła. Dostępne są filtry po statusie, nazwie klienta i programie oraz sortowanie. Jeśli wysyłka maila się nie powiodła, przy ofercie pojawia się czerwony znacznik informujący, że wiadomość nie dotarła. Z poziomu wiersza przejdziesz do Aktywności, Edycji i Podglądu oferty.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3. Formularz oferty krok po kroku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Formularz jest podzielony na sekcje wypełniane od góry do dołu; ich kolejność odpowiada kolejności sekcji w gotowej ofercie. Pola oznaczone gwiazdką są wymagane, reszta jest opcjonalna.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3.1 Klient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 firmy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Nazwa klienta, do 200 znaków. Pojawia się w nagłówku oferty.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NIP (10 cyfr)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Jeśli podany, musi mieć dokładnie 10 cyfr.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Branża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Pole opisowe.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Wielkość firmy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Lista: mikro, mała, średnia, duża.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Województwo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16 województw oraz opcja ogólnopolska.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Ważność oferty (do kiedy)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Data wygaśnięcia linku. Puste oznacza bezterminowo. Dostępne w trybie edycji. Po tej dacie link przestaje działać, a klient widzi informację o wygaśnięciu.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3.2 Programy wsparcia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Programy wsparcia (biblioteka)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Rozwijana lista z katalogu programów wsparcia. Dodane pozycje tworzą listę; każdą można usunąć.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Rekomendowany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Znacznik przy jednej pozycji. Rekomendowany program pojawia się w sekcji 02 jako wyróżniony kafelek. Wymagany co najmniej jeden.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Nazwa, termin, opis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Dane każdej pozycji pobierane z biblioteki; służą do prezentacji programu w ofercie.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3.3 Finanse projektu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Wartość projektu (PLN)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netto projektu. Podstawa wyliczenia cennika.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Intensywność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Suwak od 10 do 95 procent. Domyślnie 70 procent.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Liczba projektów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Od 1 do 5. Więcej projektów uruchamia rabat.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Klient powracający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Zaznaczenie daje rabat 20 procent na opłatę wstępną.</w:t>
            </w:r>
          </w:p>
        </w:tc>
      </w:tr>
    </w:tbl>
    <w:p>
      <w:pPr>
        <w:spacing w:after="80"/>
      </w:pP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Każda zmiana finansów uruchamia podgląd cennika na żywo, aktualizowany po krótkiej chwili od ostatniej edycji.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3.4 Pricing (podgląd na żywo)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Cennik działa w dwóch trybach. Auto-calc liczy wartości automatycznie z konfiguracji segmentów. Tryb ręczny (negocjacje) pozwala nadpisać kwoty i jest przydatny przy indywidualnych ustaleniach - po przełączeniu pola startują od wartości wyliczonych automatycznie.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Tabela wariantów zawiera kolumny: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Kolumna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Znaczenie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Opłata wstępna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płatna na starcie współpracy.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SF procent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Stawka wynagrodzenia od sukcesu (success fee).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Wynagrodzenie wynikowe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success fee wyliczona z dofinansowania.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Razem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Suma opłaty wstępnej i wynagrodzenia wynikowego.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Mies. (exec)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Miesięczna kwota za obsługę i rozliczanie projektu.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EV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Wartość oczekiwana - prognozowany przychód z oferty.</w:t>
            </w:r>
          </w:p>
        </w:tc>
      </w:tr>
    </w:tbl>
    <w:p>
      <w:pPr>
        <w:spacing w:after="80"/>
      </w:pP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Zaznaczenie przy wariancie oznacza, że wariant jest oferowany klientowi. Musi być zaznaczony co najmniej jeden.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Pole wyboru Wariant rekomendowany wskazuje wariant polecany klientowi (oznaczony gwiazdką). Musi należeć do oferowanych.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 trybie ręcznym możesz edytować opłatę wstępną, stawkę SF i kwotę miesięczną oraz ułożyć harmonogram płatności per wariant.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3.5 Wynagrodzenie wykonawcze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Wszystkie pola są opcjonalne. Puste oznacza użycie tekstu domyślnego.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Kicker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Mała etykieta nad tytułem.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Tytuł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Nagłówek bloku wynagrodzenia wykonawczego.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Opis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Treść pod tytułem.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Kwota miesięczna (PLN)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Puste oznacza użycie kwoty z wybranego wariantu.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3.6 Treść w ofercie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Wszystkie pola są opcjonalne, a puste wracają do treści domyślnej.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Zdiagnozowane potrzeby (lewa kolumna)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Krótki opis realnie zdiagnozowanych potrzeb klienta. Sekcja 01 Wprowadzenie.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Podstawa rekomendacji (prawa kolumna)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Merytoryczne uzasadnienie rekomendacji, do 1500 znaków. Sekcja 01, układ dwukolumnowy.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Opis rekomendowanego programu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Edytor tekstu sformatowanego. Puste oznacza opis z biblioteki. Sekcja 02.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Założenia oferty (punktory)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punktów w kafelku sekcji 04 (Model wynagrodzenia).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Uwagi do wyceny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Wyróżniony box przy wynagrodzeniu wykonawczym.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3.7 Załączniki i właściciel oferty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Osoba kontaktowa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z katalogu osób kontaktowych. Pojawia się w ofercie.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Case study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zrealizowanego projektu z katalogu, pokazywany w sekcji 06. Jeśli projekt ma zapisany link, w ofercie pojawia się odnośnik „Zobacz pełny opis projektu”.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Przypisany konsultant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Widoczne dla administratora. Zmienia, kto widzi i edytuje ofertę. Autor się nie zmienia.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4. Zapis: wersja robocza i szablon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Stwórz ofertę lub Zapisz zmiany zapisuje ofertę. Nowa oferta powstaje jako wersja robocza, po zapisie przechodzisz do edytora.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Zapisz jako szablon zapisuje bieżące ustawienia (program, warianty, treści) bez danych klienta, do wykorzystania w kolejnych ofertach. To nie jest publikacja oferty, tylko wzorzec.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Edycja oferty już wysłanej pokaże ostrzeżenie - zmiana finansów wymusi ponowne przeliczenie cennika i odświeżenie pliku PDF.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5. Akcje na ofercie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Akcja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Co robi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Wyślij ofertę / Wyślij ponownie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Otwiera okno z adresem odbiorcy, tematem i wiadomością. Wysyła klientowi maila z linkiem, ustawia status na wysłana. Jeśli mail nie dotrze, błąd pokazuje się od razu.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Przelicz pricing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Ponownie wylicza cennik. Przy ofercie innej niż robocza prosi o potwierdzenie.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Skopiuj link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Dla wersji roboczej kopiuje link podglądu (działa tylko dla zalogowanego), dla wysłanej link publiczny dla klienta.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Podgląd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Otwiera ofertę tak, jak zobaczy ją klient.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Usuń (soft-delete)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Tylko administrator. Oferta znika z list, ale zostaje w bazie na potrzeby zgodności z RODO.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Zmiana konsultanta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Przez sekcję Właściciel oferty w formularzu.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6. Co widzi klient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Klient otwiera ofertę pod linkiem i przewija osiem numerowanych sekcji. Na górze widzi numer oferty, datę, swoją nazwę i program, a jeśli ustawiono termin ważności - datę do której oferta obowiązuje.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821"/>
        <w:gridCol w:w="6584"/>
      </w:tblGrid>
      <w:tr>
        <w:tc>
          <w:tcPr>
            <w:tcW w:type="dxa" w:w="2821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Sekcja</w:t>
            </w:r>
          </w:p>
        </w:tc>
        <w:tc>
          <w:tcPr>
            <w:tcW w:type="dxa" w:w="658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Zawartość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01 Wprowadzenie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Zdiagnozowane potrzeby klienta i merytoryczna podstawa rekomendacji w układzie dwukolumnowym.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02 Proponowane rozwiązanie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Rekomendowany program jako wyróżniony kafelek wraz z opisem; pod spodem pozostałe programy wsparcia.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03 Zakres usługi doradczej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Rozwijana lista zadań na etapie przygotowania i obsługi.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04 Model wynagrodzenia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Założenia, tabela wariantów, wynagrodzenie wykonawcze, ewentualny box z rabatem.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05 Schemat procesu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Oś czasu współpracy.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06 Dlaczego K2Biznes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Wartości firmy, statystyki oraz case study jako dowód.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07 FAQ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Najczęstsze pytania i odpowiedzi.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08 Akceptacja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wariantu, dane osoby akceptującej, komentarz i wymagana zgoda RODO.</w:t>
            </w:r>
          </w:p>
        </w:tc>
      </w:tr>
    </w:tbl>
    <w:p>
      <w:pPr>
        <w:spacing w:after="80"/>
      </w:pP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Klient akceptuje lub odrzuca ofertę wprost na stronie. Zgoda RODO przy akceptacji jest obowiązkowa. Po decyzji na górze pojawia się baner ze statusem oferty.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7. Dashboard aktywności oferty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Dla każdej wysłanej oferty dostępny jest podgląd aktywności - widać, jak klient korzysta z oferty: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Liczba otwarć oraz data pierwszego i ostatniego otwarcia.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Postęp czytania - które z ośmiu sekcji klient doczytał.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Zainteresowanie wariantami - najechania i podświetlenia wariantów.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Pobrania pliku PDF.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Oś zdarzeń - chronologiczny zapis aktywności klienta i działań zespołu.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8. Ustawienia firmowe i katalogi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Treści wspólne dla wszystkich ofert utrzymuje się w osobnych modułach, aby nie powtarzać ich przy każdej ofercie: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257"/>
        <w:gridCol w:w="2445"/>
        <w:gridCol w:w="4703"/>
      </w:tblGrid>
      <w:tr>
        <w:tc>
          <w:tcPr>
            <w:tcW w:type="dxa" w:w="225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Moduł</w:t>
            </w:r>
          </w:p>
        </w:tc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Ścieżka</w:t>
            </w:r>
          </w:p>
        </w:tc>
        <w:tc>
          <w:tcPr>
            <w:tcW w:type="dxa" w:w="470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Do czego służy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Ustawienia firmowe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/admin/ustawienia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Statystyki firmowe (kwota dofinansowania, liczba projektów, rok startu) i test wysyłki email. Zmiana propaguje na wszystkie oferty. Rola super_admin.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Case studies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/admin/case-studies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Zrealizowane projekty pokazywane klientom.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Osoby kontaktowe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/admin/contact-persons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Dane konsultantów w ofertach.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Programy wsparcia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/admin/alt-programs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Biblioteka programów wsparcia. Pozycja oznaczona jako rekomendowana trafia do sekcji 02 oferty. Zastąpiła dawny katalog „Programy”.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Szablony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/admin/templates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Zapisane wzorce ofert.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FAQ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/admin/faq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Globalne pytania i odpowiedzi.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Użytkownicy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/admin/users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Konta i role. Rola super_admin.</w:t>
            </w:r>
          </w:p>
        </w:tc>
      </w:tr>
    </w:tbl>
    <w:p>
      <w:pPr>
        <w:spacing w:after="80"/>
      </w:pPr>
    </w:p>
    <w:p>
      <w:pPr>
        <w:jc w:val="left"/>
        <w:spacing w:before="240" w:after="40"/>
      </w:pPr>
      <w:r>
        <w:rPr>
          <w:rFonts w:ascii="Roboto Condensed" w:hAnsi="Roboto Condensed"/>
          <w:b w:val="0"/>
          <w:color w:val="2A324B"/>
          <w:sz w:val="64"/>
        </w:rPr>
        <w:t>Część II - Architektura systemu (dla zespołu technicznego)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1. Stack technologiczny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33"/>
        <w:gridCol w:w="6772"/>
      </w:tblGrid>
      <w:tr>
        <w:tc>
          <w:tcPr>
            <w:tcW w:type="dxa" w:w="263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Warstwa</w:t>
            </w:r>
          </w:p>
        </w:tc>
        <w:tc>
          <w:tcPr>
            <w:tcW w:type="dxa" w:w="6772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Technologia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Frontend i backend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Next.js 14 (App Router), TypeScript, walidacja Zod. Monorepo (apps/web, packages, supabase).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Baza, autoryzacja, pliki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Supabase Cloud - PostgreSQL 17, region eu-central-1. Autoryzacja PKCE, Storage, RLS na każdej tabeli.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Hosting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Vercel, domena oferta.k2biznes.pl, automatyczny deploy z gałęzi main.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Limity zapytań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Upstash Redis w warstwie pośredniej (middleware).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Email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Resend, domena k2biznes.pl z podpisem DKIM.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Monitoring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Sentry (region UE) oraz UptimeRobot pingujący /api/health co 5 minut.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2. Model danych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Najważniejsze tabele bazy: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198"/>
        <w:gridCol w:w="6207"/>
      </w:tblGrid>
      <w:tr>
        <w:tc>
          <w:tcPr>
            <w:tcW w:type="dxa" w:w="3198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Tabela</w:t>
            </w:r>
          </w:p>
        </w:tc>
        <w:tc>
          <w:tcPr>
            <w:tcW w:type="dxa" w:w="620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Rola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profiles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Użytkownicy wewnętrzni i ich role. Klienci nie mają kont.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Rdzeń systemu: dane oferty, status, token klienta, zamrożony snapshot cennika, wybrane warianty, treści, pola akceptacji, tracking.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offer_events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Log aktywności i audytu (otwarcia, przewijanie, akceptacja, wysyłki maili).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programs, case_studies, contact_persons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Katalogi słownikowe wykorzystywane w ofertach.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pricing_segments, pricing_config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Konfiguracja cennika: progi segmentów i parametry (rabaty, minima).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alt_programs, offer_templates, app_settings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Programy zapasowe, szablony ofert i ustawienia firmowe (klucz-wartość).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faq_items, gdpr_clauses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Globalne FAQ i wersjonowane klauzule RODO.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webhook_jobs, audit_log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Kolejka integracji CRM oraz dziennik audytu.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3. Przepływ oferty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1. </w:t>
      </w:r>
      <w:r>
        <w:rPr>
          <w:rFonts w:ascii="Roboto Condensed Light" w:hAnsi="Roboto Condensed Light"/>
          <w:b w:val="0"/>
          <w:color w:val="2A324B"/>
          <w:sz w:val="22"/>
        </w:rPr>
        <w:t>Utworzenie: walidacja danych, wygenerowanie numeru oferty, wyliczenie cennika i zapis snapshotu. Oferta powstaje jako wersja robocza.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2. </w:t>
      </w:r>
      <w:r>
        <w:rPr>
          <w:rFonts w:ascii="Roboto Condensed Light" w:hAnsi="Roboto Condensed Light"/>
          <w:b w:val="0"/>
          <w:color w:val="2A324B"/>
          <w:sz w:val="22"/>
        </w:rPr>
        <w:t>Wysyłka: zmiana statusu na wysłana, wysłanie maila do klienta z linkiem, zapis zdarzenia i ewentualne zakolejkowanie integracji CRM.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3. </w:t>
      </w:r>
      <w:r>
        <w:rPr>
          <w:rFonts w:ascii="Roboto Condensed Light" w:hAnsi="Roboto Condensed Light"/>
          <w:b w:val="0"/>
          <w:color w:val="2A324B"/>
          <w:sz w:val="22"/>
        </w:rPr>
        <w:t>Widok klienta: strona renderowana po stronie serwera na podstawie tokenu. Wygasły link zwraca kod 410, wersja robocza jest niedostępna publicznie. Aktywność klienta zapisywana jest jako zdarzenia.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4. </w:t>
      </w:r>
      <w:r>
        <w:rPr>
          <w:rFonts w:ascii="Roboto Condensed Light" w:hAnsi="Roboto Condensed Light"/>
          <w:b w:val="0"/>
          <w:color w:val="2A324B"/>
          <w:sz w:val="22"/>
        </w:rPr>
        <w:t>Akceptacja lub odrzucenie: walidacja statusu, wariantu i wersji klauzuli RODO, blokada podwójnej akceptacji, zapis decyzji, powiadomienie konsultanta mailem oraz zakolejkowanie zdarzenia do CRM.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4. Role i bezpieczeństwo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Trzy role (super_admin, admin, consultant) egzekwowane przez RLS na wszystkich tabelach.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Konsultant widzi wyłącznie oferty utworzone przez siebie lub do niego przypisane. Administratorzy widzą wszystkie.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Rola jest zapisana w profilu i w tokenie sesji. Zmiana roli wymaga aktualizacji obu miejsc oraz wylogowania sesji.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Weryfikacja dwuetapowa wymagana dla administratorów. Trigger bazy blokuje samodzielne podniesienie uprawnień.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Limity zapytań w warstwie pośredniej: 100 na minutę dla ścieżek publicznych, 1000 na minutę dla pozostałych.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Dostęp klienta wyłącznie przez losowy token oferty (bez konta). Ścieżki publiczne korzystają z uprawnień serwera, a reguły RLS domyślnie blokują dostęp anonimowy.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5. Silnik cenowy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Cennik wyliczany jest z konfiguracji, a nie zapisywany na sztywno w kodzie: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Segment dobierany jest po wartości dofinansowania (wartość projektu pomnożona przez intensywność).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Opłata wstępna wynika z segmentu, pomniejszana o rabat lojalnościowy (klient powracający) i rabat za wiele projektów, z dolnym progiem kwotowym.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Wynagrodzenie od sukcesu to stawka procentowa segmentu z dolnym progiem kwotowym. Suma daje wartość wariantu.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Warianty różnią się harmonogramem płatności. Wartość oczekiwana uwzględnia prawdopodobieństwo sukcesu i obsługę miesięczną.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Snapshot cennika jest zamrażany przy tworzeniu i edycji oferty. Ponowne przeliczenie następuje wyłącznie na żądanie.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6. Email i generowanie PDF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Wysyłka maili ma jeden punkt wejścia i trzy tryby: lokalny serwer SMTP (development), Resend (produkcja) oraz zapis do logu, gdy żaden nie jest skonfigurowany.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Nadawcą jest oferty@k2biznes.pl, a odpowiedzi trafiają do konsultanta prowadzącego. Szablony maili obejmują wysyłkę oferty oraz powiadomienia o akceptacji i odrzuceniu.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Każda nieudana wysyłka trafia do Sentry i zostawia znacznik przy ofercie na liście.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PDF generowany jest przez przeglądarkę bezgłową z widoku oferty w trybie druku i cache'owany w Storage. Na obecnym planie Vercel obowiązuje limit czasu funkcji, przez co generowanie PDF na produkcji bywa przerywane - dlatego link do PDF nie jest wystawiony w panelu. Docelowo rozwiązuje to wyższy plan Vercel.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7. Hosting i infrastruktura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33"/>
        <w:gridCol w:w="6772"/>
      </w:tblGrid>
      <w:tr>
        <w:tc>
          <w:tcPr>
            <w:tcW w:type="dxa" w:w="263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Element</w:t>
            </w:r>
          </w:p>
        </w:tc>
        <w:tc>
          <w:tcPr>
            <w:tcW w:type="dxa" w:w="6772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Szczegóły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Aplikacja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Vercel, automatyczny deploy z gałęzi main repozytorium GitHub.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Baza danych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Supabase Cloud, region eu-central-1. UptimeRobot zapobiega uśpieniu bazy.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Limity zapytań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Upstash Redis.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Monitoring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Sentry (region UE, maskowanie danych osobowych).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8. Migracje bazy danych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Migracje trzymane są w katalogu supabase/migrations wraz z plikiem seed.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Lokalnie stosuje się reset bazy i generowanie typów. Na produkcji migracje aplikuje się przez CLI Supabase lub psql (pooler sesyjny).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Przed każdą migracją produkcyjną wykonywany jest backup bazy, a zmiana jest weryfikowana. Procedurę opisuje docs/RUNBOOK_MIGRATION_ROLLBACK.md.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Parametry cennika (segmenty i konfiguracja) można zmieniać bez wdrożenia, bezpośrednio w panelu Supabase.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Gdzie szukać więcej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docs/BACKEND_SPEC.md - pełna specyfikacja techniczna (model danych, API, bezpieczeństwo).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docs/TECH_ADMIN_MANUAL.md - podręcznik administratora technicznego i rozwiązywanie problemów.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docs/RUNBOOK_MIGRATION_ROLLBACK.md - procedura migracji i wycofywania zmian bazy.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Repozytorium: github.com/tkalla79/k2biznes-oferta.</w:t>
      </w:r>
    </w:p>
    <w:sectPr w:rsidR="00FC693F" w:rsidRPr="0006063C" w:rsidSect="00034616">
      <w:footerReference w:type="default" r:id="rId10"/>
      <w:pgSz w:w="12240" w:h="15840"/>
      <w:pgMar w:top="1417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4703"/>
      <w:gridCol w:w="4703"/>
    </w:tblGrid>
    <w:tr>
      <w:tc>
        <w:tcPr>
          <w:tcW w:type="dxa" w:w="8607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  <w:spacing w:before="0" w:after="0"/>
          </w:pPr>
          <w:r>
            <w:drawing xmlns:a="http://schemas.openxmlformats.org/drawingml/2006/main" xmlns:pic="http://schemas.openxmlformats.org/drawingml/2006/picture">
              <wp:inline distT="0" distB="0" distL="0" distR="0">
                <wp:extent cx="5465746" cy="131252"/>
                <wp:effectExtent l="0" t="0" r="0" b="0"/>
                <wp:docPr id="2594" name="StopkaK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2594" name="StopkaK2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ob xmlns:asvg="http://schemas.microsoft.com/office/drawing/2016/SVG/main" r:embed="rId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65746" cy="1312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99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right"/>
          </w:pPr>
          <w:r>
            <w:rPr>
              <w:rFonts w:ascii="Roboto Condensed" w:hAnsi="Roboto Condensed"/>
              <w:color w:val="CE181A"/>
              <w:sz w:val="20"/>
            </w:rPr>
            <w:fldChar w:fldCharType="begin"/>
            <w:instrText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hemeFontLang w:val="pl-PL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stopka_e860cd.sv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stopka_e761a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Kalla</dc:creator>
  <cp:keywords/>
  <dc:description>generated by python-docx</dc:description>
  <cp:lastModifiedBy>Tomasz Kalla</cp:lastModifiedBy>
  <cp:revision>7</cp:revision>
  <dcterms:created xsi:type="dcterms:W3CDTF">2026-07-06T00:38:47Z</dcterms:created>
  <dcterms:modified xsi:type="dcterms:W3CDTF">2026-07-06T17:44:48Z</dcterms:modified>
  <cp:category/>
</cp:coreProperties>
</file>