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stopka_2fadd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406" w:type="dxa"/>
        <w:tblStyle w:val="TableGrid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 w:sz="0" w:color="FFFFFF"/>
              <w:bottom w:val="none" w:sz="0" w:color="FFFFFF"/>
              <w:right w:val="none" w:sz="0" w:color="FFFFFF"/>
              <w:left w:val="single" w:sz="36" w:color="CE181A"/>
            </w:tcBorders>
            <w:shd w:fill="FFFFFF" w:val="clear"/>
          </w:tcPr>
          <w:p>
            <w:pPr>
              <w:jc w:val="left"/>
              <w:spacing w:before="0" w:after="160"/>
            </w:pPr>
            <w:r>
              <w:rPr>
                <w:rFonts w:ascii="Roboto Condensed" w:hAnsi="Roboto Condensed"/>
                <w:b w:val="0"/>
                <w:color w:val="2A324B"/>
                <w:sz w:val="64"/>
              </w:rPr>
              <w:t>K2Biznes Oferta - podręcznik i architektura</w:t>
            </w:r>
          </w:p>
        </w:tc>
      </w:tr>
    </w:tbl>
    <w:p>
      <w:pPr>
        <w:spacing w:after="12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O tym dokumencie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K2Biznes Oferta to firmowa aplikacja do przygotowywania, wysyłania i akceptacji ofert doradczych dla klientów ubiegających się o dotacje. Konsultant tworzy ofertę w panelu, wysyła klientowi unikalny link, a klient przegląda ofertę i akceptuje wybrany wariant bez zakładania konta. Aplikacja działa pod adresem oferta.k2biznes.pl.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Dokument ma dwie warstwy. Część I to praktyczna instrukcja dla konsultantów i administratorów tworzących oferty - krok po kroku, prostym językiem. Część II opisuje architekturę systemu dla zespołu technicznego. Kanonem wiedzy technicznej pozostają pliki w repozytorium: docs/BACKEND_SPEC.md oraz docs/TECH_ADMIN_MANUAL.md.</w:t>
      </w:r>
    </w:p>
    <w:p>
      <w:pPr>
        <w:jc w:val="left"/>
        <w:spacing w:before="240" w:after="40"/>
      </w:pPr>
      <w:r>
        <w:rPr>
          <w:rFonts w:ascii="Roboto Condensed" w:hAnsi="Roboto Condensed"/>
          <w:b w:val="0"/>
          <w:color w:val="2A324B"/>
          <w:sz w:val="64"/>
        </w:rPr>
        <w:t>Część I - Tworzenie ofert (dla konsultantów)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1. Logowanie i role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Do panelu logujesz się na stronie /auth/signin - hasłem albo linkiem magicznym. Reset hasła odbywa się przez /auth/forgot-password. Konta zakłada wyłącznie administrator z uprawnieniem super_admin (moduł Użytkownicy), nie ma samodzielnej rejestracji.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 systemie działają trzy role: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super_admin - pełny dostęp, zarządzanie użytkownikami, ustawienia firmowe, wszystkie oferty.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admin - wszystkie oferty, katalogi i dashboard, bez zarządzania użytkownikami i ustawieniami firmowymi.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consultant - widzi i edytuje wyłącznie własne oferty (utworzone przez siebie lub do niego przypisane).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Weryfikacja dwuetapowa (kod z aplikacji, TOTP) jest wymagana dla ról admin i super_admin - przy pierwszym logowaniu system poprowadzi Cię przez jej konfigurację. Dla roli consultant jest opcjonalna. Sesja administratora wygasa po 12 godzinach, konsultanta po 30 dniach.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2. Panel i lista ofert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Po zalogowaniu głównym miejscem pracy jest moduł Oferty (/admin/offers). Nad listą znajduje się przycisk Nowa oferta, który otwiera pusty formularz. Administratorzy mają dodatkowo pulpit /admin ze wskaźnikami sprzedaży: konwersja, wyniki per konsultant, prognoza i symulator wartości oczekiwanej.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Lista ofert pokazuje w kolumnach: numer i klienta, program, wartość projektu, status, wynagrodzenie, liczbę wyświetleń oraz daty. Status oferty przyjmuje jedną z wartości: wersja robocza, wysłana, otwarta, zaakceptowana, odrzucona, wygasła. Dostępne są filtry po statusie, nazwie klienta i programie oraz sortowanie. Jeśli wysyłka maila się nie powiodła, przy ofercie pojawia się czerwony znacznik informujący, że wiadomość nie dotarła. Z poziomu wiersza przejdziesz do Aktywności, Edycji i Podglądu oferty.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3. Formularz oferty krok po kroku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Formularz jest podzielony na sekcje wypełniane od góry do dołu. Pola oznaczone gwiazdką są wymagane, pozostałe są opcjonalne i mają wartości domyślne. W trybie tworzenia nowej oferty, jeśli istnieją zapisane szablony, u góry pojawia się pole Zacznij od szablonu, które wypełnia wszystko poza danymi klienta.</w:t>
      </w: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3.1 Klient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5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Nazwa firmy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Nazwa klienta, do 200 znaków. Pojawia się w nagłówku oferty.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NIP (10 cyfr)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Jeśli podany, musi mieć dokładnie 10 cyfr.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Branża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Pole opisowe.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Wielkość firmy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Lista: mikro, mała, średnia, duża.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Województwo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 16 województw oraz opcja ogólnopolska.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Ważność oferty (do kiedy)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Data wygaśnięcia linku. Puste oznacza bezterminowo. Dostępne w trybie edycji. Po tej dacie link przestaje działać, a klient widzi informację o wygaśnięciu.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3.2 Program dotacyjny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5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Wybierz z katalogu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 programów pogrupowana tematycznie. Wybór uzupełnia automatycznie nazwę programu.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Nazwa programu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Etykieta programu widoczna w ofercie.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Nazwa własna (override)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Opcjonalne nadpisanie nazwy.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3.3 Finanse projektu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5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Wartość projektu (PLN)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netto projektu. Podstawa wyliczenia cennika.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Intensywność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Suwak od 10 do 95 procent. Domyślnie 70 procent.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Liczba projektów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Od 1 do 5. Więcej projektów uruchamia rabat.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Klient powracający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Zaznaczenie daje rabat 20 procent na opłatę wstępną.</w:t>
            </w:r>
          </w:p>
        </w:tc>
      </w:tr>
    </w:tbl>
    <w:p>
      <w:pPr>
        <w:spacing w:after="80"/>
      </w:pP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Każda zmiana finansów uruchamia podgląd cennika na żywo, aktualizowany po krótkiej chwili od ostatniej edycji.</w:t>
      </w: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3.4 Pricing (podgląd na żywo)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Cennik działa w dwóch trybach. Auto-calc liczy wartości automatycznie z konfiguracji segmentów. Tryb ręczny (negocjacje) pozwala nadpisać kwoty i jest przydatny przy indywidualnych ustaleniach - po przełączeniu pola startują od wartości wyliczonych automatycznie.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Tabela wariantów zawiera kolumny: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Kolumna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Znaczenie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Opłata wstępna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płatna na starcie współpracy.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SF procent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Stawka wynagrodzenia od sukcesu (success fee).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Wynagrodzenie wynikowe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success fee wyliczona z dofinansowania.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Razem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Suma opłaty wstępnej i wynagrodzenia wynikowego.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Mies. (exec)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Miesięczna kwota za obsługę i rozliczanie projektu.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EV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Wartość oczekiwana - prognozowany przychód z oferty.</w:t>
            </w:r>
          </w:p>
        </w:tc>
      </w:tr>
    </w:tbl>
    <w:p>
      <w:pPr>
        <w:spacing w:after="80"/>
      </w:pP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Zaznaczenie przy wariancie oznacza, że wariant jest oferowany klientowi. Musi być zaznaczony co najmniej jeden.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Pole wyboru Wariant rekomendowany wskazuje wariant polecany klientowi (oznaczony gwiazdką). Musi należeć do oferowanych.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 trybie ręcznym możesz edytować opłatę wstępną, stawkę SF i kwotę miesięczną oraz ułożyć harmonogram płatności per wariant.</w:t>
      </w: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3.5 Wynagrodzenie wykonawcze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Wszystkie pola są opcjonalne. Puste oznacza użycie tekstu domyślnego.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Kicker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Mała etykieta nad tytułem.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Tytuł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Nagłówek bloku wynagrodzenia wykonawczego.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Opis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Treść pod tytułem.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Kwota miesięczna (PLN)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Puste oznacza użycie kwoty z wybranego wariantu.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3.6 Treść w ofercie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Wszystkie pola są opcjonalne, a puste wracają do treści domyślnej.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Potrzeby klienta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Punkty sekcji Wprowadzenie. Każdy punkt ma tytuł i opis.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Wstęp (intro)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Tekst nad cennikiem.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Podsumowanie (footer)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Tekst pod cennikiem.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Uwagi do wyceny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Wyróżniony box w sekcji wynagrodzenia, na przykład informacja o rabacie.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Dlaczego ten nabór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Uzasadnienie w sekcji Rekomendujemy.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Opis rekomendowanego programu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Edytor tekstu sformatowanego. Puste oznacza cztery domyślne punkty.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Alternatywne programy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 programów zapasowych. Puste oznacza cztery domyślne pozycje.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3.7 Załączniki i właściciel oferty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Osoba kontaktowa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z katalogu osób kontaktowych. Pojawia się w ofercie.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Case study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zrealizowanego projektu z katalogu, prezentowany klientowi jako dowód.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Przypisany konsultant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Widoczne dla administratora. Zmienia, kto widzi i edytuje ofertę. Autor się nie zmienia.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4. Zapis: wersja robocza i szablon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Stwórz ofertę lub Zapisz zmiany zapisuje ofertę. Nowa oferta powstaje jako wersja robocza, po zapisie przechodzisz do edytora.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Zapisz jako szablon zapisuje bieżące ustawienia (program, warianty, treści) bez danych klienta, do wykorzystania w kolejnych ofertach. To nie jest publikacja oferty, tylko wzorzec.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Edycja oferty już wysłanej pokaże ostrzeżenie - zmiana finansów wymusi ponowne przeliczenie cennika i odświeżenie pliku PDF.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5. Akcje na ofercie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Akcja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Co robi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Wyślij ofertę / Wyślij ponownie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Otwiera okno z adresem odbiorcy, tematem i wiadomością. Wysyła klientowi maila z linkiem, ustawia status na wysłana. Jeśli mail nie dotrze, błąd pokazuje się od razu.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Przelicz pricing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Ponownie wylicza cennik. Przy ofercie innej niż robocza prosi o potwierdzenie.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Skopiuj link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Dla wersji roboczej kopiuje link podglądu (działa tylko dla zalogowanego), dla wysłanej link publiczny dla klienta.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Podgląd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Otwiera ofertę tak, jak zobaczy ją klient.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Usuń (soft-delete)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Tylko administrator. Oferta znika z list, ale zostaje w bazie na potrzeby zgodności z RODO.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Zmiana konsultanta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Przez sekcję Właściciel oferty w formularzu.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6. Co widzi klient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Klient otwiera ofertę pod linkiem i przewija osiem numerowanych sekcji. Na górze widzi numer oferty, datę, swoją nazwę i program, a jeśli ustawiono termin ważności - datę do której oferta obowiązuje.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821"/>
        <w:gridCol w:w="6584"/>
      </w:tblGrid>
      <w:tr>
        <w:tc>
          <w:tcPr>
            <w:tcW w:type="dxa" w:w="2821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Sekcja</w:t>
            </w:r>
          </w:p>
        </w:tc>
        <w:tc>
          <w:tcPr>
            <w:tcW w:type="dxa" w:w="658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Zawartość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01 Wprowadzenie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Powitanie i lista potrzeb klienta.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02 Proponowane rozwiązanie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Uzasadnienie naboru, opis programu, inne możliwości wsparcia.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03 Zakres usługi doradczej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Rozwijana lista zadań na etapie przygotowania i obsługi.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04 Model wynagrodzenia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Założenia, tabela wariantów, wynagrodzenie wykonawcze, ewentualny box z rabatem.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05 Schemat procesu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Oś czasu współpracy.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06 Dlaczego K2Biznes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Wartości firmy, statystyki oraz case study jako dowód.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07 FAQ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Najczęstsze pytania i odpowiedzi.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08 Akceptacja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wariantu, dane osoby akceptującej, komentarz i wymagana zgoda RODO.</w:t>
            </w:r>
          </w:p>
        </w:tc>
      </w:tr>
    </w:tbl>
    <w:p>
      <w:pPr>
        <w:spacing w:after="80"/>
      </w:pP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Klient akceptuje lub odrzuca ofertę wprost na stronie. Zgoda RODO przy akceptacji jest obowiązkowa. Po decyzji na górze pojawia się baner ze statusem oferty.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7. Dashboard aktywności oferty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Dla każdej wysłanej oferty dostępny jest podgląd aktywności - widać, jak klient korzysta z oferty: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Liczba otwarć oraz data pierwszego i ostatniego otwarcia.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Postęp czytania - które z ośmiu sekcji klient doczytał.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Zainteresowanie wariantami - najechania i podświetlenia wariantów.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Pobrania pliku PDF.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Oś zdarzeń - chronologiczny zapis aktywności klienta i działań zespołu.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8. Ustawienia firmowe i katalogi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Treści wspólne dla wszystkich ofert utrzymuje się w osobnych modułach, aby nie powtarzać ich przy każdej ofercie: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257"/>
        <w:gridCol w:w="2445"/>
        <w:gridCol w:w="4703"/>
      </w:tblGrid>
      <w:tr>
        <w:tc>
          <w:tcPr>
            <w:tcW w:type="dxa" w:w="2257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Moduł</w:t>
            </w:r>
          </w:p>
        </w:tc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Ścieżka</w:t>
            </w:r>
          </w:p>
        </w:tc>
        <w:tc>
          <w:tcPr>
            <w:tcW w:type="dxa" w:w="4703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Do czego służy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Ustawienia firmowe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/admin/ustawienia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Statystyki firmowe (kwota dofinansowania, liczba projektów, rok startu) i test wysyłki email. Zmiana propaguje na wszystkie oferty. Rola super_admin.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Programy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/admin/programs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Katalog programów dotacyjnych.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Case studies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/admin/case-studies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Zrealizowane projekty pokazywane klientom.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Osoby kontaktowe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/admin/contact-persons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Dane konsultantów w ofertach.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Alternatywne programy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/admin/alt-programs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Biblioteka programów zapasowych.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Szablony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/admin/templates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Zapisane wzorce ofert.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FAQ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/admin/faq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Globalne pytania i odpowiedzi.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Użytkownicy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/admin/users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Konta i role. Rola super_admin.</w:t>
            </w:r>
          </w:p>
        </w:tc>
      </w:tr>
    </w:tbl>
    <w:p>
      <w:pPr>
        <w:spacing w:after="80"/>
      </w:pPr>
    </w:p>
    <w:p>
      <w:pPr>
        <w:jc w:val="left"/>
        <w:spacing w:before="240" w:after="40"/>
      </w:pPr>
      <w:r>
        <w:rPr>
          <w:rFonts w:ascii="Roboto Condensed" w:hAnsi="Roboto Condensed"/>
          <w:b w:val="0"/>
          <w:color w:val="2A324B"/>
          <w:sz w:val="64"/>
        </w:rPr>
        <w:t>Część II - Architektura systemu (dla zespołu technicznego)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1. Stack technologiczny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33"/>
        <w:gridCol w:w="6772"/>
      </w:tblGrid>
      <w:tr>
        <w:tc>
          <w:tcPr>
            <w:tcW w:type="dxa" w:w="2633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Warstwa</w:t>
            </w:r>
          </w:p>
        </w:tc>
        <w:tc>
          <w:tcPr>
            <w:tcW w:type="dxa" w:w="6772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Technologia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Frontend i backend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Next.js 14 (App Router), TypeScript, walidacja Zod. Monorepo (apps/web, packages, supabase).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Baza, autoryzacja, pliki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Supabase Cloud - PostgreSQL 17, region eu-central-1. Autoryzacja PKCE, Storage, RLS na każdej tabeli.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Hosting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Vercel, domena oferta.k2biznes.pl, automatyczny deploy z gałęzi main.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Limity zapytań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Upstash Redis w warstwie pośredniej (middleware).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Email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Resend, domena k2biznes.pl z podpisem DKIM.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Monitoring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Sentry (region UE) oraz UptimeRobot pingujący /api/health co 5 minut.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2. Model danych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Najważniejsze tabele bazy: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198"/>
        <w:gridCol w:w="6207"/>
      </w:tblGrid>
      <w:tr>
        <w:tc>
          <w:tcPr>
            <w:tcW w:type="dxa" w:w="3198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Tabela</w:t>
            </w:r>
          </w:p>
        </w:tc>
        <w:tc>
          <w:tcPr>
            <w:tcW w:type="dxa" w:w="6207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Rola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profiles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Użytkownicy wewnętrzni i ich role. Klienci nie mają kont.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offers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Rdzeń systemu: dane oferty, status, token klienta, zamrożony snapshot cennika, wybrane warianty, treści, pola akceptacji, tracking.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offer_events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Log aktywności i audytu (otwarcia, przewijanie, akceptacja, wysyłki maili).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programs, case_studies, contact_persons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Katalogi słownikowe wykorzystywane w ofertach.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pricing_segments, pricing_config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Konfiguracja cennika: progi segmentów i parametry (rabaty, minima).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alt_programs, offer_templates, app_settings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Programy zapasowe, szablony ofert i ustawienia firmowe (klucz-wartość).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faq_items, gdpr_clauses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Globalne FAQ i wersjonowane klauzule RODO.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webhook_jobs, audit_log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Kolejka integracji CRM oraz dziennik audytu.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3. Przepływ oferty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1. </w:t>
      </w:r>
      <w:r>
        <w:rPr>
          <w:rFonts w:ascii="Roboto Condensed Light" w:hAnsi="Roboto Condensed Light"/>
          <w:b w:val="0"/>
          <w:color w:val="2A324B"/>
          <w:sz w:val="22"/>
        </w:rPr>
        <w:t>Utworzenie: walidacja danych, wygenerowanie numeru oferty, wyliczenie cennika i zapis snapshotu. Oferta powstaje jako wersja robocza.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2. </w:t>
      </w:r>
      <w:r>
        <w:rPr>
          <w:rFonts w:ascii="Roboto Condensed Light" w:hAnsi="Roboto Condensed Light"/>
          <w:b w:val="0"/>
          <w:color w:val="2A324B"/>
          <w:sz w:val="22"/>
        </w:rPr>
        <w:t>Wysyłka: zmiana statusu na wysłana, wysłanie maila do klienta z linkiem, zapis zdarzenia i ewentualne zakolejkowanie integracji CRM.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3. </w:t>
      </w:r>
      <w:r>
        <w:rPr>
          <w:rFonts w:ascii="Roboto Condensed Light" w:hAnsi="Roboto Condensed Light"/>
          <w:b w:val="0"/>
          <w:color w:val="2A324B"/>
          <w:sz w:val="22"/>
        </w:rPr>
        <w:t>Widok klienta: strona renderowana po stronie serwera na podstawie tokenu. Wygasły link zwraca kod 410, wersja robocza jest niedostępna publicznie. Aktywność klienta zapisywana jest jako zdarzenia.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4. </w:t>
      </w:r>
      <w:r>
        <w:rPr>
          <w:rFonts w:ascii="Roboto Condensed Light" w:hAnsi="Roboto Condensed Light"/>
          <w:b w:val="0"/>
          <w:color w:val="2A324B"/>
          <w:sz w:val="22"/>
        </w:rPr>
        <w:t>Akceptacja lub odrzucenie: walidacja statusu, wariantu i wersji klauzuli RODO, blokada podwójnej akceptacji, zapis decyzji, powiadomienie konsultanta mailem oraz zakolejkowanie zdarzenia do CRM.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4. Role i bezpieczeństwo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Trzy role (super_admin, admin, consultant) egzekwowane przez RLS na wszystkich tabelach.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Konsultant widzi wyłącznie oferty utworzone przez siebie lub do niego przypisane. Administratorzy widzą wszystkie.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Rola jest zapisana w profilu i w tokenie sesji. Zmiana roli wymaga aktualizacji obu miejsc oraz wylogowania sesji.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Weryfikacja dwuetapowa wymagana dla administratorów. Trigger bazy blokuje samodzielne podniesienie uprawnień.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Limity zapytań w warstwie pośredniej: 100 na minutę dla ścieżek publicznych, 1000 na minutę dla pozostałych.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Dostęp klienta wyłącznie przez losowy token oferty (bez konta). Ścieżki publiczne korzystają z uprawnień serwera, a reguły RLS domyślnie blokują dostęp anonimowy.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5. Silnik cenowy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Cennik wyliczany jest z konfiguracji, a nie zapisywany na sztywno w kodzie: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Segment dobierany jest po wartości dofinansowania (wartość projektu pomnożona przez intensywność).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Opłata wstępna wynika z segmentu, pomniejszana o rabat lojalnościowy (klient powracający) i rabat za wiele projektów, z dolnym progiem kwotowym.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Wynagrodzenie od sukcesu to stawka procentowa segmentu z dolnym progiem kwotowym. Suma daje wartość wariantu.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Warianty różnią się harmonogramem płatności. Wartość oczekiwana uwzględnia prawdopodobieństwo sukcesu i obsługę miesięczną.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Snapshot cennika jest zamrażany przy tworzeniu i edycji oferty. Ponowne przeliczenie następuje wyłącznie na żądanie.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6. Email i generowanie PDF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Wysyłka maili ma jeden punkt wejścia i trzy tryby: lokalny serwer SMTP (development), Resend (produkcja) oraz zapis do logu, gdy żaden nie jest skonfigurowany.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Nadawcą jest oferty@k2biznes.pl, a odpowiedzi trafiają do konsultanta prowadzącego. Szablony maili obejmują wysyłkę oferty oraz powiadomienia o akceptacji i odrzuceniu.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Każda nieudana wysyłka trafia do Sentry i zostawia znacznik przy ofercie na liście.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PDF generowany jest przez przeglądarkę bezgłową z widoku oferty w trybie druku i cache'owany w Storage. Na obecnym planie Vercel obowiązuje limit czasu funkcji, przez co generowanie PDF na produkcji bywa przerywane - dlatego link do PDF nie jest wystawiony w panelu. Docelowo rozwiązuje to wyższy plan Vercel.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7. Hosting i infrastruktura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33"/>
        <w:gridCol w:w="6772"/>
      </w:tblGrid>
      <w:tr>
        <w:tc>
          <w:tcPr>
            <w:tcW w:type="dxa" w:w="2633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Element</w:t>
            </w:r>
          </w:p>
        </w:tc>
        <w:tc>
          <w:tcPr>
            <w:tcW w:type="dxa" w:w="6772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Szczegóły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Aplikacja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Vercel, automatyczny deploy z gałęzi main repozytorium GitHub.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Baza danych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Supabase Cloud, region eu-central-1. UptimeRobot zapobiega uśpieniu bazy.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Limity zapytań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Upstash Redis.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Monitoring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Sentry (region UE, maskowanie danych osobowych).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8. Migracje bazy danych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Migracje trzymane są w katalogu supabase/migrations wraz z plikiem seed.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Lokalnie stosuje się reset bazy i generowanie typów. Na produkcji migracje aplikuje się przez CLI Supabase lub psql (pooler sesyjny).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Przed każdą migracją produkcyjną wykonywany jest backup bazy, a zmiana jest weryfikowana. Procedurę opisuje docs/RUNBOOK_MIGRATION_ROLLBACK.md.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Parametry cennika (segmenty i konfiguracja) można zmieniać bez wdrożenia, bezpośrednio w panelu Supabase.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Gdzie szukać więcej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docs/BACKEND_SPEC.md - pełna specyfikacja techniczna (model danych, API, bezpieczeństwo).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docs/TECH_ADMIN_MANUAL.md - podręcznik administratora technicznego i rozwiązywanie problemów.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docs/RUNBOOK_MIGRATION_ROLLBACK.md - procedura migracji i wycofywania zmian bazy.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Repozytorium: github.com/tkalla79/k2biznes-oferta.</w:t>
      </w:r>
    </w:p>
    <w:sectPr w:rsidR="00FC693F" w:rsidRPr="0006063C" w:rsidSect="00034616">
      <w:footerReference w:type="default" r:id="rId9"/>
      <w:pgSz w:w="12240" w:h="15840"/>
      <w:pgMar w:top="1417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4703"/>
      <w:gridCol w:w="4703"/>
    </w:tblGrid>
    <w:tr>
      <w:tc>
        <w:tcPr>
          <w:tcW w:type="dxa" w:w="8607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left"/>
            <w:spacing w:before="0" w:after="0"/>
          </w:pPr>
          <w:r>
            <w:drawing xmlns:a="http://schemas.openxmlformats.org/drawingml/2006/main" xmlns:pic="http://schemas.openxmlformats.org/drawingml/2006/picture">
              <wp:inline distT="0" distB="0" distL="0" distR="0">
                <wp:extent cx="5465746" cy="131252"/>
                <wp:effectExtent l="0" t="0" r="0" b="0"/>
                <wp:docPr id="6688" name="StopkaK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6688" name="StopkaK2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ob xmlns:asvg="http://schemas.microsoft.com/office/drawing/2016/SVG/main" r:embed="rId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65746" cy="1312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99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right"/>
          </w:pPr>
          <w:r>
            <w:rPr>
              <w:rFonts w:ascii="Roboto Condensed" w:hAnsi="Roboto Condensed"/>
              <w:color w:val="CE181A"/>
              <w:sz w:val="20"/>
            </w:rPr>
            <w:fldChar w:fldCharType="begin"/>
            <w:instrText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themeFontLang w:val="pl-PL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stopka_2fadd7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Kalla</dc:creator>
  <cp:keywords/>
  <dc:description>generated by python-docx</dc:description>
  <cp:lastModifiedBy>Tomasz Kalla</cp:lastModifiedBy>
  <cp:revision>5</cp:revision>
  <dcterms:created xsi:type="dcterms:W3CDTF">2026-07-04T01:19:27Z</dcterms:created>
  <dcterms:modified xsi:type="dcterms:W3CDTF">2026-07-04T13:29:10Z</dcterms:modified>
  <cp:category/>
</cp:coreProperties>
</file>