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Types>
</file>

<file path=_rels/.rels>&#65279;<?xml version="1.0" encoding="utf-8"?><Relationships xmlns="http://schemas.openxmlformats.org/package/2006/relationships"><Relationship Type="http://schemas.openxmlformats.org/officeDocument/2006/relationships/officeDocument" Target="/word/document.xml" Id="R1ff528f9ce8a4fb6"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83edf0f2432b485b" cstate="print">
                      <a:extLst>
                        <a:ext uri="{28A0092B-C50C-407E-A947-70E740481C1C}"/>
                      </a:extLst>
                    </a:blip>
                    <a:stretch>
                      <a:fillRect/>
                    </a:stretch>
                  </pic:blipFill>
                  <pic:spPr>
                    <a:xfrm>
                      <a:off x="0" y="0"/>
                      <a:ext cx="990000" cy="792000"/>
                    </a:xfrm>
                    <a:prstGeom prst="rect">
                      <a:avLst/>
                    </a:prstGeom>
                  </pic:spPr>
                </pic:pic>
              </a:graphicData>
            </a:graphic>
          </wp:inline>
        </w:drawing>
      </w:r>
    </w:p>
    <w:p>
      <w:r>
        <w:t>ΑΦΟΙ ΚΑΣΣΟΥΔΑΚΗ Α.Ε.</w:t>
        <w:br/>
        <w:t>ΓΕΝΙΚΕΣ ΜΕΤΑΦΟΡΕΣ – ΑΠΟΘΗΚΕΥΣΕΙΣ - ΔΙΑΝΟΜΕΣ</w:t>
        <w:br/>
        <w:t>______________________________________________</w:t>
        <w:br/>
        <w:br/>
        <w:t>Ασπρόπυργος ,  23/07/2021</w:t>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body>
</w:document>
</file>

<file path=word/_rels/document.xml.rels>&#65279;<?xml version="1.0" encoding="utf-8"?><Relationships xmlns="http://schemas.openxmlformats.org/package/2006/relationships"><Relationship Type="http://schemas.openxmlformats.org/officeDocument/2006/relationships/image" Target="/media/image.jpg" Id="R83edf0f2432b485b" /></Relationships>
</file>