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9.png" ContentType="image/png"/>
  <Override PartName="/word/media/rId45.png" ContentType="image/png"/>
  <Override PartName="/word/media/rId53.png" ContentType="image/png"/>
  <Override PartName="/word/media/rId58.png" ContentType="image/png"/>
  <Override PartName="/word/media/rId63.png" ContentType="image/png"/>
  <Override PartName="/word/media/rId41.png" ContentType="image/png"/>
  <Override PartName="/word/media/rId49.png" ContentType="image/png"/>
  <Override PartName="/word/media/rId99.png" ContentType="image/png"/>
  <Override PartName="/word/media/rId101.png" ContentType="image/png"/>
  <Override PartName="/word/media/rId103.png" ContentType="image/png"/>
  <Override PartName="/word/media/rId105.png" ContentType="image/png"/>
  <Override PartName="/word/media/rId107.png" ContentType="image/png"/>
  <Override PartName="/word/media/rId10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aep-data-lifecycle-helper"/>
    <w:p>
      <w:pPr>
        <w:pStyle w:val="Heading1"/>
      </w:pPr>
      <w:r>
        <w:t xml:space="preserve">AEP Data Lifecycle Helper</w:t>
      </w:r>
    </w:p>
    <w:bookmarkStart w:id="20" w:name="design-architecture-document"/>
    <w:p>
      <w:pPr>
        <w:pStyle w:val="Heading2"/>
      </w:pP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bookmarkEnd w:id="20"/>
    <w:bookmarkStart w:id="24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3.2.0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2026-06-05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Production-ready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p>
            <w:pPr>
              <w:pStyle w:val="Compact"/>
              <w:jc w:val="left"/>
            </w:pPr>
            <w:r>
              <w:t xml:space="preserve">Tushar Kant Kar, Adobe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Reviewers</w:t>
            </w:r>
          </w:p>
        </w:tc>
        <w:tc>
          <w:p>
            <w:pPr>
              <w:pStyle w:val="Compact"/>
              <w:jc w:val="left"/>
            </w:pPr>
            <w:r>
              <w:t xml:space="preserve">Engineering review 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Approval status</w:t>
            </w:r>
          </w:p>
        </w:tc>
        <w:tc>
          <w:p>
            <w:pPr>
              <w:pStyle w:val="Compact"/>
              <w:jc w:val="left"/>
            </w:pPr>
            <w:r>
              <w:t xml:space="preserve">Approved for client distribution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Confidential — client engagement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Intended audience</w:t>
            </w:r>
          </w:p>
        </w:tc>
        <w:tc>
          <w:p>
            <w:pPr>
              <w:pStyle w:val="Compact"/>
              <w:jc w:val="left"/>
            </w:pPr>
            <w:r>
              <w:t xml:space="preserve">Client teams, platform architects, security reviewers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r>
              <w:t xml:space="preserve">Embedded inline (canonical, exported to</w:t>
            </w:r>
            <w:r>
              <w:t xml:space="preserve"> </w:t>
            </w:r>
            <w:r>
              <w:rPr>
                <w:rStyle w:val="VerbatimChar"/>
              </w:rPr>
              <w:t xml:space="preserve">docs/diagrams/figma/</w:t>
            </w:r>
            <w:r>
              <w:t xml:space="preserve">). Editable source: Figma design file — internal to the engineering team, shareable on request. Mermaid fallback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iCs/>
          <w:i/>
        </w:rPr>
        <w:t xml:space="preserve">Full change history:</w:t>
      </w:r>
      <w:r>
        <w:rPr>
          <w:iCs/>
          <w:i/>
        </w:rPr>
        <w:t xml:space="preserve"> </w:t>
      </w:r>
      <w:hyperlink r:id="rId21">
        <w:r>
          <w:rPr>
            <w:rStyle w:val="VerbatimChar"/>
            <w:iCs/>
            <w:i/>
          </w:rPr>
          <w:t xml:space="preserve">docs/CHANGELOG.md</w:t>
        </w:r>
      </w:hyperlink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Diagrams &amp; screenshots</w:t>
      </w:r>
      <w:r>
        <w:t xml:space="preserve"> </w:t>
      </w:r>
      <w:r>
        <w:t xml:space="preserve">in this document: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Figma diagrams — embedded inline below each section</w:t>
      </w:r>
      <w:r>
        <w:t xml:space="preserve"> </w:t>
      </w:r>
      <w:r>
        <w:t xml:space="preserve">(canonical). Branded</w:t>
      </w:r>
      <w:r>
        <w:t xml:space="preserve"> </w:t>
      </w:r>
      <w:r>
        <w:t xml:space="preserve">block &amp; flow diagrams with a consistent AEP-Spectrum visual system, exported to</w:t>
      </w:r>
      <w:r>
        <w:t xml:space="preserve"> </w:t>
      </w:r>
      <w:r>
        <w:rPr>
          <w:rStyle w:val="VerbatimChar"/>
        </w:rPr>
        <w:t xml:space="preserve">docs/diagrams/figma/</w:t>
      </w:r>
      <w:r>
        <w:t xml:space="preserve"> </w:t>
      </w:r>
      <w:r>
        <w:t xml:space="preserve">(gallery in</w:t>
      </w:r>
      <w:r>
        <w:t xml:space="preserve"> </w:t>
      </w:r>
      <w:hyperlink r:id="rId22">
        <w:r>
          <w:rPr>
            <w:rStyle w:val="VerbatimChar"/>
            <w:bCs/>
            <w:b/>
          </w:rPr>
          <w:t xml:space="preserve">DIAGRAMS.md</w:t>
        </w:r>
      </w:hyperlink>
      <w:r>
        <w:t xml:space="preserve">). The editable</w:t>
      </w:r>
      <w:r>
        <w:t xml:space="preserve"> </w:t>
      </w:r>
      <w:r>
        <w:t xml:space="preserve">Figma source is internal to the engineering team and shareable on request.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screenshots — see</w:t>
      </w:r>
      <w:r>
        <w:rPr>
          <w:bCs/>
          <w:b/>
        </w:rPr>
        <w:t xml:space="preserve"> </w:t>
      </w:r>
      <w:hyperlink w:anchor="Xcf4bfb864ae254c1c7f015514eb9a32bb6d73b8">
        <w:r>
          <w:rPr>
            <w:rStyle w:val="Hyperlink"/>
            <w:bCs/>
            <w:b/>
          </w:rPr>
          <w:t xml:space="preserve">§13 · UI Screen Walkthrough</w:t>
        </w:r>
      </w:hyperlink>
      <w:r>
        <w:t xml:space="preserve"> </w:t>
      </w:r>
      <w:r>
        <w:t xml:space="preserve">at the end of this document</w:t>
      </w:r>
      <w:r>
        <w:t xml:space="preserve"> </w:t>
      </w:r>
      <w:r>
        <w:t xml:space="preserve">(the six live application screens; PNGs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also in</w:t>
      </w:r>
      <w:r>
        <w:t xml:space="preserve"> </w:t>
      </w:r>
      <w:hyperlink r:id="rId23">
        <w:r>
          <w:rPr>
            <w:rStyle w:val="VerbatimChar"/>
            <w:bCs/>
            <w:b/>
          </w:rPr>
          <w:t xml:space="preserve">SCREENS.md</w:t>
        </w:r>
      </w:hyperlink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Mermaid fallback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), the version-controlled,</w:t>
      </w:r>
      <w:r>
        <w:t xml:space="preserve"> </w:t>
      </w:r>
      <w:r>
        <w:t xml:space="preserve">text-diffable source for each diagram’s content.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Table of Contents</w:t>
      </w:r>
    </w:p>
    <w:p>
      <w:pPr>
        <w:numPr>
          <w:ilvl w:val="0"/>
          <w:numId w:val="1002"/>
        </w:numPr>
        <w:pStyle w:val="Compact"/>
      </w:pPr>
      <w:hyperlink w:anchor="executive-summary">
        <w:r>
          <w:rPr>
            <w:rStyle w:val="Hyperlink"/>
          </w:rPr>
          <w:t xml:space="preserve">1. Executive Summary</w:t>
        </w:r>
      </w:hyperlink>
    </w:p>
    <w:p>
      <w:pPr>
        <w:numPr>
          <w:ilvl w:val="0"/>
          <w:numId w:val="1002"/>
        </w:numPr>
        <w:pStyle w:val="Compact"/>
      </w:pPr>
      <w:hyperlink w:anchor="scope-assumptions-boundaries">
        <w:r>
          <w:rPr>
            <w:rStyle w:val="Hyperlink"/>
          </w:rPr>
          <w:t xml:space="preserve">Scope, Assumptions &amp; Boundaries</w:t>
        </w:r>
      </w:hyperlink>
    </w:p>
    <w:p>
      <w:pPr>
        <w:numPr>
          <w:ilvl w:val="0"/>
          <w:numId w:val="1002"/>
        </w:numPr>
        <w:pStyle w:val="Compact"/>
      </w:pPr>
      <w:hyperlink w:anchor="system-architecture">
        <w:r>
          <w:rPr>
            <w:rStyle w:val="Hyperlink"/>
          </w:rPr>
          <w:t xml:space="preserve">2. System Architecture</w:t>
        </w:r>
      </w:hyperlink>
    </w:p>
    <w:p>
      <w:pPr>
        <w:numPr>
          <w:ilvl w:val="0"/>
          <w:numId w:val="1002"/>
        </w:numPr>
        <w:pStyle w:val="Compact"/>
      </w:pPr>
      <w:hyperlink w:anchor="end-to-end-data-flow">
        <w:r>
          <w:rPr>
            <w:rStyle w:val="Hyperlink"/>
          </w:rPr>
          <w:t xml:space="preserve">3. End-to-End Data Flow</w:t>
        </w:r>
      </w:hyperlink>
    </w:p>
    <w:p>
      <w:pPr>
        <w:numPr>
          <w:ilvl w:val="0"/>
          <w:numId w:val="1002"/>
        </w:numPr>
        <w:pStyle w:val="Compact"/>
      </w:pPr>
      <w:hyperlink w:anchor="work-order-lifecycle">
        <w:r>
          <w:rPr>
            <w:rStyle w:val="Hyperlink"/>
          </w:rPr>
          <w:t xml:space="preserve">4. Work Order Lifecycle</w:t>
        </w:r>
      </w:hyperlink>
    </w:p>
    <w:p>
      <w:pPr>
        <w:numPr>
          <w:ilvl w:val="0"/>
          <w:numId w:val="1002"/>
        </w:numPr>
        <w:pStyle w:val="Compact"/>
      </w:pPr>
      <w:hyperlink w:anchor="multi-month-quota-planning">
        <w:r>
          <w:rPr>
            <w:rStyle w:val="Hyperlink"/>
          </w:rPr>
          <w:t xml:space="preserve">5. Multi-Month Quota Planning</w:t>
        </w:r>
      </w:hyperlink>
    </w:p>
    <w:p>
      <w:pPr>
        <w:numPr>
          <w:ilvl w:val="0"/>
          <w:numId w:val="1002"/>
        </w:numPr>
        <w:pStyle w:val="Compact"/>
      </w:pPr>
      <w:hyperlink w:anchor="adobe-api-integration">
        <w:r>
          <w:rPr>
            <w:rStyle w:val="Hyperlink"/>
          </w:rPr>
          <w:t xml:space="preserve">6. Adobe API Integration</w:t>
        </w:r>
      </w:hyperlink>
    </w:p>
    <w:p>
      <w:pPr>
        <w:numPr>
          <w:ilvl w:val="0"/>
          <w:numId w:val="1002"/>
        </w:numPr>
        <w:pStyle w:val="Compact"/>
      </w:pPr>
      <w:hyperlink w:anchor="security-architecture">
        <w:r>
          <w:rPr>
            <w:rStyle w:val="Hyperlink"/>
          </w:rPr>
          <w:t xml:space="preserve">7. Security Architecture</w:t>
        </w:r>
      </w:hyperlink>
    </w:p>
    <w:p>
      <w:pPr>
        <w:numPr>
          <w:ilvl w:val="0"/>
          <w:numId w:val="1002"/>
        </w:numPr>
        <w:pStyle w:val="Compact"/>
      </w:pPr>
      <w:hyperlink w:anchor="environment-configuration-reference">
        <w:r>
          <w:rPr>
            <w:rStyle w:val="Hyperlink"/>
          </w:rPr>
          <w:t xml:space="preserve">8. Environment Configuration Reference</w:t>
        </w:r>
      </w:hyperlink>
    </w:p>
    <w:p>
      <w:pPr>
        <w:numPr>
          <w:ilvl w:val="0"/>
          <w:numId w:val="1002"/>
        </w:numPr>
        <w:pStyle w:val="Compact"/>
      </w:pPr>
      <w:hyperlink w:anchor="operational-procedures">
        <w:r>
          <w:rPr>
            <w:rStyle w:val="Hyperlink"/>
          </w:rPr>
          <w:t xml:space="preserve">9. Operational Procedures</w:t>
        </w:r>
      </w:hyperlink>
    </w:p>
    <w:p>
      <w:pPr>
        <w:numPr>
          <w:ilvl w:val="0"/>
          <w:numId w:val="1002"/>
        </w:numPr>
        <w:pStyle w:val="Compact"/>
      </w:pPr>
      <w:hyperlink w:anchor="design-decisions">
        <w:r>
          <w:rPr>
            <w:rStyle w:val="Hyperlink"/>
          </w:rPr>
          <w:t xml:space="preserve">10. Design Decisions</w:t>
        </w:r>
      </w:hyperlink>
    </w:p>
    <w:p>
      <w:pPr>
        <w:numPr>
          <w:ilvl w:val="0"/>
          <w:numId w:val="1002"/>
        </w:numPr>
        <w:pStyle w:val="Compact"/>
      </w:pPr>
      <w:hyperlink w:anchor="known-limitations-extension-points">
        <w:r>
          <w:rPr>
            <w:rStyle w:val="Hyperlink"/>
          </w:rPr>
          <w:t xml:space="preserve">11. Known Limitations &amp; Extension Points</w:t>
        </w:r>
      </w:hyperlink>
    </w:p>
    <w:p>
      <w:pPr>
        <w:numPr>
          <w:ilvl w:val="0"/>
          <w:numId w:val="1002"/>
        </w:numPr>
        <w:pStyle w:val="Compact"/>
      </w:pPr>
      <w:hyperlink w:anchor="validation-summary">
        <w:r>
          <w:rPr>
            <w:rStyle w:val="Hyperlink"/>
          </w:rPr>
          <w:t xml:space="preserve">Validation Summary</w:t>
        </w:r>
      </w:hyperlink>
    </w:p>
    <w:p>
      <w:pPr>
        <w:numPr>
          <w:ilvl w:val="0"/>
          <w:numId w:val="1002"/>
        </w:numPr>
        <w:pStyle w:val="Compact"/>
      </w:pPr>
      <w:hyperlink w:anchor="appendix-file-map">
        <w:r>
          <w:rPr>
            <w:rStyle w:val="Hyperlink"/>
          </w:rPr>
          <w:t xml:space="preserve">12. Appendix — File Map</w:t>
        </w:r>
      </w:hyperlink>
    </w:p>
    <w:p>
      <w:pPr>
        <w:numPr>
          <w:ilvl w:val="0"/>
          <w:numId w:val="1002"/>
        </w:numPr>
        <w:pStyle w:val="Compact"/>
      </w:pPr>
      <w:hyperlink w:anchor="ui-screen-walkthrough">
        <w:r>
          <w:rPr>
            <w:rStyle w:val="Hyperlink"/>
          </w:rPr>
          <w:t xml:space="preserve">13. UI Screen Walkthrough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9" w:name="executive-summary"/>
    <w:p>
      <w:pPr>
        <w:pStyle w:val="Heading2"/>
      </w:pPr>
      <w:r>
        <w:t xml:space="preserve">1. Executive Summary</w:t>
      </w:r>
    </w:p>
    <w:bookmarkStart w:id="25" w:name="what-this-tool-does"/>
    <w:p>
      <w:pPr>
        <w:pStyle w:val="Heading3"/>
      </w:pP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25"/>
    <w:bookmarkStart w:id="26" w:name="why-it-was-built"/>
    <w:p>
      <w:pPr>
        <w:pStyle w:val="Heading3"/>
      </w:pP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26"/>
    <w:bookmarkStart w:id="27" w:name="key-capabilities"/>
    <w:p>
      <w:pPr>
        <w:pStyle w:val="Heading3"/>
      </w:pPr>
      <w:r>
        <w:t xml:space="preserve">Key Capabilities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5280"/>
      </w:tblGrid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expansion</w:t>
            </w:r>
          </w:p>
        </w:tc>
        <w:tc>
          <w:p>
            <w:pPr>
              <w:pStyle w:val="Compact"/>
              <w:jc w:val="left"/>
            </w:pPr>
            <w:r>
              <w:t xml:space="preserve">Follows all identity links via AEP’s Private Graph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Multi-namespace support</w:t>
            </w:r>
          </w:p>
        </w:tc>
        <w:tc>
          <w:p>
            <w:pPr>
              <w:pStyle w:val="Compact"/>
              <w:jc w:val="left"/>
            </w:pPr>
            <w:r>
              <w:t xml:space="preserve">Email, phone, ECID, CRMID, GAID, IDFA, custom namespaces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Quota-aware planning</w:t>
            </w:r>
          </w:p>
        </w:tc>
        <w:tc>
          <w:p>
            <w:pPr>
              <w:pStyle w:val="Compact"/>
              <w:jc w:val="left"/>
            </w:pPr>
            <w:r>
              <w:t xml:space="preserve">Respects daily (default 1M/day) and monthly 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Multi-month batching</w:t>
            </w:r>
          </w:p>
        </w:tc>
        <w:tc>
          <w:p>
            <w:pPr>
              <w:pStyle w:val="Compact"/>
              <w:jc w:val="left"/>
            </w:pPr>
            <w:r>
              <w:t xml:space="preserve">Spans deletions across calendar months with per-month approval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Crash-safe submission</w:t>
            </w:r>
          </w:p>
        </w:tc>
        <w:tc>
          <w:p>
            <w:pPr>
              <w:pStyle w:val="Compact"/>
              <w:jc w:val="left"/>
            </w:pPr>
            <w:r>
              <w:t xml:space="preserve">Startup recovery reconciles any orphaned work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Encrypted credential storage</w:t>
            </w:r>
          </w:p>
        </w:tc>
        <w:tc>
          <w:p>
            <w:pPr>
              <w:pStyle w:val="Compact"/>
              <w:jc w:val="left"/>
            </w:pPr>
            <w:r>
              <w:t xml:space="preserve">AES-256-GCM for all Adobe client secrets at 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schedule for unattended quota rollovers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Profile-only mode</w:t>
            </w:r>
          </w:p>
        </w:tc>
        <w:tc>
          <w:p>
            <w:pPr>
              <w:pStyle w:val="Compact"/>
              <w:jc w:val="left"/>
            </w:pPr>
            <w:r>
              <w:t xml:space="preserve">Deletes from Identity + Profile + AJO without touching data lake</w:t>
            </w:r>
          </w:p>
        </w:tc>
      </w:tr>
    </w:tbl>
    <w:bookmarkEnd w:id="27"/>
    <w:bookmarkStart w:id="28" w:name="architecture-principles"/>
    <w:p>
      <w:pPr>
        <w:pStyle w:val="Heading3"/>
      </w:pPr>
      <w:r>
        <w:t xml:space="preserve">Architecture Principles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cope-assumptions-boundaries"/>
    <w:p>
      <w:pPr>
        <w:pStyle w:val="Heading2"/>
      </w:pPr>
      <w:r>
        <w:t xml:space="preserve">Scope, Assumptions &amp; Boundaries</w:t>
      </w:r>
    </w:p>
    <w:bookmarkStart w:id="30" w:name="in-scope-out-of-scope"/>
    <w:p>
      <w:pPr>
        <w:pStyle w:val="Heading3"/>
      </w:pPr>
      <w:r>
        <w:t xml:space="preserve">In scope / Out of scope</w:t>
      </w:r>
    </w:p>
    <w:p>
      <w:pPr>
        <w:pStyle w:val="FirstParagraph"/>
      </w:pPr>
      <w:r>
        <w:rPr>
          <w:bCs/>
          <w:b/>
        </w:rPr>
        <w:t xml:space="preserve">In scope</w:t>
      </w:r>
    </w:p>
    <w:p>
      <w:pPr>
        <w:numPr>
          <w:ilvl w:val="0"/>
          <w:numId w:val="1005"/>
        </w:numPr>
        <w:pStyle w:val="Compact"/>
      </w:pPr>
      <w:r>
        <w:t xml:space="preserve">Single-operator bulk identity deletion against Adobe Experience Platform via the Data Hygiene (record-delete) API.</w:t>
      </w:r>
    </w:p>
    <w:p>
      <w:pPr>
        <w:numPr>
          <w:ilvl w:val="0"/>
          <w:numId w:val="1005"/>
        </w:numPr>
        <w:pStyle w:val="Compact"/>
      </w:pPr>
      <w:r>
        <w:t xml:space="preserve">Identity Graph expansion of each source identifier into all linked identities (email, phone, ECID, CRMID, and custom namespaces).</w:t>
      </w:r>
    </w:p>
    <w:p>
      <w:pPr>
        <w:numPr>
          <w:ilvl w:val="0"/>
          <w:numId w:val="1005"/>
        </w:numPr>
        <w:pStyle w:val="Compact"/>
      </w:pPr>
      <w:r>
        <w:t xml:space="preserve">Quota-aware batching that groups identities into work orders within Adobe’s per-work-order and daily/monthly quota limits.</w:t>
      </w:r>
    </w:p>
    <w:p>
      <w:pPr>
        <w:numPr>
          <w:ilvl w:val="0"/>
          <w:numId w:val="1005"/>
        </w:numPr>
        <w:pStyle w:val="Compact"/>
      </w:pPr>
      <w:r>
        <w:t xml:space="preserve">Submission, progress monitoring, and status tracking of every work order through to completion.</w:t>
      </w:r>
    </w:p>
    <w:p>
      <w:pPr>
        <w:numPr>
          <w:ilvl w:val="0"/>
          <w:numId w:val="1005"/>
        </w:numPr>
        <w:pStyle w:val="Compact"/>
      </w:pPr>
      <w:r>
        <w:t xml:space="preserve">Crash-safe recovery and reconciliation of in-flight work after a restart.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6"/>
        </w:numPr>
        <w:pStyle w:val="Compact"/>
      </w:pPr>
      <w:r>
        <w:t xml:space="preserve">Multi-user or SaaS-hosted deployment.</w:t>
      </w:r>
    </w:p>
    <w:p>
      <w:pPr>
        <w:numPr>
          <w:ilvl w:val="0"/>
          <w:numId w:val="1006"/>
        </w:numPr>
        <w:pStyle w:val="Compact"/>
      </w:pPr>
      <w:r>
        <w:t xml:space="preserve">Web-UI authentication or user-account management.</w:t>
      </w:r>
    </w:p>
    <w:p>
      <w:pPr>
        <w:numPr>
          <w:ilvl w:val="0"/>
          <w:numId w:val="1006"/>
        </w:numPr>
        <w:pStyle w:val="Compact"/>
      </w:pPr>
      <w:r>
        <w:t xml:space="preserve">Distributed coordination across multiple machines or instances.</w:t>
      </w:r>
    </w:p>
    <w:p>
      <w:pPr>
        <w:numPr>
          <w:ilvl w:val="0"/>
          <w:numId w:val="1006"/>
        </w:numPr>
        <w:pStyle w:val="Compact"/>
      </w:pPr>
      <w:r>
        <w:t xml:space="preserve">Non-CSV input formats.</w:t>
      </w:r>
    </w:p>
    <w:p>
      <w:pPr>
        <w:numPr>
          <w:ilvl w:val="0"/>
          <w:numId w:val="1006"/>
        </w:numPr>
        <w:pStyle w:val="Compact"/>
      </w:pPr>
      <w:r>
        <w:t xml:space="preserve">Mixed-namespace source identifiers within a single job.</w:t>
      </w:r>
    </w:p>
    <w:bookmarkEnd w:id="30"/>
    <w:bookmarkStart w:id="31" w:name="key-assumptions"/>
    <w:p>
      <w:pPr>
        <w:pStyle w:val="Heading3"/>
      </w:pPr>
      <w:r>
        <w:t xml:space="preserve">Key assumptions</w:t>
      </w:r>
    </w:p>
    <w:p>
      <w:pPr>
        <w:numPr>
          <w:ilvl w:val="0"/>
          <w:numId w:val="1007"/>
        </w:numPr>
        <w:pStyle w:val="Compact"/>
      </w:pPr>
      <w:r>
        <w:t xml:space="preserve">A single local operator runs the tool on one machine.</w:t>
      </w:r>
    </w:p>
    <w:p>
      <w:pPr>
        <w:numPr>
          <w:ilvl w:val="0"/>
          <w:numId w:val="1007"/>
        </w:numPr>
        <w:pStyle w:val="Compact"/>
      </w:pPr>
      <w:r>
        <w:t xml:space="preserve">The runtime is Node.js 20 LTS.</w:t>
      </w:r>
    </w:p>
    <w:p>
      <w:pPr>
        <w:numPr>
          <w:ilvl w:val="0"/>
          <w:numId w:val="1007"/>
        </w:numPr>
        <w:pStyle w:val="Compact"/>
      </w:pPr>
      <w:r>
        <w:t xml:space="preserve">The tool is the</w:t>
      </w:r>
      <w:r>
        <w:t xml:space="preserve"> </w:t>
      </w:r>
      <w:r>
        <w:rPr>
          <w:bCs/>
          <w:b/>
        </w:rPr>
        <w:t xml:space="preserve">exclusive</w:t>
      </w:r>
      <w:r>
        <w:t xml:space="preserve"> </w:t>
      </w:r>
      <w:r>
        <w:t xml:space="preserve">quota writer for the target organization. Where concurrent external writers cannot be ruled out,</w:t>
      </w:r>
      <w:r>
        <w:t xml:space="preserve"> </w:t>
      </w:r>
      <w:r>
        <w:rPr>
          <w:rStyle w:val="VerbatimChar"/>
        </w:rPr>
        <w:t xml:space="preserve">QUOTA_SAFETY_BUFFER</w:t>
      </w:r>
      <w:r>
        <w:t xml:space="preserve"> </w:t>
      </w:r>
      <w:r>
        <w:t xml:space="preserve">is set to reserve headroom against them.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DATA_DIR</w:t>
      </w:r>
      <w:r>
        <w:t xml:space="preserve"> </w:t>
      </w:r>
      <w:r>
        <w:t xml:space="preserve">is located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any cloud-sync path (OneDrive, Dropbox, Google Drive, iCloud), since it holds the encryption key and encrypted credentials.</w:t>
      </w:r>
    </w:p>
    <w:p>
      <w:pPr>
        <w:numPr>
          <w:ilvl w:val="0"/>
          <w:numId w:val="1007"/>
        </w:numPr>
        <w:pStyle w:val="Compact"/>
      </w:pPr>
      <w:r>
        <w:t xml:space="preserve">The server is bound to loopback only (</w:t>
      </w:r>
      <w:r>
        <w:rPr>
          <w:rStyle w:val="VerbatimChar"/>
        </w:rPr>
        <w:t xml:space="preserve">127.0.0.1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Operator-supplied credentials are valid for the target region and sandbox.</w:t>
      </w:r>
    </w:p>
    <w:bookmarkEnd w:id="31"/>
    <w:bookmarkStart w:id="32" w:name="boundaries-non-goals"/>
    <w:p>
      <w:pPr>
        <w:pStyle w:val="Heading3"/>
      </w:pPr>
      <w:r>
        <w:t xml:space="preserve">Boundaries / non-goals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web-UI authentication.</w:t>
      </w:r>
      <w:r>
        <w:t xml:space="preserve"> </w:t>
      </w:r>
      <w:r>
        <w:t xml:space="preserve">The tool relies on a loopback trust model: whoever can reach the local socket is trusted to operate 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Single-process only.</w:t>
      </w:r>
      <w:r>
        <w:t xml:space="preserve"> </w:t>
      </w:r>
      <w:r>
        <w:t xml:space="preserve">A second instance pointed at the same database is blocked by a database-path advisory lock.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Deletes are irreversible.</w:t>
      </w:r>
      <w:r>
        <w:t xml:space="preserve"> </w:t>
      </w:r>
      <w:r>
        <w:t xml:space="preserve">The tool validates every payload aggressively before calling Adobe, but it cannot undo a deletion once Adobe has completed 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system-architecture"/>
    <w:p>
      <w:pPr>
        <w:pStyle w:val="Heading2"/>
      </w:pPr>
      <w:r>
        <w:t xml:space="preserve">2. System Architecture</w:t>
      </w:r>
    </w:p>
    <w:bookmarkStart w:id="35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CaptionedFigure"/>
      </w:pPr>
      <w:r>
        <w:drawing>
          <wp:inline>
            <wp:extent cx="5334000" cy="4570760"/>
            <wp:effectExtent b="0" l="0" r="0" t="0"/>
            <wp:docPr descr="System Architecture" title="" id="1" name="Picture"/>
            <a:graphic>
              <a:graphicData uri="http://schemas.openxmlformats.org/drawingml/2006/picture">
                <pic:pic>
                  <pic:nvPicPr>
                    <pic:cNvPr descr="diagrams/figma/01-system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iCs/>
          <w:i/>
        </w:rPr>
        <w:t xml:space="preserve">Browser ↔ loopback HTTP ↔ Node.js Express process (Routes + Background</w:t>
      </w:r>
      <w:r>
        <w:rPr>
          <w:iCs/>
          <w:i/>
        </w:rPr>
        <w:t xml:space="preserve"> </w:t>
      </w:r>
      <w:r>
        <w:rPr>
          <w:iCs/>
          <w:i/>
        </w:rPr>
        <w:t xml:space="preserve">Runners + Adobe Service Layer + Security middleware) ↔ HTTPS to Adobe</w:t>
      </w:r>
      <w:r>
        <w:rPr>
          <w:iCs/>
          <w:i/>
        </w:rPr>
        <w:t xml:space="preserve"> </w:t>
      </w:r>
      <w:r>
        <w:rPr>
          <w:iCs/>
          <w:i/>
        </w:rPr>
        <w:t xml:space="preserve">Experience Platform (IMS Auth, Identity Service, Platform Services,</w:t>
      </w:r>
      <w:r>
        <w:rPr>
          <w:iCs/>
          <w:i/>
        </w:rPr>
        <w:t xml:space="preserve"> </w:t>
      </w:r>
      <w:r>
        <w:rPr>
          <w:iCs/>
          <w:i/>
        </w:rPr>
        <w:t xml:space="preserve">Data Hygiene API). All persistence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data/state.db</w:t>
      </w:r>
      <w:r>
        <w:rPr>
          <w:iCs/>
          <w:i/>
        </w:rPr>
        <w:t xml:space="preserve"> </w:t>
      </w:r>
      <w:r>
        <w:rPr>
          <w:iCs/>
          <w:i/>
        </w:rPr>
        <w:t xml:space="preserve">(SQLite WAL).</w:t>
      </w:r>
      <w:r>
        <w:rPr>
          <w:iCs/>
          <w:i/>
        </w:rPr>
        <w:t xml:space="preserve"> </w:t>
      </w: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docs/diagrams/01-system-architecture.mmd</w:t>
      </w:r>
      <w:r>
        <w:rPr>
          <w:iCs/>
          <w:i/>
        </w:rPr>
        <w:t xml:space="preserve">.</w:t>
      </w:r>
    </w:p>
    <w:bookmarkEnd w:id="35"/>
    <w:bookmarkStart w:id="36" w:name="component-summary"/>
    <w:p>
      <w:pPr>
        <w:pStyle w:val="Heading3"/>
      </w:pPr>
      <w:r>
        <w:t xml:space="preserve">2.2 Component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 server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src/index.js</w:t>
            </w:r>
          </w:p>
        </w:tc>
        <w:tc>
          <w:p>
            <w:pPr>
              <w:pStyle w:val="Compact"/>
              <w:jc w:val="left"/>
            </w:pPr>
            <w:r>
              <w:t xml:space="preserve">Boot, route mounting, runner startup, security middleware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src/config.js</w:t>
            </w:r>
          </w:p>
        </w:tc>
        <w:tc>
          <w:p>
            <w:pPr>
              <w:pStyle w:val="Compact"/>
              <w:jc w:val="left"/>
            </w:pPr>
            <w:r>
              <w:t xml:space="preserve">Env-var defaults; all tunables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src/db.js</w:t>
            </w:r>
          </w:p>
        </w:tc>
        <w:tc>
          <w:p>
            <w:pPr>
              <w:pStyle w:val="Compact"/>
              <w:jc w:val="left"/>
            </w:pPr>
            <w:r>
              <w:t xml:space="preserve">SQLite schema, migrations, all prepared statements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Expansion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p>
            <w:pPr>
              <w:pStyle w:val="Compact"/>
              <w:jc w:val="left"/>
            </w:pPr>
            <w:r>
              <w:t xml:space="preserve">CSV stream → batched Identity Graph calls → SQLite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p>
            <w:pPr>
              <w:pStyle w:val="Compact"/>
              <w:jc w:val="left"/>
            </w:pPr>
            <w:r>
              <w:t xml:space="preserve">Planner + quota-gated work-order submission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Redistributor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p>
            <w:pPr>
              <w:pStyle w:val="Compact"/>
              <w:jc w:val="left"/>
            </w:pPr>
            <w:r>
              <w:t xml:space="preserve">Re-buckets unshipped WOs against live Adobe 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p>
            <w:pPr>
              <w:pStyle w:val="Compact"/>
              <w:jc w:val="left"/>
            </w:pPr>
            <w:r>
              <w:t xml:space="preserve">60s polling of Adobe work-order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p>
            <w:pPr>
              <w:pStyle w:val="Compact"/>
              <w:jc w:val="left"/>
            </w:pPr>
            <w:r>
              <w:t xml:space="preserve">Boot-time orphan reconciliation and expansion resume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auto-submit on quota rollover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IMS 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p>
            <w:pPr>
              <w:pStyle w:val="Compact"/>
              <w:jc w:val="left"/>
            </w:pPr>
            <w:r>
              <w:t xml:space="preserve">Token cache with thundering-herd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Adobe HTTP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p>
            <w:pPr>
              <w:pStyle w:val="Compact"/>
              <w:jc w:val="left"/>
            </w:pPr>
            <w:r>
              <w:t xml:space="preserve">axios with retry, backoff, auth injection,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p>
            <w:pPr>
              <w:pStyle w:val="Compact"/>
              <w:jc w:val="left"/>
            </w:pPr>
            <w:r>
              <w:t xml:space="preserve">POST /clusters/members, both response shapes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p>
            <w:pPr>
              <w:pStyle w:val="Compact"/>
              <w:jc w:val="left"/>
            </w:pPr>
            <w:r>
              <w:t xml:space="preserve">Work-order payload validation + 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p>
            <w:pPr>
              <w:pStyle w:val="Compact"/>
              <w:jc w:val="left"/>
            </w:pPr>
            <w:r>
              <w:t xml:space="preserve">Live Adobe /quota with 1h cache and 24h hard floor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p>
            <w:pPr>
              <w:pStyle w:val="Compact"/>
              <w:jc w:val="left"/>
            </w:pPr>
            <w:r>
              <w:t xml:space="preserve">SQLite-backed daily + monthly ledgers (atomic reserve)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middleware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p>
            <w:pPr>
              <w:pStyle w:val="Compact"/>
              <w:jc w:val="left"/>
            </w:pPr>
            <w:r>
              <w:t xml:space="preserve">Host guard, CSRF guard, error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p>
            <w:pPr>
              <w:pStyle w:val="Compact"/>
              <w:jc w:val="left"/>
            </w:pPr>
            <w:r>
              <w:t xml:space="preserve">AES-256-GCM envelope encryption for client secrets</w:t>
            </w:r>
          </w:p>
        </w:tc>
      </w:tr>
    </w:tbl>
    <w:bookmarkEnd w:id="36"/>
    <w:bookmarkStart w:id="37" w:name="technology-stack"/>
    <w:p>
      <w:pPr>
        <w:pStyle w:val="Heading3"/>
      </w:pPr>
      <w:r>
        <w:t xml:space="preserve">2.3 Technology Stack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</w:t>
            </w:r>
          </w:p>
        </w:tc>
        <w:tc>
          <w:p>
            <w:pPr>
              <w:pStyle w:val="Compact"/>
              <w:jc w:val="lef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server</w:t>
            </w:r>
          </w:p>
        </w:tc>
        <w:tc>
          <w:p>
            <w:pPr>
              <w:pStyle w:val="Compact"/>
              <w:jc w:val="left"/>
            </w:pPr>
            <w:r>
              <w:t xml:space="preserve">Express 4</w:t>
            </w:r>
          </w:p>
        </w:tc>
        <w:tc>
          <w:p>
            <w:pPr>
              <w:pStyle w:val="Compact"/>
              <w:jc w:val="left"/>
            </w:pPr>
            <w:r>
              <w:t xml:space="preserve">Minimal, well-understood, no magic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SQLite (WAL)</w:t>
            </w:r>
          </w:p>
        </w:tc>
        <w:tc>
          <w:p>
            <w:pPr>
              <w:pStyle w:val="Compact"/>
              <w:jc w:val="left"/>
            </w:pPr>
            <w:r>
              <w:t xml:space="preserve">Zero-admin, single-file, crash-safe; sufficient throughput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driver</w:t>
            </w:r>
          </w:p>
        </w:tc>
        <w:tc>
          <w:p>
            <w:pPr>
              <w:pStyle w:val="Compact"/>
              <w:jc w:val="left"/>
            </w:pPr>
            <w:r>
              <w:t xml:space="preserve">better-sqlite3</w:t>
            </w:r>
          </w:p>
        </w:tc>
        <w:tc>
          <w:p>
            <w:pPr>
              <w:pStyle w:val="Compact"/>
              <w:jc w:val="left"/>
            </w:pPr>
            <w:r>
              <w:t xml:space="preserve">Synchronous API; ~100k rows/sec bulk insert; no async queuing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p>
            <w:pPr>
              <w:pStyle w:val="Compact"/>
              <w:jc w:val="left"/>
            </w:pPr>
            <w:r>
              <w:t xml:space="preserve">Interceptors for auth inject, retry,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p>
            <w:pPr>
              <w:pStyle w:val="Compact"/>
              <w:jc w:val="left"/>
            </w:pPr>
            <w:r>
              <w:t xml:space="preserve">p-limit</w:t>
            </w:r>
          </w:p>
        </w:tc>
        <w:tc>
          <w:p>
            <w:pPr>
              <w:pStyle w:val="Compact"/>
              <w:jc w:val="left"/>
            </w:pPr>
            <w:r>
              <w:t xml:space="preserve">Simple, battle-tested async concurrency limiter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parsing</w:t>
            </w:r>
          </w:p>
        </w:tc>
        <w:tc>
          <w:p>
            <w:pPr>
              <w:pStyle w:val="Compact"/>
              <w:jc w:val="left"/>
            </w:pPr>
            <w:r>
              <w:t xml:space="preserve">fast-csv</w:t>
            </w:r>
          </w:p>
        </w:tc>
        <w:tc>
          <w:p>
            <w:pPr>
              <w:pStyle w:val="Compact"/>
              <w:jc w:val="left"/>
            </w:pPr>
            <w:r>
              <w:t xml:space="preserve">Streaming; never loads entire file into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Vanilla JS/HTML</w:t>
            </w:r>
          </w:p>
        </w:tc>
        <w:tc>
          <w:p>
            <w:pPr>
              <w:pStyle w:val="Compact"/>
              <w:jc w:val="left"/>
            </w:pPr>
            <w:r>
              <w:t xml:space="preserve">No build step; edit and refresh; no bundler dependency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node –test</w:t>
            </w:r>
          </w:p>
        </w:tc>
        <w:tc>
          <w:p>
            <w:pPr>
              <w:pStyle w:val="Compact"/>
              <w:jc w:val="lef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end-to-end-data-flow"/>
    <w:p>
      <w:pPr>
        <w:pStyle w:val="Heading2"/>
      </w:pPr>
      <w:r>
        <w:t xml:space="preserve">3. End-to-End Data Flow</w:t>
      </w:r>
    </w:p>
    <w:bookmarkStart w:id="40" w:name="operator-journey-overview"/>
    <w:p>
      <w:pPr>
        <w:pStyle w:val="Heading3"/>
      </w:pPr>
      <w:r>
        <w:t xml:space="preserve">3.1 Operator Journey Overview</w:t>
      </w:r>
    </w:p>
    <w:p>
      <w:pPr>
        <w:pStyle w:val="CaptionedFigure"/>
      </w:pPr>
      <w:r>
        <w:drawing>
          <wp:inline>
            <wp:extent cx="3291840" cy="6142573"/>
            <wp:effectExtent b="0" l="0" r="0" t="0"/>
            <wp:docPr descr="Operator Journey" title="" id="1" name="Picture"/>
            <a:graphic>
              <a:graphicData uri="http://schemas.openxmlformats.org/drawingml/2006/picture">
                <pic:pic>
                  <pic:nvPicPr>
                    <pic:cNvPr descr="diagrams/figma/02-operator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614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Operator Journey</w:t>
      </w:r>
    </w:p>
    <w:p>
      <w:pPr>
        <w:pStyle w:val="BodyText"/>
      </w:pPr>
      <w:r>
        <w:rPr>
          <w:iCs/>
          <w:i/>
        </w:rPr>
        <w:t xml:space="preserve">Seven steps left-to-right: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Configure → Upload → Expand → Plan →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Approve → Submit → Monitor</w:t>
      </w:r>
      <w:r>
        <w:rPr>
          <w:iCs/>
          <w:i/>
        </w:rPr>
        <w:t xml:space="preserve">. Approve is a per-month gate (Month 1 ships</w:t>
      </w:r>
      <w:r>
        <w:rPr>
          <w:iCs/>
          <w:i/>
        </w:rPr>
        <w:t xml:space="preserve"> </w:t>
      </w:r>
      <w:r>
        <w:rPr>
          <w:iCs/>
          <w:i/>
        </w:rPr>
        <w:t xml:space="preserve">immediately; Month 2+ requires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/api/jobs/:id/approve-month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Submit’s uncertain failure path (5xx / timeout / network) leaves the</w:t>
      </w:r>
      <w:r>
        <w:rPr>
          <w:iCs/>
          <w:i/>
        </w:rPr>
        <w:t xml:space="preserve"> </w:t>
      </w:r>
      <w:r>
        <w:rPr>
          <w:iCs/>
          <w:i/>
        </w:rPr>
        <w:t xml:space="preserve">WO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Reconcile</w:t>
      </w:r>
      <w:r>
        <w:rPr>
          <w:iCs/>
          <w:i/>
        </w:rPr>
        <w:t xml:space="preserve"> </w:t>
      </w:r>
      <w:r>
        <w:rPr>
          <w:iCs/>
          <w:i/>
        </w:rPr>
        <w:t xml:space="preserve">to recover — the local DB is</w:t>
      </w:r>
      <w:r>
        <w:rPr>
          <w:iCs/>
          <w:i/>
        </w:rPr>
        <w:t xml:space="preserve"> </w:t>
      </w:r>
      <w:r>
        <w:rPr>
          <w:iCs/>
          <w:i/>
        </w:rPr>
        <w:t xml:space="preserve">brought back in sync with Adobe by displayName lookup.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docs/diagrams/02-operator-journey.mmd</w:t>
      </w:r>
      <w:r>
        <w:rPr>
          <w:iCs/>
          <w:i/>
        </w:rPr>
        <w:t xml:space="preserve">.</w:t>
      </w:r>
    </w:p>
    <w:bookmarkEnd w:id="40"/>
    <w:bookmarkStart w:id="42" w:name="expansion-data-flow"/>
    <w:p>
      <w:pPr>
        <w:pStyle w:val="Heading3"/>
      </w:pP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CaptionedFigure"/>
      </w:pPr>
      <w:r>
        <w:drawing>
          <wp:inline>
            <wp:extent cx="3749040" cy="6106769"/>
            <wp:effectExtent b="0" l="0" r="0" t="0"/>
            <wp:docPr descr="Expansion data flow" title="" id="1" name="Picture"/>
            <a:graphic>
              <a:graphicData uri="http://schemas.openxmlformats.org/drawingml/2006/picture">
                <pic:pic>
                  <pic:nvPicPr>
                    <pic:cNvPr descr="diagrams/figma/07-expans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6106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Expansion data flow</w:t>
      </w:r>
    </w:p>
    <w:p>
      <w:pPr>
        <w:pStyle w:val="BodyText"/>
      </w:pPr>
      <w:r>
        <w:rPr>
          <w:iCs/>
          <w:i/>
        </w:rPr>
        <w:t xml:space="preserve">Upload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sniffUpload()</w:t>
      </w:r>
      <w:r>
        <w:rPr>
          <w:iCs/>
          <w:i/>
        </w:rPr>
        <w:t xml:space="preserve"> </w:t>
      </w:r>
      <w:r>
        <w:rPr>
          <w:iCs/>
          <w:i/>
        </w:rPr>
        <w:t xml:space="preserve">rejects non-CSV payloads (ZIP/XLSX, UTF-16,</w:t>
      </w:r>
      <w:r>
        <w:rPr>
          <w:iCs/>
          <w:i/>
        </w:rPr>
        <w:t xml:space="preserve"> </w:t>
      </w:r>
      <w:r>
        <w:rPr>
          <w:iCs/>
          <w:i/>
        </w:rPr>
        <w:t xml:space="preserve">MIP-encrypted, etc.) before fast-csv runs → row-by-row stream → buffer</w:t>
      </w:r>
      <w:r>
        <w:rPr>
          <w:iCs/>
          <w:i/>
        </w:rPr>
        <w:t xml:space="preserve"> </w:t>
      </w:r>
      <w:r>
        <w:rPr>
          <w:iCs/>
          <w:i/>
        </w:rPr>
        <w:t xml:space="preserve">fills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IDENTITY_BATCH_SIZE=1000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wave scheduler</w:t>
      </w:r>
      <w:r>
        <w:rPr>
          <w:iCs/>
          <w:i/>
        </w:rPr>
        <w:t xml:space="preserve"> </w:t>
      </w:r>
      <w:r>
        <w:rPr>
          <w:iCs/>
          <w:i/>
        </w:rPr>
        <w:t xml:space="preserve">caps in-flight</w:t>
      </w:r>
      <w:r>
        <w:rPr>
          <w:iCs/>
          <w:i/>
        </w:rPr>
        <w:t xml:space="preserve"> </w:t>
      </w:r>
      <w:r>
        <w:rPr>
          <w:iCs/>
          <w:i/>
        </w:rPr>
        <w:t xml:space="preserve">batches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IDENTITY_CONCURRENCY × 2</w:t>
      </w:r>
      <w:r>
        <w:rPr>
          <w:iCs/>
          <w:i/>
        </w:rPr>
        <w:t xml:space="preserve"> </w:t>
      </w:r>
      <w:r>
        <w:rPr>
          <w:iCs/>
          <w:i/>
        </w:rPr>
        <w:t xml:space="preserve">(default 5 × 2 = 10)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p-limit</w:t>
      </w:r>
      <w:r>
        <w:rPr>
          <w:iCs/>
          <w:i/>
        </w:rPr>
        <w:t xml:space="preserve"> </w:t>
      </w:r>
      <w:r>
        <w:rPr>
          <w:iCs/>
          <w:i/>
        </w:rPr>
        <w:t xml:space="preserve">sends each batch through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/clusters/members</w:t>
      </w:r>
      <w:r>
        <w:rPr>
          <w:iCs/>
          <w:i/>
        </w:rPr>
        <w:t xml:space="preserve"> </w:t>
      </w:r>
      <w:r>
        <w:rPr>
          <w:iCs/>
          <w:i/>
        </w:rPr>
        <w:t xml:space="preserve">(axios-retry honours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Retry-After</w:t>
      </w:r>
      <w:r>
        <w:rPr>
          <w:iCs/>
          <w:i/>
        </w:rPr>
        <w:t xml:space="preserve"> </w:t>
      </w:r>
      <w:r>
        <w:rPr>
          <w:iCs/>
          <w:i/>
        </w:rPr>
        <w:t xml:space="preserve">on 429) → canonicalize ns_code ↔ ns_id from the registry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insertIdentitiesAndCount</w:t>
      </w:r>
      <w:r>
        <w:rPr>
          <w:iCs/>
          <w:i/>
        </w:rPr>
        <w:t xml:space="preserve"> </w:t>
      </w:r>
      <w:r>
        <w:rPr>
          <w:iCs/>
          <w:i/>
        </w:rPr>
        <w:t xml:space="preserve">writes the rows + job counters inside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db.transaction()</w:t>
      </w:r>
      <w:r>
        <w:rPr>
          <w:iCs/>
          <w:i/>
        </w:rPr>
        <w:t xml:space="preserve"> </w:t>
      </w:r>
      <w:r>
        <w:rPr>
          <w:iCs/>
          <w:i/>
        </w:rPr>
        <w:t xml:space="preserve">(one fsync per batch). Plain INSERT — dedup is deferred</w:t>
      </w:r>
      <w:r>
        <w:rPr>
          <w:iCs/>
          <w:i/>
        </w:rPr>
        <w:t xml:space="preserve"> </w:t>
      </w:r>
      <w:r>
        <w:rPr>
          <w:iCs/>
          <w:i/>
        </w:rPr>
        <w:t xml:space="preserve">to plan time. Per-batch</w:t>
      </w:r>
      <w:r>
        <w:rPr>
          <w:iCs/>
          <w:i/>
        </w:rPr>
        <w:t xml:space="preserve"> </w:t>
      </w:r>
      <w:r>
        <w:rPr>
          <w:iCs/>
          <w:i/>
        </w:rPr>
        <w:t xml:space="preserve">log line carries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adobeMs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sqliteMs</w:t>
      </w:r>
      <w:r>
        <w:rPr>
          <w:iCs/>
          <w:i/>
        </w:rPr>
        <w:t xml:space="preserve">, every 50 batches a summary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p50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p95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rateLimitHits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docs/diagrams/07-expansion-data-flow.mmd</w:t>
      </w:r>
      <w:r>
        <w:rPr>
          <w:iCs/>
          <w:i/>
        </w:rPr>
        <w:t xml:space="preserve">.</w:t>
      </w:r>
    </w:p>
    <w:bookmarkEnd w:id="42"/>
    <w:bookmarkStart w:id="43" w:name="step-by-step-detail"/>
    <w:p>
      <w:pPr>
        <w:pStyle w:val="Heading3"/>
      </w:pP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p-limit(5) 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10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Adobe 4xx (rejected) ──► mark FAILED, release quota    │  │</w:t>
      </w:r>
      <w:r>
        <w:br/>
      </w:r>
      <w:r>
        <w:rPr>
          <w:rStyle w:val="VerbatimChar"/>
        </w:rPr>
        <w:t xml:space="preserve">│  │         ├─ 5xx / timeout / network ──► stay SUBMITTING            │  │</w:t>
      </w:r>
      <w:r>
        <w:br/>
      </w:r>
      <w:r>
        <w:rPr>
          <w:rStyle w:val="VerbatimChar"/>
        </w:rPr>
        <w:t xml:space="preserve">│  │         │   (uncertain); quota HELD; reconciled on recovery      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work-order-lifecycle"/>
    <w:p>
      <w:pPr>
        <w:pStyle w:val="Heading2"/>
      </w:pPr>
      <w:r>
        <w:t xml:space="preserve">4. Work Order Lifecycle</w:t>
      </w:r>
    </w:p>
    <w:bookmarkStart w:id="46" w:name="state-machine"/>
    <w:p>
      <w:pPr>
        <w:pStyle w:val="Heading3"/>
      </w:pP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CaptionedFigure"/>
      </w:pPr>
      <w:r>
        <w:drawing>
          <wp:inline>
            <wp:extent cx="4572000" cy="6166757"/>
            <wp:effectExtent b="0" l="0" r="0" t="0"/>
            <wp:docPr descr="Work-order state machine" title="" id="1" name="Picture"/>
            <a:graphic>
              <a:graphicData uri="http://schemas.openxmlformats.org/drawingml/2006/picture">
                <pic:pic>
                  <pic:nvPicPr>
                    <pic:cNvPr descr="diagrams/figma/03-work-order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66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Work-order state machine</w:t>
      </w:r>
    </w:p>
    <w:p>
      <w:pPr>
        <w:pStyle w:val="BodyText"/>
      </w:pPr>
      <w:r>
        <w:rPr>
          <w:iCs/>
          <w:i/>
        </w:rPr>
        <w:t xml:space="preserve">Entry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/api/jobs/:id/plan</w:t>
      </w:r>
      <w:r>
        <w:rPr>
          <w:iCs/>
          <w:i/>
        </w:rPr>
        <w:t xml:space="preserve"> </w:t>
      </w:r>
      <w:r>
        <w:rPr>
          <w:iCs/>
          <w:i/>
        </w:rPr>
        <w:t xml:space="preserve">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PLANNED</w:t>
      </w:r>
      <w:r>
        <w:rPr>
          <w:iCs/>
          <w:i/>
        </w:rPr>
        <w:t xml:space="preserve"> </w:t>
      </w:r>
      <w:r>
        <w:rPr>
          <w:iCs/>
          <w:i/>
        </w:rPr>
        <w:t xml:space="preserve">(Month 1)</w:t>
      </w:r>
      <w:r>
        <w:rPr>
          <w:iCs/>
          <w:i/>
        </w:rPr>
        <w:t xml:space="preserve"> </w:t>
      </w:r>
      <w:r>
        <w:rPr>
          <w:iCs/>
          <w:i/>
        </w:rPr>
        <w:t xml:space="preserve">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(Month 2+). The per-month approval gate flips</w:t>
      </w:r>
      <w:r>
        <w:rPr>
          <w:iCs/>
          <w:i/>
        </w:rPr>
        <w:t xml:space="preserve"> </w:t>
      </w:r>
      <w:r>
        <w:rPr>
          <w:iCs/>
          <w:i/>
        </w:rPr>
        <w:t xml:space="preserve">awaiting → planned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/approve-month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runSubmission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reserves</w:t>
      </w:r>
      <w:r>
        <w:rPr>
          <w:iCs/>
          <w:i/>
        </w:rPr>
        <w:t xml:space="preserve"> </w:t>
      </w:r>
      <w:r>
        <w:rPr>
          <w:iCs/>
          <w:i/>
        </w:rPr>
        <w:t xml:space="preserve">quota → either advances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(POST in flight) or marks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(cap hit; retries on UTC rollover). Adobe 2xx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; Adobe 4xx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with quota released; 5xx /</w:t>
      </w:r>
      <w:r>
        <w:rPr>
          <w:iCs/>
          <w:i/>
        </w:rPr>
        <w:t xml:space="preserve"> </w:t>
      </w:r>
      <w:r>
        <w:rPr>
          <w:iCs/>
          <w:i/>
        </w:rPr>
        <w:t xml:space="preserve">timeout / network → stay 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, quota held, awaiting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reconcile. Monitor polls submitted WOs to terminal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docs/diagrams/03-work-order-state-machine.mmd</w:t>
      </w:r>
      <w:r>
        <w:rPr>
          <w:iCs/>
          <w:i/>
        </w:rPr>
        <w:t xml:space="preserve">.</w:t>
      </w:r>
    </w:p>
    <w:bookmarkEnd w:id="46"/>
    <w:bookmarkStart w:id="47" w:name="crash-uncertain-submit-recovery"/>
    <w:p>
      <w:pPr>
        <w:pStyle w:val="Heading3"/>
      </w:pP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 found</w:t>
            </w:r>
            <w:r>
              <w:t xml:space="preserve"> </w:t>
            </w:r>
            <w:r>
              <w:t xml:space="preserve">— Adobe has the WO under our persisted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p>
            <w:pPr>
              <w:pStyle w:val="Compact"/>
              <w:jc w:val="lef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; non-terminal Adobe status →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, terminal (completed/failed) → local completed/failed +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markAccepted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reactivate</w:t>
            </w:r>
            <w:r>
              <w:t xml:space="preserve"> </w:t>
            </w:r>
            <w:r>
              <w:t xml:space="preserve">if it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). The write is CAS-guarded so concurrent reconcile results stay monotonic.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match</w:t>
            </w:r>
            <w:r>
              <w:t xml:space="preserve"> </w:t>
            </w:r>
            <w:r>
              <w:t xml:space="preserve">— Adobe returned 200 but our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not in the list</w:t>
            </w:r>
          </w:p>
        </w:tc>
        <w:tc>
          <w:p>
            <w:pPr>
              <w:pStyle w:val="Compact"/>
              <w:jc w:val="left"/>
            </w:pPr>
            <w:r>
              <w:t xml:space="preserve">INDETERMINATE — a no-match does NOT prove absence (work-order creation is async, no read-after-write guarantee). 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leave it 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submitting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with its reservation HELD</w:t>
            </w:r>
            <w:r>
              <w:t xml:space="preserve"> </w:t>
            </w:r>
            <w:r>
              <w:t xml:space="preserve">— never auto-roll-back, which would risk a duplicate on retry. The operator confirms absence in Adobe’s UI, then uses the per-WO</w:t>
            </w:r>
            <w:r>
              <w:t xml:space="preserve"> </w:t>
            </w:r>
            <w:r>
              <w:rPr>
                <w:bCs/>
                <w:b/>
              </w:rPr>
              <w:t xml:space="preserve">release-absent</w:t>
            </w:r>
            <w:r>
              <w:t xml:space="preserve"> </w:t>
            </w:r>
            <w:r>
              <w:t xml:space="preserve">action to release + retry.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as failed but AMBIGUOUS — a no-match does NOT prove absence (a legacy/timeout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Adobe may actually have processed), so it stays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and ordinary job-delete fail-closes.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the next reconcile attempt retries. Never roll back on ambiguity.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Cs/>
          <w:b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47"/>
    <w:bookmarkStart w:id="48" w:name="status-reference"/>
    <w:p>
      <w:pPr>
        <w:pStyle w:val="Heading3"/>
      </w:pPr>
      <w:r>
        <w:t xml:space="preserve">4.3 Status Reference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planned</w:t>
            </w:r>
          </w:p>
        </w:tc>
        <w:tc>
          <w:p>
            <w:pPr>
              <w:pStyle w:val="Compact"/>
              <w:jc w:val="left"/>
            </w:pPr>
            <w:r>
              <w:t xml:space="preserve">Work order created locally; ready to submit to Adobe</w:t>
            </w:r>
          </w:p>
        </w:tc>
        <w:tc>
          <w:p>
            <w:pPr>
              <w:pStyle w:val="Compact"/>
              <w:jc w:val="left"/>
            </w:pPr>
            <w:r>
              <w:t xml:space="preserve">runSubmission picks 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p>
            <w:pPr>
              <w:pStyle w:val="Compact"/>
              <w:jc w:val="left"/>
            </w:pPr>
            <w:r>
              <w:t xml:space="preserve">Month 2+ gate; operator must approve before submission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“</w:t>
            </w:r>
            <w:r>
              <w:t xml:space="preserve">Approve Month 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</w:t>
            </w:r>
          </w:p>
        </w:tc>
        <w:tc>
          <w:p>
            <w:pPr>
              <w:pStyle w:val="Compact"/>
              <w:jc w:val="left"/>
            </w:pPr>
            <w:r>
              <w:t xml:space="preserve">Quota exhausted for today / this month; will retry after UTC rollover</w:t>
            </w:r>
          </w:p>
        </w:tc>
        <w:tc>
          <w:p>
            <w:pPr>
              <w:pStyle w:val="Compact"/>
              <w:jc w:val="left"/>
            </w:pPr>
            <w:r>
              <w:t xml:space="preserve">Auto-resumes next 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submitting</w:t>
            </w:r>
          </w:p>
        </w:tc>
        <w:tc>
          <w:p>
            <w:pPr>
              <w:pStyle w:val="Compact"/>
              <w:jc w:val="lef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p>
            <w:pPr>
              <w:pStyle w:val="Compact"/>
              <w:jc w:val="lef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submitted</w:t>
            </w:r>
          </w:p>
        </w:tc>
        <w:tc>
          <w:p>
            <w:pPr>
              <w:pStyle w:val="Compact"/>
              <w:jc w:val="left"/>
            </w:pPr>
            <w:r>
              <w:t xml:space="preserve">Adobe ACK’d with a work-order ID; monitoring in progress</w:t>
            </w:r>
          </w:p>
        </w:tc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Adobe confirms deletion complete (terminal)</w:t>
            </w:r>
          </w:p>
        </w:tc>
        <w:tc>
          <w:p>
            <w:pPr>
              <w:pStyle w:val="Compact"/>
              <w:jc w:val="left"/>
            </w:pPr>
            <w:r>
              <w:t xml:space="preserve">Export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p>
            <w:pPr>
              <w:pStyle w:val="Compact"/>
              <w:jc w:val="left"/>
            </w:pPr>
            <w:r>
              <w:t xml:space="preserve">Two kinds:</w:t>
            </w:r>
            <w:r>
              <w:t xml:space="preserve"> </w:t>
            </w:r>
            <w:r>
              <w:rPr>
                <w:bCs/>
                <w:b/>
              </w:rPr>
              <w:t xml:space="preserve">definitive</w:t>
            </w:r>
            <w:r>
              <w:t xml:space="preserve"> </w:t>
            </w:r>
            <w:r>
              <w:t xml:space="preserve">— a 4xx rejection,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failure_definitive=1</w:t>
            </w:r>
            <w:r>
              <w:t xml:space="preserve">, Adobe never created it so no quota spent → safe to delete;</w:t>
            </w:r>
            <w:r>
              <w:t xml:space="preserve"> </w:t>
            </w:r>
            <w:r>
              <w:rPr>
                <w:bCs/>
                <w:b/>
              </w:rPr>
              <w:t xml:space="preserve">ambiguous</w:t>
            </w:r>
            <w:r>
              <w:t xml:space="preserve"> </w:t>
            </w:r>
            <w:r>
              <w:t xml:space="preserve">— a legacy/timeout outcome with no Adobe ID,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→ Adobe may have processed it, so ordinary job-delete is blocked (409</w:t>
            </w:r>
            <w:r>
              <w:t xml:space="preserve"> </w:t>
            </w:r>
            <w:r>
              <w:rPr>
                <w:rStyle w:val="VerbatimChar"/>
              </w:rPr>
              <w:t xml:space="preserve">unsettled</w:t>
            </w:r>
            <w:r>
              <w:t xml:space="preserve">) until reconciled (or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  <w:r>
              <w:t xml:space="preserve">). A monitor-reported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has an Adobe ID → terminal, not ambiguous.</w:t>
            </w:r>
          </w:p>
        </w:tc>
        <w:tc>
          <w:p>
            <w:pPr>
              <w:pStyle w:val="Compact"/>
              <w:jc w:val="left"/>
            </w:pPr>
            <w:r>
              <w:t xml:space="preserve">Review error message; reconcile (settles any Adobe actually has); for ambiguous, verify in Adobe +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</w:p>
        </w:tc>
      </w:tr>
    </w:tbl>
    <w:bookmarkEnd w:id="48"/>
    <w:bookmarkStart w:id="50" w:name="submit-reconcile-flow"/>
    <w:p>
      <w:pPr>
        <w:pStyle w:val="Heading3"/>
      </w:pP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CaptionedFigure"/>
      </w:pPr>
      <w:r>
        <w:drawing>
          <wp:inline>
            <wp:extent cx="3794760" cy="6169195"/>
            <wp:effectExtent b="0" l="0" r="0" t="0"/>
            <wp:docPr descr="Submit and reconcile flow" title="" id="1" name="Picture"/>
            <a:graphic>
              <a:graphicData uri="http://schemas.openxmlformats.org/drawingml/2006/picture">
                <pic:pic>
                  <pic:nvPicPr>
                    <pic:cNvPr descr="diagrams/figma/08-submit-reconcile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616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and reconcile flow</w:t>
      </w:r>
    </w:p>
    <w:p>
      <w:pPr>
        <w:pStyle w:val="BodyText"/>
      </w:pPr>
      <w:r>
        <w:rPr>
          <w:iCs/>
          <w:i/>
        </w:rPr>
        <w:t xml:space="preserve">Quota reserve gates the POST; the four post-POST outcomes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SUBMITTING-uncertain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each have a precise recovery path. SUBMITTING-uncertain WOs come back</w:t>
      </w:r>
      <w:r>
        <w:rPr>
          <w:iCs/>
          <w:i/>
        </w:rPr>
        <w:t xml:space="preserve"> </w:t>
      </w:r>
      <w:r>
        <w:rPr>
          <w:iCs/>
          <w:i/>
        </w:rPr>
        <w:t xml:space="preserve">to life via the orphan-recovery path (boot-time 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/api/jobs/:id/reconcile</w:t>
      </w:r>
      <w:r>
        <w:rPr>
          <w:iCs/>
          <w:i/>
        </w:rPr>
        <w:t xml:space="preserve">); previously-FAILED WOs can also be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reconciled if found in Adobe (re-reserves the quota the previous</w:t>
      </w:r>
      <w:r>
        <w:rPr>
          <w:iCs/>
          <w:i/>
        </w:rPr>
        <w:t xml:space="preserve"> </w:t>
      </w:r>
      <w:r>
        <w:rPr>
          <w:iCs/>
          <w:i/>
        </w:rPr>
        <w:t xml:space="preserve">error-handling path released).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multi-month-quota-planning"/>
    <w:p>
      <w:pPr>
        <w:pStyle w:val="Heading2"/>
      </w:pPr>
      <w:r>
        <w:t xml:space="preserve">5. Multi-Month Quota Planning</w:t>
      </w:r>
    </w:p>
    <w:bookmarkStart w:id="52" w:name="why-multi-month-planning-exists"/>
    <w:p>
      <w:pPr>
        <w:pStyle w:val="Heading3"/>
      </w:pP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Daily cap</w:t>
      </w:r>
      <w:r>
        <w:t xml:space="preserve">: typically 1,000,000 identifiers per day (varies by contract)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52"/>
    <w:bookmarkStart w:id="54" w:name="planning-diagram"/>
    <w:p>
      <w:pPr>
        <w:pStyle w:val="Heading3"/>
      </w:pP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CaptionedFigure"/>
      </w:pPr>
      <w:r>
        <w:drawing>
          <wp:inline>
            <wp:extent cx="3977640" cy="6167797"/>
            <wp:effectExtent b="0" l="0" r="0" t="0"/>
            <wp:docPr descr="Multi-month planning" title="" id="1" name="Picture"/>
            <a:graphic>
              <a:graphicData uri="http://schemas.openxmlformats.org/drawingml/2006/picture">
                <pic:pic>
                  <pic:nvPicPr>
                    <pic:cNvPr descr="diagrams/figma/04-multi-month-plann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6167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Multi-month planning</w:t>
      </w:r>
    </w:p>
    <w:p>
      <w:pPr>
        <w:pStyle w:val="BodyText"/>
      </w:pPr>
      <w:r>
        <w:rPr>
          <w:iCs/>
          <w:i/>
        </w:rPr>
        <w:t xml:space="preserve">Month 1 (blue) ships immediately when the operator clicks Submit on</w:t>
      </w:r>
      <w:r>
        <w:rPr>
          <w:iCs/>
          <w:i/>
        </w:rPr>
        <w:t xml:space="preserve"> </w:t>
      </w:r>
      <w:r>
        <w:rPr>
          <w:iCs/>
          <w:i/>
        </w:rPr>
        <w:t xml:space="preserve">Day 1. Month 2 (orange) stays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until the</w:t>
      </w:r>
      <w:r>
        <w:rPr>
          <w:iCs/>
          <w:i/>
        </w:rPr>
        <w:t xml:space="preserve"> </w:t>
      </w:r>
      <w:r>
        <w:rPr>
          <w:iCs/>
          <w:i/>
        </w:rPr>
        <w:t xml:space="preserve">operator clicks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Approve Month 2</w:t>
      </w:r>
      <w:r>
        <w:rPr>
          <w:iCs/>
          <w:i/>
        </w:rPr>
        <w:t xml:space="preserve"> </w:t>
      </w:r>
      <w:r>
        <w:rPr>
          <w:iCs/>
          <w:i/>
        </w:rPr>
        <w:t xml:space="preserve">— a per-month sign-off gate so</w:t>
      </w:r>
      <w:r>
        <w:rPr>
          <w:iCs/>
          <w:i/>
        </w:rPr>
        <w:t xml:space="preserve"> </w:t>
      </w:r>
      <w:r>
        <w:rPr>
          <w:iCs/>
          <w:i/>
        </w:rPr>
        <w:t xml:space="preserve">nobody accidentally lets a multi-month deletion run unattended.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Total job: 2,500,000 identifiers, 4 days across 2 months, 25 WOs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live redistributor</w:t>
      </w:r>
      <w:r>
        <w:rPr>
          <w:iCs/>
          <w:i/>
        </w:rPr>
        <w:t xml:space="preserve"> </w:t>
      </w:r>
      <w:r>
        <w:rPr>
          <w:iCs/>
          <w:i/>
        </w:rPr>
        <w:t xml:space="preserve">(green) runs before every plan and submit,</w:t>
      </w:r>
      <w:r>
        <w:rPr>
          <w:iCs/>
          <w:i/>
        </w:rPr>
        <w:t xml:space="preserve"> </w:t>
      </w:r>
      <w:r>
        <w:rPr>
          <w:iCs/>
          <w:i/>
        </w:rPr>
        <w:t xml:space="preserve">so day/month bucketing always reflects the current Adobe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/quota</w:t>
      </w:r>
      <w:r>
        <w:rPr>
          <w:iCs/>
          <w:i/>
        </w:rPr>
        <w:t xml:space="preserve"> </w:t>
      </w:r>
      <w:r>
        <w:rPr>
          <w:iCs/>
          <w:i/>
        </w:rPr>
        <w:t xml:space="preserve">numbers, not what they were when the plan was first built.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docs/diagrams/04-multi-month-planning.mmd</w:t>
      </w:r>
      <w:r>
        <w:rPr>
          <w:iCs/>
          <w:i/>
        </w:rPr>
        <w:t xml:space="preserve">.</w:t>
      </w:r>
    </w:p>
    <w:bookmarkEnd w:id="54"/>
    <w:bookmarkStart w:id="55" w:name="live-quota-redistribution"/>
    <w:p>
      <w:pPr>
        <w:pStyle w:val="Heading3"/>
      </w:pP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numPr>
          <w:ilvl w:val="0"/>
          <w:numId w:val="1010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numPr>
          <w:ilvl w:val="0"/>
          <w:numId w:val="1010"/>
        </w:numPr>
        <w:pStyle w:val="Compact"/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numPr>
          <w:ilvl w:val="0"/>
          <w:numId w:val="1010"/>
        </w:numPr>
        <w:pStyle w:val="Compact"/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day’s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Cs/>
          <w:b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Cs/>
          <w:b/>
        </w:rPr>
        <w:t xml:space="preserve">never changes</w:t>
      </w:r>
      <w:r>
        <w:t xml:space="preserve"> </w:t>
      </w:r>
      <w:r>
        <w:t xml:space="preserve">— only the bucket labels do. This is the</w:t>
      </w:r>
      <w:r>
        <w:t xml:space="preserve"> </w:t>
      </w:r>
      <w:r>
        <w:t xml:space="preserve">“</w:t>
      </w:r>
      <w:r>
        <w:t xml:space="preserve">if someone</w:t>
      </w:r>
      <w:r>
        <w:t xml:space="preserve"> </w:t>
      </w:r>
      <w:r>
        <w:t xml:space="preserve">else’s app consumed 300 k of your daily quota since you planned, push</w:t>
      </w:r>
      <w:r>
        <w:t xml:space="preserve"> </w:t>
      </w:r>
      <w:r>
        <w:t xml:space="preserve">our remaining work to a later window</w:t>
      </w:r>
      <w:r>
        <w:t xml:space="preserve">”</w:t>
      </w:r>
      <w:r>
        <w:t xml:space="preserve"> </w:t>
      </w:r>
      <w:r>
        <w:t xml:space="preserve">behaviour the operator can rely on.</w:t>
      </w:r>
    </w:p>
    <w:p>
      <w:pPr>
        <w:pStyle w:val="BlockText"/>
      </w:pPr>
      <w:r>
        <w:rPr>
          <w:bCs/>
          <w:b/>
        </w:rPr>
        <w:t xml:space="preserve">Day-label continuity.</w:t>
      </w:r>
      <w:r>
        <w:t xml:space="preserve"> </w:t>
      </w:r>
      <w:r>
        <w:t xml:space="preserve">When a job ships across multiple days, the</w:t>
      </w:r>
      <w:r>
        <w:t xml:space="preserve"> </w:t>
      </w:r>
      <w:r>
        <w:t xml:space="preserve">redistributor seeds the starting</w:t>
      </w:r>
      <w:r>
        <w:t xml:space="preserve"> </w:t>
      </w:r>
      <w:r>
        <w:rPr>
          <w:rStyle w:val="VerbatimChar"/>
        </w:rPr>
        <w:t xml:space="preserve">(month, day)</w:t>
      </w:r>
      <w:r>
        <w:t xml:space="preserve"> </w:t>
      </w:r>
      <w:r>
        <w:t xml:space="preserve">of the un-shipped tail from</w:t>
      </w:r>
      <w:r>
        <w:t xml:space="preserve"> </w:t>
      </w:r>
      <w:r>
        <w:t xml:space="preserve">the highest already-shipped window and continues past it, so a remainder</w:t>
      </w:r>
      <w:r>
        <w:t xml:space="preserve"> </w:t>
      </w:r>
      <w:r>
        <w:t xml:space="preserve">reads as</w:t>
      </w:r>
      <w:r>
        <w:t xml:space="preserve"> </w:t>
      </w:r>
      <w:r>
        <w:t xml:space="preserve">“</w:t>
      </w:r>
      <w:r>
        <w:t xml:space="preserve">Day 2</w:t>
      </w:r>
      <w:r>
        <w:t xml:space="preserve">”</w:t>
      </w:r>
      <w:r>
        <w:t xml:space="preserve"> </w:t>
      </w:r>
      <w:r>
        <w:t xml:space="preserve">rather than resetting to</w:t>
      </w:r>
      <w:r>
        <w:t xml:space="preserve"> </w:t>
      </w:r>
      <w:r>
        <w:t xml:space="preserve">“</w:t>
      </w:r>
      <w:r>
        <w:t xml:space="preserve">Day 1</w:t>
      </w:r>
      <w:r>
        <w:t xml:space="preserve">”</w:t>
      </w:r>
      <w:r>
        <w:t xml:space="preserve">. This is a label-only</w:t>
      </w:r>
      <w:r>
        <w:t xml:space="preserve"> </w:t>
      </w:r>
      <w:r>
        <w:t xml:space="preserve">change: it never alters identity content or the quota reservation, so the</w:t>
      </w:r>
      <w:r>
        <w:t xml:space="preserve"> </w:t>
      </w:r>
      <w:r>
        <w:t xml:space="preserve">no-over-ship guarantee holds and shipped work orders stay immutable. The UI</w:t>
      </w:r>
      <w:r>
        <w:t xml:space="preserve"> </w:t>
      </w:r>
      <w:r>
        <w:t xml:space="preserve">also lands on the first day that still has pending work.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adobe-api-integration"/>
    <w:p>
      <w:pPr>
        <w:pStyle w:val="Heading2"/>
      </w:pPr>
      <w:r>
        <w:t xml:space="preserve">6. Adobe API Integration</w:t>
      </w:r>
    </w:p>
    <w:bookmarkStart w:id="57" w:name="api-summary"/>
    <w:p>
      <w:pPr>
        <w:pStyle w:val="Heading3"/>
      </w:pPr>
      <w:r>
        <w:t xml:space="preserve">6.1 API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/ims/token/v3</w:t>
            </w:r>
          </w:p>
        </w:tc>
        <w:tc>
          <w:p>
            <w:pPr>
              <w:pStyle w:val="Compact"/>
              <w:jc w:val="left"/>
            </w:pPr>
            <w:r>
              <w:t xml:space="preserve">IMS bearer token</w:t>
            </w:r>
          </w:p>
        </w:tc>
        <w:tc>
          <w:p>
            <w:pPr>
              <w:pStyle w:val="Compact"/>
              <w:jc w:val="left"/>
            </w:pPr>
            <w:r>
              <w:t xml:space="preserve">ims-na1.adobelogin.com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p>
            <w:pPr>
              <w:pStyle w:val="Compact"/>
              <w:jc w:val="left"/>
            </w:pPr>
            <w:r>
              <w:t xml:space="preserve">List active sandboxes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Identity-enabled datasets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 namespaces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p>
            <w:pPr>
              <w:pStyle w:val="Compact"/>
              <w:jc w:val="left"/>
            </w:pPr>
            <w:r>
              <w:t xml:space="preserve">Expand identity cluster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p>
            <w:pPr>
              <w:pStyle w:val="Compact"/>
              <w:jc w:val="left"/>
            </w:pPr>
            <w:r>
              <w:t xml:space="preserve">Create record-delete WO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p>
            <w:pPr>
              <w:pStyle w:val="Compact"/>
              <w:jc w:val="left"/>
            </w:pPr>
            <w:r>
              <w:t xml:space="preserve">Poll work-order status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p>
            <w:pPr>
              <w:pStyle w:val="Compact"/>
              <w:jc w:val="left"/>
            </w:pPr>
            <w:r>
              <w:t xml:space="preserve">Live daily + monthly quota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</w:tbl>
    <w:bookmarkEnd w:id="57"/>
    <w:bookmarkStart w:id="59" w:name="region-architecture"/>
    <w:p>
      <w:pPr>
        <w:pStyle w:val="Heading3"/>
      </w:pP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Cs/>
          <w:b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</w:t>
      </w:r>
      <w:r>
        <w:t xml:space="preserve"> </w:t>
      </w:r>
      <w:r>
        <w:t xml:space="preserve">“</w:t>
      </w:r>
      <w:r>
        <w:t xml:space="preserve">no linked identities</w:t>
      </w:r>
      <w:r>
        <w:t xml:space="preserve">”</w:t>
      </w:r>
      <w:r>
        <w:t xml:space="preserve"> </w:t>
      </w:r>
      <w:r>
        <w:t xml:space="preserve">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CaptionedFigure"/>
      </w:pPr>
      <w:r>
        <w:drawing>
          <wp:inline>
            <wp:extent cx="5334000" cy="5314553"/>
            <wp:effectExtent b="0" l="0" r="0" t="0"/>
            <wp:docPr descr="Region architecture" title="" id="1" name="Picture"/>
            <a:graphic>
              <a:graphicData uri="http://schemas.openxmlformats.org/drawingml/2006/picture">
                <pic:pic>
                  <pic:nvPicPr>
                    <pic:cNvPr descr="diagrams/figma/05-region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architecture</w:t>
      </w:r>
    </w:p>
    <w:p>
      <w:pPr>
        <w:pStyle w:val="BodyText"/>
      </w:pPr>
      <w:r>
        <w:rPr>
          <w:iCs/>
          <w:i/>
        </w:rPr>
        <w:t xml:space="preserve">Each credential row carries its own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region</w:t>
      </w:r>
      <w:r>
        <w:rPr>
          <w:iCs/>
          <w:i/>
        </w:rPr>
        <w:t xml:space="preserve">. The URL builder</w:t>
      </w:r>
      <w:r>
        <w:rPr>
          <w:iCs/>
          <w:i/>
        </w:rPr>
        <w:t xml:space="preserve"> </w:t>
      </w:r>
      <w:r>
        <w:rPr>
          <w:iCs/>
          <w:i/>
        </w:rPr>
        <w:t xml:space="preserve">templates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https://platform-${region}.adobe.io</w:t>
      </w:r>
      <w:r>
        <w:rPr>
          <w:iCs/>
          <w:i/>
        </w:rPr>
        <w:t xml:space="preserve"> </w:t>
      </w:r>
      <w:r>
        <w:rPr>
          <w:iCs/>
          <w:i/>
        </w:rPr>
        <w:t xml:space="preserve">from that field — never</w:t>
      </w:r>
      <w:r>
        <w:rPr>
          <w:iCs/>
          <w:i/>
        </w:rPr>
        <w:t xml:space="preserve"> </w:t>
      </w:r>
      <w:r>
        <w:rPr>
          <w:iCs/>
          <w:i/>
        </w:rPr>
        <w:t xml:space="preserve">from a global default. Three layers of defence-in-depth allowlist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routes/config.js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namespaces.js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identityGraph.js</w:t>
      </w:r>
      <w:r>
        <w:rPr>
          <w:iCs/>
          <w:i/>
        </w:rPr>
        <w:t xml:space="preserve">) refuse to</w:t>
      </w:r>
      <w:r>
        <w:rPr>
          <w:iCs/>
          <w:i/>
        </w:rPr>
        <w:t xml:space="preserve"> </w:t>
      </w:r>
      <w:r>
        <w:rPr>
          <w:iCs/>
          <w:i/>
        </w:rPr>
        <w:t xml:space="preserve">build an Identity host with any value outside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{va7, nld2, aus5, can2}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even if a tampered DB row holds something exotic — preventing SSRF</w:t>
      </w:r>
      <w:r>
        <w:rPr>
          <w:iCs/>
          <w:i/>
        </w:rPr>
        <w:t xml:space="preserve"> </w:t>
      </w:r>
      <w:r>
        <w:rPr>
          <w:iCs/>
          <w:i/>
        </w:rPr>
        <w:t xml:space="preserve">via host injection.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docs/diagrams/05-region-architecture.mmd</w:t>
      </w:r>
      <w:r>
        <w:rPr>
          <w:iCs/>
          <w:i/>
        </w:rPr>
        <w:t xml:space="preserve">.</w:t>
      </w:r>
    </w:p>
    <w:bookmarkEnd w:id="59"/>
    <w:bookmarkStart w:id="60" w:name="work-order-payload"/>
    <w:p>
      <w:pPr>
        <w:pStyle w:val="Heading3"/>
      </w:pP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constraints (all validated locally before the network call):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81"/>
        <w:gridCol w:w="6038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p>
            <w:pPr>
              <w:pStyle w:val="Compact"/>
              <w:jc w:val="left"/>
            </w:pPr>
            <w:r>
              <w:t xml:space="preserve">1 – 100,000 (Adobe hard limit)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targetServices</w:t>
            </w:r>
          </w:p>
        </w:tc>
        <w:tc>
          <w:p>
            <w:pPr>
              <w:pStyle w:val="Compact"/>
              <w:jc w:val="lef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Namespace entry</w:t>
            </w:r>
          </w:p>
        </w:tc>
        <w:tc>
          <w:p>
            <w:pPr>
              <w:pStyle w:val="Compact"/>
              <w:jc w:val="lef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60"/>
    <w:bookmarkStart w:id="61" w:name="identity-quota"/>
    <w:p>
      <w:pPr>
        <w:pStyle w:val="Heading3"/>
      </w:pPr>
      <w:r>
        <w:t xml:space="preserve">6.4 Identity Quota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Configurable via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cap</w:t>
            </w:r>
          </w:p>
        </w:tc>
        <w:tc>
          <w:p>
            <w:pPr>
              <w:pStyle w:val="Compact"/>
              <w:jc w:val="left"/>
            </w:pPr>
            <w:r>
              <w:t xml:space="preserve">1,000,000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cap</w:t>
            </w:r>
          </w:p>
        </w:tc>
        <w:tc>
          <w:p>
            <w:pPr>
              <w:pStyle w:val="Compact"/>
              <w:jc w:val="left"/>
            </w:pPr>
            <w:r>
              <w:t xml:space="preserve">3,000,000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Cs/>
          <w:b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urity-architecture"/>
    <w:p>
      <w:pPr>
        <w:pStyle w:val="Heading2"/>
      </w:pPr>
      <w:r>
        <w:t xml:space="preserve">7. Security Architecture</w:t>
      </w:r>
    </w:p>
    <w:bookmarkStart w:id="64" w:name="defense-in-depth-model"/>
    <w:p>
      <w:pPr>
        <w:pStyle w:val="Heading3"/>
      </w:pP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Cs/>
          <w:b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Cs/>
          <w:b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CaptionedFigure"/>
      </w:pPr>
      <w:r>
        <w:drawing>
          <wp:inline>
            <wp:extent cx="5334000" cy="6331655"/>
            <wp:effectExtent b="0" l="0" r="0" t="0"/>
            <wp:docPr descr="Defense-in-depth" title="" id="1" name="Picture"/>
            <a:graphic>
              <a:graphicData uri="http://schemas.openxmlformats.org/drawingml/2006/picture">
                <pic:pic>
                  <pic:nvPicPr>
                    <pic:cNvPr descr="diagrams/figma/06-defense-in-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3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Defense-in-depth</w:t>
      </w:r>
    </w:p>
    <w:p>
      <w:pPr>
        <w:pStyle w:val="BodyText"/>
      </w:pPr>
      <w:r>
        <w:rPr>
          <w:iCs/>
          <w:i/>
        </w:rPr>
        <w:t xml:space="preserve">Layers 1-5 are network → HTTP → allowlist → credential → asset</w:t>
      </w:r>
      <w:r>
        <w:rPr>
          <w:iCs/>
          <w:i/>
        </w:rPr>
        <w:t xml:space="preserve"> </w:t>
      </w:r>
      <w:r>
        <w:rPr>
          <w:iCs/>
          <w:i/>
        </w:rPr>
        <w:t xml:space="preserve">isolation. Layer 6 covers the destructive-API specific safety</w:t>
      </w:r>
      <w:r>
        <w:rPr>
          <w:iCs/>
          <w:i/>
        </w:rPr>
        <w:t xml:space="preserve"> </w:t>
      </w:r>
      <w:r>
        <w:rPr>
          <w:iCs/>
          <w:i/>
        </w:rPr>
        <w:t xml:space="preserve">(non-idempotent retry policy, replan-forbidden guard, per-month</w:t>
      </w:r>
      <w:r>
        <w:rPr>
          <w:iCs/>
          <w:i/>
        </w:rPr>
        <w:t xml:space="preserve"> </w:t>
      </w:r>
      <w:r>
        <w:rPr>
          <w:iCs/>
          <w:i/>
        </w:rPr>
        <w:t xml:space="preserve">approval gate, UI-level debounce on every destructive button).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docs/diagrams/06-defense-in-depth.mmd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Per-layer notes: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it’s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can’t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operator’s IP / user-agent / timing to a third-party origin.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4"/>
    <w:bookmarkStart w:id="65" w:name="submission-safety"/>
    <w:p>
      <w:pPr>
        <w:pStyle w:val="Heading3"/>
      </w:pP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 its</w:t>
      </w:r>
      <w:r>
        <w:br/>
      </w:r>
      <w:r>
        <w:rPr>
          <w:rStyle w:val="VerbatimChar"/>
        </w:rPr>
        <w:t xml:space="preserve">     persisted displayName. Match → record the Adobe ID + markAccepted.</w:t>
      </w:r>
      <w:r>
        <w:br/>
      </w:r>
      <w:r>
        <w:rPr>
          <w:rStyle w:val="VerbatimChar"/>
        </w:rPr>
        <w:t xml:space="preserve">     No-match or indeterminate (400 / network) → leave in `submitting` with the</w:t>
      </w:r>
      <w:r>
        <w:br/>
      </w:r>
      <w:r>
        <w:rPr>
          <w:rStyle w:val="VerbatimChar"/>
        </w:rPr>
        <w:t xml:space="preserve">     reservation HELD; NEVER auto-roll-back — a no-match doesn't prove</w:t>
      </w:r>
      <w:r>
        <w:br/>
      </w:r>
      <w:r>
        <w:rPr>
          <w:rStyle w:val="VerbatimChar"/>
        </w:rPr>
        <w:t xml:space="preserve">     Adobe absence. The operator resolves a confirmed-absent one via the</w:t>
      </w:r>
      <w:r>
        <w:br/>
      </w:r>
      <w:r>
        <w:rPr>
          <w:rStyle w:val="VerbatimChar"/>
        </w:rPr>
        <w:t xml:space="preserve">     release-absent action.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7" w:name="environment-configuration-reference"/>
    <w:p>
      <w:pPr>
        <w:pStyle w:val="Heading2"/>
      </w:pPr>
      <w:r>
        <w:t xml:space="preserve">8. Environment Configuration Reference</w:t>
      </w:r>
    </w:p>
    <w:bookmarkStart w:id="73" w:name="complete-environment-variable-reference"/>
    <w:p>
      <w:pPr>
        <w:pStyle w:val="Heading3"/>
      </w:pP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67" w:name="network-server"/>
    <w:p>
      <w:pPr>
        <w:pStyle w:val="Heading4"/>
      </w:pPr>
      <w:r>
        <w:t xml:space="preserve">Network &amp; Server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p>
            <w:pPr>
              <w:pStyle w:val="Compact"/>
              <w:jc w:val="left"/>
            </w:pPr>
            <w:r>
              <w:t xml:space="preserve">HTTP port the Express server listens on. Change if 3000 is in use.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p>
            <w:pPr>
              <w:pStyle w:val="Compact"/>
              <w:jc w:val="lef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OPEN_BROWSER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67"/>
    <w:bookmarkStart w:id="68" w:name="storage-paths"/>
    <w:p>
      <w:pPr>
        <w:pStyle w:val="Heading4"/>
      </w:pPr>
      <w:r>
        <w:t xml:space="preserve">Storage Paths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./data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Cs/>
                <w:b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p>
            <w:pPr>
              <w:pStyle w:val="Compact"/>
              <w:jc w:val="lef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streamed CSV uploads. Must be writeable.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exported result CSVs.</w:t>
            </w:r>
          </w:p>
        </w:tc>
      </w:tr>
    </w:tbl>
    <w:bookmarkEnd w:id="68"/>
    <w:bookmarkStart w:id="69" w:name="security"/>
    <w:p>
      <w:pPr>
        <w:pStyle w:val="Heading4"/>
      </w:pPr>
      <w:r>
        <w:t xml:space="preserve">Security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ENCRYPTION_KEY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(auto-generated)</w:t>
            </w:r>
          </w:p>
        </w:tc>
        <w:tc>
          <w:p>
            <w:pPr>
              <w:pStyle w:val="Compact"/>
              <w:jc w:val="lef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Cs/>
                <w:b/>
              </w:rPr>
              <w:t xml:space="preserve">Do not commit this value.</w:t>
            </w:r>
          </w:p>
        </w:tc>
      </w:tr>
    </w:tbl>
    <w:bookmarkEnd w:id="69"/>
    <w:bookmarkStart w:id="70" w:name="performance-tuning-scalability-knobs"/>
    <w:p>
      <w:pPr>
        <w:pStyle w:val="Heading4"/>
      </w:pPr>
      <w:r>
        <w:t xml:space="preserve">Performance Tuning (scalability knobs)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p>
            <w:pPr>
              <w:pStyle w:val="Compact"/>
              <w:jc w:val="lef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p>
            <w:pPr>
              <w:pStyle w:val="Compact"/>
              <w:jc w:val="lef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60000</w:t>
            </w:r>
          </w:p>
        </w:tc>
        <w:tc>
          <w:p>
            <w:pPr>
              <w:pStyle w:val="Compact"/>
              <w:jc w:val="left"/>
            </w:pPr>
            <w:r>
              <w:t xml:space="preserve">HTTP request timeout in milliseconds (60 seconds). Increase for very slow network connections or VPN routing.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QUOTA_SAFETY_BUFFER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Fraction (0–0.95) of each Adobe quota held back as headroom for</w:t>
            </w:r>
            <w:r>
              <w:t xml:space="preserve"> </w:t>
            </w:r>
            <w:r>
              <w:rPr>
                <w:bCs/>
                <w:b/>
              </w:rPr>
              <w:t xml:space="preserve">concurrent external writers</w:t>
            </w:r>
            <w:r>
              <w:t xml:space="preserve"> </w:t>
            </w:r>
            <w:r>
              <w:t xml:space="preserve">the tool cannot see between its once-per-run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snapshot and its submit. Default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assumes this tool is the only quota writer for the org; set e.g. </w:t>
            </w:r>
            <w:r>
              <w:rPr>
                <w:rStyle w:val="VerbatimChar"/>
              </w:rPr>
              <w:t xml:space="preserve">0.1</w:t>
            </w:r>
            <w:r>
              <w:t xml:space="preserve"> </w:t>
            </w:r>
            <w:r>
              <w:t xml:space="preserve">to reserve 10% if other writers are possible.</w:t>
            </w:r>
          </w:p>
        </w:tc>
      </w:tr>
    </w:tbl>
    <w:bookmarkEnd w:id="70"/>
    <w:bookmarkStart w:id="71" w:name="quota-fallbacks"/>
    <w:p>
      <w:pPr>
        <w:pStyle w:val="Heading4"/>
      </w:pP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Cs/>
          <w:b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daily identifier deletion cap. Match your Adobe contract entitlement.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monthly identifier cap (live Adobe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wins). Adobe always enforces a monthly cap, so there is no</w:t>
            </w:r>
            <w:r>
              <w:t xml:space="preserve"> </w:t>
            </w:r>
            <w:r>
              <w:t xml:space="preserve">“</w:t>
            </w:r>
            <w:r>
              <w:t xml:space="preserve">disable monthly</w:t>
            </w:r>
            <w:r>
              <w:t xml:space="preserve">”</w:t>
            </w:r>
            <w:r>
              <w:t xml:space="preserve"> </w:t>
            </w:r>
            <w:r>
              <w:t xml:space="preserve">option.</w:t>
            </w:r>
          </w:p>
        </w:tc>
      </w:tr>
    </w:tbl>
    <w:bookmarkEnd w:id="71"/>
    <w:bookmarkStart w:id="72" w:name="adobe-endpoints-advanced"/>
    <w:p>
      <w:pPr>
        <w:pStyle w:val="Heading4"/>
      </w:pPr>
      <w:r>
        <w:t xml:space="preserve">Adobe Endpoints (advanced)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AEP_GATEWAY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p>
            <w:pPr>
              <w:pStyle w:val="Compact"/>
              <w:jc w:val="lef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p>
            <w:pPr>
              <w:pStyle w:val="Compact"/>
              <w:jc w:val="left"/>
            </w:pPr>
            <w:r>
              <w:t xml:space="preserve">IMS authentication host. Override for non-production IMS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IMS_SCOPE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(standard AEP scopes)</w:t>
            </w:r>
          </w:p>
        </w:tc>
        <w:tc>
          <w:p>
            <w:pPr>
              <w:pStyle w:val="Compact"/>
              <w:jc w:val="lef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va7</w:t>
            </w:r>
          </w:p>
        </w:tc>
        <w:tc>
          <w:p>
            <w:pPr>
              <w:pStyle w:val="Compact"/>
              <w:jc w:val="lef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72"/>
    <w:bookmarkEnd w:id="73"/>
    <w:bookmarkStart w:id="74" w:name="per-machine-tuning-recommendations"/>
    <w:p>
      <w:pPr>
        <w:pStyle w:val="Heading3"/>
      </w:pP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IDENTITY_CONCURRENCY=5       # conservative default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c>
          <w:p>
            <w:pPr>
              <w:pStyle w:val="Compact"/>
              <w:jc w:val="left"/>
            </w:pPr>
            <w:r>
              <w:t xml:space="preserve">Machine 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Default settings; no change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32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8192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Entire B-tree fits in RAM; no I/O degradation on large 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More headroom; adjust to available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32+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High throughput; watch Adobe 429 rate</w:t>
            </w:r>
          </w:p>
        </w:tc>
      </w:tr>
    </w:tbl>
    <w:bookmarkEnd w:id="74"/>
    <w:bookmarkStart w:id="75" w:name="development-testing"/>
    <w:p>
      <w:pPr>
        <w:pStyle w:val="Heading3"/>
      </w:pPr>
      <w:r>
        <w:t xml:space="preserve">8.3 Development / Testing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SMOKE_SUBMIT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(unset)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Cs/>
                <w:b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75"/>
    <w:bookmarkStart w:id="76" w:name="sample-.env-files"/>
    <w:p>
      <w:pPr>
        <w:pStyle w:val="Heading3"/>
      </w:pP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Cs/>
          <w:b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Cs/>
          <w:b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Cs/>
          <w:b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Cs/>
          <w:b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operational-procedures"/>
    <w:p>
      <w:pPr>
        <w:pStyle w:val="Heading2"/>
      </w:pPr>
      <w:r>
        <w:t xml:space="preserve">9. Operational Procedures</w:t>
      </w:r>
    </w:p>
    <w:bookmarkStart w:id="78" w:name="prerequisites"/>
    <w:p>
      <w:pPr>
        <w:pStyle w:val="Heading3"/>
      </w:pP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78"/>
    <w:bookmarkStart w:id="79" w:name="installation-first-run"/>
    <w:p>
      <w:pPr>
        <w:pStyle w:val="Heading3"/>
      </w:pP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Cs/>
          <w:b/>
        </w:rPr>
        <w:t xml:space="preserve">Start Identity Expansion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Wait for expansion to complete (progress bar in the Jobs tab).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Plan Work Orders</w:t>
      </w:r>
      <w:r>
        <w:t xml:space="preserve">. Review the day/month breakdown.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Day 1</w:t>
      </w:r>
      <w:r>
        <w:t xml:space="preserve">. Work orders are sent to Adobe.</w:t>
      </w:r>
    </w:p>
    <w:p>
      <w:pPr>
        <w:numPr>
          <w:ilvl w:val="0"/>
          <w:numId w:val="1013"/>
        </w:numPr>
        <w:pStyle w:val="Compact"/>
      </w:pPr>
      <w:r>
        <w:t xml:space="preserve">Switch to the</w:t>
      </w:r>
      <w:r>
        <w:t xml:space="preserve"> </w:t>
      </w:r>
      <w:r>
        <w:rPr>
          <w:bCs/>
          <w:b/>
        </w:rPr>
        <w:t xml:space="preserve">Monitor tab</w:t>
      </w:r>
      <w:r>
        <w:t xml:space="preserve"> </w:t>
      </w:r>
      <w:r>
        <w:t xml:space="preserve">to track progress.</w:t>
      </w:r>
    </w:p>
    <w:bookmarkEnd w:id="79"/>
    <w:bookmarkStart w:id="80" w:name="running-tests"/>
    <w:p>
      <w:pPr>
        <w:pStyle w:val="Heading3"/>
      </w:pP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runs scripts/run-tests.mjs (node --test over test/*.test.js)</w:t>
      </w:r>
    </w:p>
    <w:p>
      <w:pPr>
        <w:pStyle w:val="BlockText"/>
      </w:pPr>
      <w:r>
        <w:t xml:space="preserve">The historical</w:t>
      </w:r>
      <w:r>
        <w:t xml:space="preserve"> </w:t>
      </w:r>
      <w:r>
        <w:rPr>
          <w:rStyle w:val="VerbatimChar"/>
        </w:rPr>
        <w:t xml:space="preserve">node --test test</w:t>
      </w:r>
      <w:r>
        <w:t xml:space="preserve"> </w:t>
      </w:r>
      <w:r>
        <w:t xml:space="preserve">form is broken on Node ≥ 23 (the positional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parsed as a single test name). Use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Cs/>
          <w:b/>
        </w:rPr>
        <w:t xml:space="preserve">277 automated tests pass</w:t>
      </w:r>
      <w:r>
        <w:t xml:space="preserve"> </w:t>
      </w:r>
      <w:r>
        <w:t xml:space="preserve">(0 failures). The suite covers work-order</w:t>
      </w:r>
      <w:r>
        <w:t xml:space="preserve"> </w:t>
      </w:r>
      <w:r>
        <w:t xml:space="preserve">payload validation, namespace canonicalization, the quota ledger, the planner</w:t>
      </w:r>
      <w:r>
        <w:t xml:space="preserve"> </w:t>
      </w:r>
      <w:r>
        <w:t xml:space="preserve">and live redistributor, startup recovery and reconciliation, the auto-resume</w:t>
      </w:r>
      <w:r>
        <w:t xml:space="preserve"> </w:t>
      </w:r>
      <w:r>
        <w:t xml:space="preserve">scheduler, the security middleware (host-header and Origin/Referer guards,</w:t>
      </w:r>
      <w:r>
        <w:t xml:space="preserve"> </w:t>
      </w:r>
      <w:r>
        <w:t xml:space="preserve">region/environment allowlists, and the CSV-injection sanitiser), and</w:t>
      </w:r>
      <w:r>
        <w:t xml:space="preserve"> </w:t>
      </w:r>
      <w:r>
        <w:t xml:space="preserve">end-to-end integration with Adobe fully mocked via</w:t>
      </w:r>
      <w:r>
        <w:t xml:space="preserve"> </w:t>
      </w:r>
      <w:r>
        <w:rPr>
          <w:rStyle w:val="VerbatimChar"/>
        </w:rPr>
        <w:t xml:space="preserve">nock</w:t>
      </w:r>
      <w:r>
        <w:t xml:space="preserve">.</w:t>
      </w:r>
    </w:p>
    <w:bookmarkEnd w:id="80"/>
    <w:bookmarkStart w:id="81" w:name="recovering-from-a-crash"/>
    <w:p>
      <w:pPr>
        <w:pStyle w:val="Heading3"/>
      </w:pP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 found</w:t>
      </w:r>
      <w:r>
        <w:t xml:space="preserve"> </w:t>
      </w:r>
      <w:r>
        <w:t xml:space="preserve">— records the Adobe ID + markAccepted;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match</w:t>
      </w:r>
      <w:r>
        <w:t xml:space="preserve"> </w:t>
      </w:r>
      <w:r>
        <w:t xml:space="preserve">— INDETERMINATE: leaves the orphan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its</w:t>
      </w:r>
      <w:r>
        <w:t xml:space="preserve"> </w:t>
      </w:r>
      <w:r>
        <w:t xml:space="preserve">reservation HELD. NEVER auto-rolls-back — a no-match doesn’t prove</w:t>
      </w:r>
      <w:r>
        <w:t xml:space="preserve"> </w:t>
      </w:r>
      <w:r>
        <w:t xml:space="preserve">Adobe absence (async creation, no read-after-write guarantee). The operator</w:t>
      </w:r>
      <w:r>
        <w:t xml:space="preserve"> </w:t>
      </w:r>
      <w:r>
        <w:t xml:space="preserve">confirms absence in Adobe’s UI and releases it via the release-absent action.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</w:t>
      </w:r>
    </w:p>
    <w:bookmarkEnd w:id="81"/>
    <w:bookmarkStart w:id="82" w:name="rotating-credentials"/>
    <w:p>
      <w:pPr>
        <w:pStyle w:val="Heading3"/>
      </w:pPr>
      <w:r>
        <w:t xml:space="preserve">9.5 Rotating Credentials</w:t>
      </w:r>
    </w:p>
    <w:p>
      <w:pPr>
        <w:numPr>
          <w:ilvl w:val="0"/>
          <w:numId w:val="1014"/>
        </w:numPr>
        <w:pStyle w:val="Compact"/>
      </w:pPr>
      <w:r>
        <w:t xml:space="preserve">Update the secret in the</w:t>
      </w:r>
      <w:r>
        <w:t xml:space="preserve"> </w:t>
      </w:r>
      <w:r>
        <w:rPr>
          <w:bCs/>
          <w:b/>
        </w:rPr>
        <w:t xml:space="preserve">Adobe Developer Console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Config tab → pick the saved credential from the dropdown → update</w:t>
      </w:r>
      <w:r>
        <w:t xml:space="preserve"> </w:t>
      </w:r>
      <w:r>
        <w:rPr>
          <w:bCs/>
          <w:b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82"/>
    <w:bookmarkStart w:id="83" w:name="full-reset-wipe-all-state"/>
    <w:p>
      <w:pPr>
        <w:pStyle w:val="Heading3"/>
      </w:pP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83"/>
    <w:bookmarkStart w:id="84" w:name="auto-resume-scheduler"/>
    <w:p>
      <w:pPr>
        <w:pStyle w:val="Heading3"/>
      </w:pP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Cs/>
          <w:b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on / off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time</w:t>
            </w:r>
          </w:p>
        </w:tc>
        <w:tc>
          <w:p>
            <w:pPr>
              <w:pStyle w:val="Compact"/>
              <w:jc w:val="left"/>
            </w:pPr>
            <w:r>
              <w:t xml:space="preserve">HH:MM (24h, operator’s local time)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>
            <w:pPr>
              <w:pStyle w:val="Compact"/>
              <w:jc w:val="left"/>
            </w:pPr>
            <w:r>
              <w:t xml:space="preserve">every-day / weekdays / first-of-month</w:t>
            </w:r>
          </w:p>
        </w:tc>
        <w:tc>
          <w:p>
            <w:pPr>
              <w:pStyle w:val="Compact"/>
              <w:jc w:val="lef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design-decisions"/>
    <w:p>
      <w:pPr>
        <w:pStyle w:val="Heading2"/>
      </w:pPr>
      <w:r>
        <w:t xml:space="preserve">10. Design Decisions</w:t>
      </w:r>
    </w:p>
    <w:bookmarkStart w:id="86" w:name="why-sqlite-not-postgres-or-redis"/>
    <w:p>
      <w:pPr>
        <w:pStyle w:val="Heading3"/>
      </w:pP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86"/>
    <w:bookmarkStart w:id="87" w:name="why-validate-before-the-network"/>
    <w:p>
      <w:pPr>
        <w:pStyle w:val="Heading3"/>
      </w:pP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87"/>
    <w:bookmarkStart w:id="88" w:name="why-in-memory-ims-tokens-not-persisted"/>
    <w:p>
      <w:pPr>
        <w:pStyle w:val="Heading3"/>
      </w:pP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88"/>
    <w:bookmarkStart w:id="89" w:name="Xa0ece07ec830f69ced4c88411541552e4a71969"/>
    <w:p>
      <w:pPr>
        <w:pStyle w:val="Heading3"/>
      </w:pP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89"/>
    <w:bookmarkStart w:id="90" w:name="X171820582e456ea4f68e680ae34cc1aed2d7c38"/>
    <w:p>
      <w:pPr>
        <w:pStyle w:val="Heading3"/>
      </w:pP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numPr>
          <w:ilvl w:val="0"/>
          <w:numId w:val="1015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numPr>
          <w:ilvl w:val="0"/>
          <w:numId w:val="1015"/>
        </w:numPr>
        <w:pStyle w:val="Compact"/>
      </w:pPr>
      <w:r>
        <w:t xml:space="preserve">With only 512MB cache, most page lookups hit disk</w:t>
      </w:r>
    </w:p>
    <w:p>
      <w:pPr>
        <w:numPr>
          <w:ilvl w:val="0"/>
          <w:numId w:val="1015"/>
        </w:numPr>
        <w:pStyle w:val="Compact"/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90"/>
    <w:bookmarkStart w:id="91" w:name="why-wave-based-expansion-scheduling"/>
    <w:p>
      <w:pPr>
        <w:pStyle w:val="Heading3"/>
      </w:pP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known-limitations-extension-points"/>
    <w:p>
      <w:pPr>
        <w:pStyle w:val="Heading2"/>
      </w:pPr>
      <w:r>
        <w:t xml:space="preserve">11. Known Limitations &amp; Extension Points</w:t>
      </w:r>
    </w:p>
    <w:bookmarkStart w:id="93" w:name="current-limitations"/>
    <w:p>
      <w:pPr>
        <w:pStyle w:val="Heading3"/>
      </w:pPr>
      <w:r>
        <w:t xml:space="preserve">11.1 Current Limitations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Single-process only</w:t>
            </w:r>
          </w:p>
        </w:tc>
        <w:tc>
          <w:p>
            <w:pPr>
              <w:pStyle w:val="Compact"/>
              <w:jc w:val="left"/>
            </w:pPr>
            <w:r>
              <w:t xml:space="preserve">A DB-path advisory lock blocks a second instance against the same database; without it, two instances against one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would corrupt the WAL.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multi-user auth</w:t>
            </w:r>
          </w:p>
        </w:tc>
        <w:tc>
          <w:p>
            <w:pPr>
              <w:pStyle w:val="Compact"/>
              <w:jc w:val="lef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 source namespace</w:t>
            </w:r>
          </w:p>
        </w:tc>
        <w:tc>
          <w:p>
            <w:pPr>
              <w:pStyle w:val="Compact"/>
              <w:jc w:val="lef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CSV per job</w:t>
            </w:r>
          </w:p>
        </w:tc>
        <w:tc>
          <w:p>
            <w:pPr>
              <w:pStyle w:val="Compact"/>
              <w:jc w:val="left"/>
            </w:pPr>
            <w:r>
              <w:t xml:space="preserve">No batch/folder upload. Each deletion batch requires a separate job.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credential export</w:t>
            </w:r>
          </w:p>
        </w:tc>
        <w:tc>
          <w:p>
            <w:pPr>
              <w:pStyle w:val="Compact"/>
              <w:jc w:val="lef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  <w:tc>
          <w:p>
            <w:pPr>
              <w:pStyle w:val="Compact"/>
              <w:jc w:val="left"/>
            </w:pPr>
            <w:r>
              <w:t xml:space="preserve">Adobe doesn’t emit webhooks for work-order status. 60-second polling is the only option (with a 15s per-WO timeout cap and a reentrancy guard).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UTC midnight quota rollover</w:t>
            </w:r>
          </w:p>
        </w:tc>
        <w:tc>
          <w:p>
            <w:pPr>
              <w:pStyle w:val="Compact"/>
              <w:jc w:val="lef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OneDrive path warning</w:t>
            </w:r>
          </w:p>
        </w:tc>
        <w:tc>
          <w:p>
            <w:pPr>
              <w:pStyle w:val="Compact"/>
              <w:jc w:val="lef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rate limits</w:t>
            </w:r>
          </w:p>
        </w:tc>
        <w:tc>
          <w:p>
            <w:pPr>
              <w:pStyle w:val="Compact"/>
              <w:jc w:val="left"/>
            </w:pPr>
            <w:r>
              <w:t xml:space="preserve">Adobe Identity Service rate-limits aggressively against any individual org. The tool surfaces 429 counts in the per-batch summary; the operator’s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(</w:t>
            </w:r>
            <w:r>
              <w:rPr>
                <w:rStyle w:val="VerbatimChar"/>
              </w:rPr>
              <w:t xml:space="preserve">IDENTITY_CONCURRENCY=5</w:t>
            </w:r>
            <w:r>
              <w:t xml:space="preserve">) is deliberately conservative; higher values risk sustained 429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 from Adobe’s Identity Service.</w:t>
            </w:r>
          </w:p>
        </w:tc>
      </w:tr>
    </w:tbl>
    <w:bookmarkEnd w:id="93"/>
    <w:bookmarkStart w:id="94" w:name="Xd92de5ecded184b82f27cb6ec9851a2b8a42a7b"/>
    <w:p>
      <w:pPr>
        <w:pStyle w:val="Heading3"/>
      </w:pPr>
      <w:r>
        <w:t xml:space="preserve">11.2 Validation History — resolved hardening items</w:t>
      </w:r>
    </w:p>
    <w:p>
      <w:pPr>
        <w:pStyle w:val="FirstParagraph"/>
      </w:pPr>
      <w:r>
        <w:t xml:space="preserve">The following issues were identified and resolved during the tool’s hardening and are retained as validation evidence: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00"/>
        <w:gridCol w:w="6019"/>
      </w:tblGrid>
      <w:tr>
        <w:tc>
          <w:p>
            <w:pPr>
              <w:pStyle w:val="Compact"/>
              <w:jc w:val="left"/>
            </w:pPr>
            <w:r>
              <w:t xml:space="preserve">Resolved item</w:t>
            </w:r>
          </w:p>
        </w:tc>
        <w:tc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p>
            <w:pPr>
              <w:pStyle w:val="Compact"/>
              <w:jc w:val="lef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 crashed at 96% on ECONNRESET (unhandled rejection)</w:t>
            </w:r>
          </w:p>
        </w:tc>
        <w:tc>
          <w:p>
            <w:pPr>
              <w:pStyle w:val="Compact"/>
              <w:jc w:val="lef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can’t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showed</w:t>
            </w:r>
            <w:r>
              <w:t xml:space="preserve"> </w:t>
            </w:r>
            <w:r>
              <w:t xml:space="preserve">“</w:t>
            </w:r>
            <w:r>
              <w:t xml:space="preserve">No job selected</w:t>
            </w:r>
            <w:r>
              <w:t xml:space="preserve">”</w:t>
            </w:r>
            <w:r>
              <w:t xml:space="preserve"> </w:t>
            </w:r>
            <w:r>
              <w:t xml:space="preserve">after server restart even when a job was actively expanding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Auto-load surprised the operator after Delete Job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Cascading monitor timeouts</w:t>
            </w:r>
          </w:p>
        </w:tc>
        <w:tc>
          <w:p>
            <w:pPr>
              <w:pStyle w:val="Compact"/>
              <w:jc w:val="left"/>
            </w:pPr>
            <w:r>
              <w:t xml:space="preserve">Monitor tick is now non-reentrant; per-request timeout dropped from 60s to 15s.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Mid-expansion shutdown didn’t actually exit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4"/>
    <w:bookmarkStart w:id="95" w:name="extension-points"/>
    <w:p>
      <w:pPr>
        <w:pStyle w:val="Heading3"/>
      </w:pP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Multi-operator support</w:t>
            </w:r>
          </w:p>
        </w:tc>
        <w:tc>
          <w:p>
            <w:pPr>
              <w:pStyle w:val="Compact"/>
              <w:jc w:val="lef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Webhook-based status updates</w:t>
            </w:r>
          </w:p>
        </w:tc>
        <w:tc>
          <w:p>
            <w:pPr>
              <w:pStyle w:val="Compact"/>
              <w:jc w:val="lef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Operator audit log</w:t>
            </w:r>
          </w:p>
        </w:tc>
        <w:tc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CSV upload</w:t>
            </w:r>
          </w:p>
        </w:tc>
        <w:tc>
          <w:p>
            <w:pPr>
              <w:pStyle w:val="Compact"/>
              <w:jc w:val="left"/>
            </w:pPr>
            <w:r>
              <w:t xml:space="preserve">Add a folder-drop endpoint that creates one job per CSV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Schema-aware dataset filter</w:t>
            </w:r>
          </w:p>
        </w:tc>
        <w:tc>
          <w:p>
            <w:pPr>
              <w:pStyle w:val="Compact"/>
              <w:jc w:val="lef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Figma MCP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97" w:name="validation-summary"/>
    <w:p>
      <w:pPr>
        <w:pStyle w:val="Heading2"/>
      </w:pPr>
      <w:r>
        <w:t xml:space="preserve">Validation Summary</w:t>
      </w:r>
    </w:p>
    <w:p>
      <w:pPr>
        <w:pStyle w:val="FirstParagraph"/>
      </w:pPr>
      <w:r>
        <w:t xml:space="preserve">The tool has been validated through an automated test suite, a clean dependency audit, and a set of safety controls designed for an irreversible deletion API. The table below summarizes the current evidence.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970"/>
        <w:gridCol w:w="4950"/>
      </w:tblGrid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Automated test suite</w:t>
            </w:r>
          </w:p>
        </w:tc>
        <w:tc>
          <w:p>
            <w:pPr>
              <w:pStyle w:val="Compact"/>
              <w:jc w:val="left"/>
            </w:pPr>
            <w:r>
              <w:t xml:space="preserve">277 tests passing (0 failures), with all Adobe API interactions mocked via</w:t>
            </w:r>
            <w:r>
              <w:t xml:space="preserve"> </w:t>
            </w:r>
            <w:r>
              <w:rPr>
                <w:rStyle w:val="VerbatimChar"/>
              </w:rPr>
              <w:t xml:space="preserve">nock</w:t>
            </w:r>
            <w:r>
              <w:t xml:space="preserve"> </w:t>
            </w:r>
            <w:r>
              <w:t xml:space="preserve">for deterministic, offline runs.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Dependency audit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reports 0 vulnerabilities.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LTS, single process, SQLite in WAL (write-ahead logging) mode.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 safety</w:t>
            </w:r>
          </w:p>
        </w:tc>
        <w:tc>
          <w:p>
            <w:pPr>
              <w:pStyle w:val="Compact"/>
              <w:jc w:val="left"/>
            </w:pPr>
            <w:r>
              <w:t xml:space="preserve">A database-path advisory lock blocks a second instance from running against the same database, preventing state corruption.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Boot &amp; migration</w:t>
            </w:r>
          </w:p>
        </w:tc>
        <w:tc>
          <w:p>
            <w:pPr>
              <w:pStyle w:val="Compact"/>
              <w:jc w:val="left"/>
            </w:pPr>
            <w:r>
              <w:t xml:space="preserve">Schema migrations are idempotent and additive; startup recovery reconciles orphaned work orders left in flight by a previous 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Destructive-operation safeguards</w:t>
            </w:r>
          </w:p>
        </w:tc>
        <w:tc>
          <w:p>
            <w:pPr>
              <w:pStyle w:val="Compact"/>
              <w:jc w:val="left"/>
            </w:pPr>
            <w:r>
              <w:t xml:space="preserve">Payloads are validated before every Adobe call; the non-idempotent delete POST is never auto-retried; quota reservation is atomic.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appendix-file-map"/>
    <w:p>
      <w:pPr>
        <w:pStyle w:val="Heading2"/>
      </w:pP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</w:t>
      </w:r>
      <w:r>
        <w:br/>
      </w:r>
      <w:r>
        <w:rPr>
          <w:rStyle w:val="VerbatimChar"/>
        </w:rPr>
        <w:t xml:space="preserve">│   ├── namespaces.test.js          Namespace canonicalization + index</w:t>
      </w:r>
      <w:r>
        <w:br/>
      </w:r>
      <w:r>
        <w:rPr>
          <w:rStyle w:val="VerbatimChar"/>
        </w:rPr>
        <w:t xml:space="preserve">│   ├── imsAuth.test.js             Token cache + thundering-herd + nock</w:t>
      </w:r>
      <w:r>
        <w:br/>
      </w:r>
      <w:r>
        <w:rPr>
          <w:rStyle w:val="VerbatimChar"/>
        </w:rPr>
        <w:t xml:space="preserve">│   ├── quotaManager.test.js        Daily + monthly ledgers + null-monthly gate</w:t>
      </w:r>
      <w:r>
        <w:br/>
      </w:r>
      <w:r>
        <w:rPr>
          <w:rStyle w:val="VerbatimChar"/>
        </w:rPr>
        <w:t xml:space="preserve">│   ├── planWorkOrders.test.js      Cluster packing + replan guard + deferred</w:t>
      </w:r>
      <w:r>
        <w:br/>
      </w:r>
      <w:r>
        <w:rPr>
          <w:rStyle w:val="VerbatimChar"/>
        </w:rPr>
        <w:t xml:space="preserve">│   ├── recovery.test.js            Orphan reconciliation + 400-indeterminate</w:t>
      </w:r>
      <w:r>
        <w:br/>
      </w:r>
      <w:r>
        <w:rPr>
          <w:rStyle w:val="VerbatimChar"/>
        </w:rPr>
        <w:t xml:space="preserve">│   ├── adobeClient.test.js         Error enrichment + idempotency-aware retries</w:t>
      </w:r>
      <w:r>
        <w:br/>
      </w:r>
      <w:r>
        <w:rPr>
          <w:rStyle w:val="VerbatimChar"/>
        </w:rPr>
        <w:t xml:space="preserve">│   ├── region.test.js              Per-credential region routing</w:t>
      </w:r>
      <w:r>
        <w:br/>
      </w:r>
      <w:r>
        <w:rPr>
          <w:rStyle w:val="VerbatimChar"/>
        </w:rPr>
        <w:t xml:space="preserve">│   ├── deferred.test.js            Deferred-row surfacing in submission</w:t>
      </w:r>
      <w:r>
        <w:br/>
      </w:r>
      <w:r>
        <w:rPr>
          <w:rStyle w:val="VerbatimChar"/>
        </w:rPr>
        <w:t xml:space="preserve">│   ├── credentialsRoutes.test.js   PATCH non-secret-only + DELETE 409</w:t>
      </w:r>
      <w:r>
        <w:br/>
      </w:r>
      <w:r>
        <w:rPr>
          <w:rStyle w:val="VerbatimChar"/>
        </w:rPr>
        <w:t xml:space="preserve">│   ├── monitorJobs.test.js         Monitor feed: sort, filter, aggregates</w:t>
      </w:r>
      <w:r>
        <w:br/>
      </w:r>
      <w:r>
        <w:rPr>
          <w:rStyle w:val="VerbatimChar"/>
        </w:rPr>
        <w:t xml:space="preserve">│   ├── approveMonth.test.js        Per-month approval gate</w:t>
      </w:r>
      <w:r>
        <w:br/>
      </w:r>
      <w:r>
        <w:rPr>
          <w:rStyle w:val="VerbatimChar"/>
        </w:rPr>
        <w:t xml:space="preserve">│   └── integration.test.js         End-to-end with fully-mocked Adobe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bookmarkEnd w:id="98"/>
    <w:bookmarkStart w:id="111" w:name="ui-screen-walkthrough"/>
    <w:p>
      <w:pPr>
        <w:pStyle w:val="Heading2"/>
      </w:pPr>
      <w:r>
        <w:t xml:space="preserve">13. UI Screen Walkthrough</w:t>
      </w:r>
    </w:p>
    <w:p>
      <w:pPr>
        <w:pStyle w:val="FirstParagraph"/>
      </w:pPr>
      <w:r>
        <w:t xml:space="preserve">The six screens an operator works through, left-nav top to bottom. All data is</w:t>
      </w:r>
      <w:r>
        <w:t xml:space="preserve"> </w:t>
      </w:r>
      <w:r>
        <w:rPr>
          <w:bCs/>
          <w:b/>
        </w:rPr>
        <w:t xml:space="preserve">fabricated</w:t>
      </w:r>
      <w:r>
        <w:t xml:space="preserve"> </w:t>
      </w:r>
      <w:r>
        <w:t xml:space="preserve">(a fictional</w:t>
      </w:r>
      <w:r>
        <w:t xml:space="preserve"> </w:t>
      </w:r>
      <w:r>
        <w:t xml:space="preserve">“</w:t>
      </w:r>
      <w:r>
        <w:t xml:space="preserve">Acme Retail</w:t>
      </w:r>
      <w:r>
        <w:t xml:space="preserve">”</w:t>
      </w:r>
      <w:r>
        <w:t xml:space="preserve"> </w:t>
      </w:r>
      <w:r>
        <w:t xml:space="preserve">credential, a placeholder IMS org, a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sandbox, a generic CSV); the client secret is masked and no real</w:t>
      </w:r>
      <w:r>
        <w:t xml:space="preserve"> </w:t>
      </w:r>
      <w:r>
        <w:t xml:space="preserve">company, credentials, or customer identifiers appear. Full captions:</w:t>
      </w:r>
      <w:r>
        <w:t xml:space="preserve"> </w:t>
      </w:r>
      <w:hyperlink r:id="rId23">
        <w:r>
          <w:rPr>
            <w:rStyle w:val="VerbatimChar"/>
          </w:rPr>
          <w:t xml:space="preserve">SCREENS.md</w:t>
        </w:r>
      </w:hyperlink>
      <w:r>
        <w:t xml:space="preserve">.</w:t>
      </w:r>
    </w:p>
    <w:bookmarkStart w:id="100" w:name="environment-credentials-sandbox"/>
    <w:p>
      <w:pPr>
        <w:pStyle w:val="Heading3"/>
      </w:pPr>
      <w:r>
        <w:t xml:space="preserve">13.1 Environment — credentials &amp; sandbox</w:t>
      </w:r>
    </w:p>
    <w:p>
      <w:pPr>
        <w:pStyle w:val="FirstParagraph"/>
      </w:pPr>
      <w:r>
        <w:t xml:space="preserve">IMS server-to-server credential (encrypted at rest), region, sandbox, deletion</w:t>
      </w:r>
      <w:r>
        <w:t xml:space="preserve"> </w:t>
      </w:r>
      <w:r>
        <w:t xml:space="preserve">mode, and daily/monthly caps.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 </w:t>
      </w:r>
      <w:r>
        <w:t xml:space="preserve">validates auth and pulls live quota.</w:t>
      </w:r>
    </w:p>
    <w:p>
      <w:pPr>
        <w:pStyle w:val="CaptionedFigure"/>
      </w:pPr>
      <w:r>
        <w:drawing>
          <wp:inline>
            <wp:extent cx="5334000" cy="5033962"/>
            <wp:effectExtent b="0" l="0" r="0" t="0"/>
            <wp:docPr descr="Environment configuration" title="" id="1" name="Picture"/>
            <a:graphic>
              <a:graphicData uri="http://schemas.openxmlformats.org/drawingml/2006/picture">
                <pic:pic>
                  <pic:nvPicPr>
                    <pic:cNvPr descr="screens/01-confi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configuration</w:t>
      </w:r>
    </w:p>
    <w:bookmarkEnd w:id="100"/>
    <w:bookmarkStart w:id="102" w:name="source-csv-upload-identifiers"/>
    <w:p>
      <w:pPr>
        <w:pStyle w:val="Heading3"/>
      </w:pPr>
      <w:r>
        <w:t xml:space="preserve">13.2 Source CSV — upload identifiers</w:t>
      </w:r>
    </w:p>
    <w:p>
      <w:pPr>
        <w:pStyle w:val="FirstParagraph"/>
      </w:pPr>
      <w:r>
        <w:t xml:space="preserve">Single-column CSV of source identifiers, streamed to disk (up to ~4 GB, never</w:t>
      </w:r>
      <w:r>
        <w:t xml:space="preserve"> </w:t>
      </w:r>
      <w:r>
        <w:t xml:space="preserve">fully in memory), with the source-namespace selector.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ource identities" title="" id="1" name="Picture"/>
            <a:graphic>
              <a:graphicData uri="http://schemas.openxmlformats.org/drawingml/2006/picture">
                <pic:pic>
                  <pic:nvPicPr>
                    <pic:cNvPr descr="screens/02-up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source identities</w:t>
      </w:r>
    </w:p>
    <w:bookmarkEnd w:id="102"/>
    <w:bookmarkStart w:id="104" w:name="expansion-resolve-the-identity-graph"/>
    <w:p>
      <w:pPr>
        <w:pStyle w:val="Heading3"/>
      </w:pPr>
      <w:r>
        <w:t xml:space="preserve">13.3 Expansion — resolve the identity graph</w:t>
      </w:r>
    </w:p>
    <w:p>
      <w:pPr>
        <w:pStyle w:val="FirstParagraph"/>
      </w:pPr>
      <w:r>
        <w:t xml:space="preserve">Streams each source ID through</w:t>
      </w:r>
      <w:r>
        <w:t xml:space="preserve"> </w:t>
      </w:r>
      <w:r>
        <w:rPr>
          <w:rStyle w:val="VerbatimChar"/>
        </w:rPr>
        <w:t xml:space="preserve">POST /clusters/members</w:t>
      </w:r>
      <w:r>
        <w:t xml:space="preserve"> </w:t>
      </w:r>
      <w:r>
        <w:t xml:space="preserve">(1,000 per call) and</w:t>
      </w:r>
      <w:r>
        <w:t xml:space="preserve"> </w:t>
      </w:r>
      <w:r>
        <w:t xml:space="preserve">dedups into SQLite. Shows batches, identities found, expansion ratio, and the</w:t>
      </w:r>
      <w:r>
        <w:t xml:space="preserve"> </w:t>
      </w:r>
      <w:r>
        <w:t xml:space="preserve">per-namespace breakdown.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Identity graph expansion" title="" id="1" name="Picture"/>
            <a:graphic>
              <a:graphicData uri="http://schemas.openxmlformats.org/drawingml/2006/picture">
                <pic:pic>
                  <pic:nvPicPr>
                    <pic:cNvPr descr="screens/03-exp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Identity graph expansion</w:t>
      </w:r>
    </w:p>
    <w:bookmarkEnd w:id="104"/>
    <w:bookmarkStart w:id="106" w:name="batch-planning-group-into-work-orders"/>
    <w:p>
      <w:pPr>
        <w:pStyle w:val="Heading3"/>
      </w:pPr>
      <w:r>
        <w:t xml:space="preserve">13.4 Batch Planning — group into work orders</w:t>
      </w:r>
    </w:p>
    <w:p>
      <w:pPr>
        <w:pStyle w:val="FirstParagraph"/>
      </w:pPr>
      <w:r>
        <w:t xml:space="preserve">Packs identities into ≤100,000-identifier work orders bucketed by day/month</w:t>
      </w:r>
      <w:r>
        <w:t xml:space="preserve"> </w:t>
      </w:r>
      <w:r>
        <w:t xml:space="preserve">under the live quota. Re-plan is blocked once any work order has shipped.</w:t>
      </w:r>
    </w:p>
    <w:p>
      <w:pPr>
        <w:pStyle w:val="CaptionedFigure"/>
      </w:pPr>
      <w:r>
        <w:drawing>
          <wp:inline>
            <wp:extent cx="5334000" cy="4374620"/>
            <wp:effectExtent b="0" l="0" r="0" t="0"/>
            <wp:docPr descr="Work order batch planning" title="" id="1" name="Picture"/>
            <a:graphic>
              <a:graphicData uri="http://schemas.openxmlformats.org/drawingml/2006/picture">
                <pic:pic>
                  <pic:nvPicPr>
                    <pic:cNvPr descr="screens/04-pla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batch planning</w:t>
      </w:r>
    </w:p>
    <w:bookmarkEnd w:id="106"/>
    <w:bookmarkStart w:id="108" w:name="submit-ship-work-orders-to-adobe"/>
    <w:p>
      <w:pPr>
        <w:pStyle w:val="Heading3"/>
      </w:pPr>
      <w:r>
        <w:t xml:space="preserve">13.5 Submit — ship work orders to Adobe</w:t>
      </w:r>
    </w:p>
    <w:p>
      <w:pPr>
        <w:pStyle w:val="FirstParagraph"/>
      </w:pPr>
      <w:r>
        <w:t xml:space="preserve">Submits the current day’s window, gated by an atomic quota reservation. Here Day 1</w:t>
      </w:r>
      <w:r>
        <w:t xml:space="preserve"> </w:t>
      </w:r>
      <w:r>
        <w:t xml:space="preserve">(1,000,000) has shipped and the screen has landed on</w:t>
      </w:r>
      <w:r>
        <w:t xml:space="preserve"> </w:t>
      </w:r>
      <w:r>
        <w:rPr>
          <w:bCs/>
          <w:b/>
        </w:rPr>
        <w:t xml:space="preserve">Day 2</w:t>
      </w:r>
      <w:r>
        <w:t xml:space="preserve"> </w:t>
      </w:r>
      <w:r>
        <w:t xml:space="preserve">for the remaining</w:t>
      </w:r>
      <w:r>
        <w:t xml:space="preserve"> </w:t>
      </w:r>
      <w:r>
        <w:t xml:space="preserve">607,383; the quota panel (daily used 1,000,000 / remaining 0) is consistent with</w:t>
      </w:r>
      <w:r>
        <w:t xml:space="preserve"> </w:t>
      </w:r>
      <w:r>
        <w:t xml:space="preserve">the 10/17 submitted.</w:t>
      </w:r>
    </w:p>
    <w:p>
      <w:pPr>
        <w:pStyle w:val="CaptionedFigure"/>
      </w:pPr>
      <w:r>
        <w:drawing>
          <wp:inline>
            <wp:extent cx="5334000" cy="3696758"/>
            <wp:effectExtent b="0" l="0" r="0" t="0"/>
            <wp:docPr descr="Submit work orders" title="" id="1" name="Picture"/>
            <a:graphic>
              <a:graphicData uri="http://schemas.openxmlformats.org/drawingml/2006/picture">
                <pic:pic>
                  <pic:nvPicPr>
                    <pic:cNvPr descr="screens/05-subm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work orders</w:t>
      </w:r>
    </w:p>
    <w:bookmarkEnd w:id="108"/>
    <w:bookmarkStart w:id="110" w:name="monitor-track-adobe-side-progress"/>
    <w:p>
      <w:pPr>
        <w:pStyle w:val="Heading3"/>
      </w:pPr>
      <w:r>
        <w:t xml:space="preserve">13.6 Monitor — track Adobe-side progress</w:t>
      </w:r>
    </w:p>
    <w:p>
      <w:pPr>
        <w:pStyle w:val="FirstParagraph"/>
      </w:pPr>
      <w:r>
        <w:t xml:space="preserve">Polls every Adobe-acked work order (60 s, with per-WO backoff) and shows the</w:t>
      </w:r>
      <w:r>
        <w:t xml:space="preserve"> </w:t>
      </w:r>
      <w:r>
        <w:t xml:space="preserve">in-flight pipeline, per-WO Adobe IDs and statuses, SLA, and downstream services.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Work order monitor" title="" id="1" name="Picture"/>
            <a:graphic>
              <a:graphicData uri="http://schemas.openxmlformats.org/drawingml/2006/picture">
                <pic:pic>
                  <pic:nvPicPr>
                    <pic:cNvPr descr="screens/06-mon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monitor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end — AEP Data Lifecycle Helper, Design &amp; Architecture Document v3.2.0</w:t>
      </w:r>
    </w:p>
    <w:bookmarkEnd w:id="110"/>
    <w:bookmarkEnd w:id="111"/>
    <w:bookmarkEnd w:id="112"/>
    <w:sectPr/>
    <w:footerReference w:type="default" r:id="rId110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AEP Data Lifecycle Helper  ·  Confidential  ·  Page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99" Target="media/rId99.png" /><Relationship Type="http://schemas.openxmlformats.org/officeDocument/2006/relationships/image" Id="rId101" Target="media/rId101.png" /><Relationship Type="http://schemas.openxmlformats.org/officeDocument/2006/relationships/image" Id="rId103" Target="media/rId103.png" /><Relationship Type="http://schemas.openxmlformats.org/officeDocument/2006/relationships/image" Id="rId105" Target="media/rId105.png" /><Relationship Type="http://schemas.openxmlformats.org/officeDocument/2006/relationships/image" Id="rId107" Target="media/rId107.png" /><Relationship Type="http://schemas.openxmlformats.org/officeDocument/2006/relationships/image" Id="rId109" Target="media/rId109.png" /><Relationship Type="http://schemas.openxmlformats.org/officeDocument/2006/relationships/hyperlink" Id="rId21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3" Target="SCREENS.md" TargetMode="External" /><Relationship Id="rId11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3" Target="SCREE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8059</Words>
  <SharedDoc>false</SharedDoc>
  <HyperlinksChanged>false</HyperlinksChanged>
  <AppVersion>12.0000</AppVersion>
  <LinksUpToDate>false</LinksUpToDate>
  <Application>pandoc + docx_finalize</Application>
  <CharactersWithSpaces>63191</CharactersWithSpaces>
  <Template>Normal.dotm</Template>
  <DocSecurity>0</DocSecurity>
  <TotalTime>0</TotalTime>
  <ScaleCrop>false</ScaleCrop>
  <Characters>47707</Characters>
  <Paragraphs>668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AEP Data Lifecycle Helper — Design &amp; Architecture Document</dc:title>
  <dc:creator>Tushar Kant Kar (Adobe)</dc:creator>
  <cp:keywords>Confidential — client engagement</cp:keywords>
  <dcterms:created xsi:type="dcterms:W3CDTF">2026-06-06T10:59:38Z</dcterms:created>
  <dcterms:modified xsi:type="dcterms:W3CDTF">2026-06-06T10:59:38Z</dcterms:modified>
  <dc:subject>AEP Data Lifecycle Helper design and architecture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