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3.png" ContentType="image/png"/>
  <Override PartName="/word/media/rId33.png" ContentType="image/png"/>
  <Override PartName="/word/media/rId45.png" ContentType="image/png"/>
  <Override PartName="/word/media/rId52.png" ContentType="image/png"/>
  <Override PartName="/word/media/rId59.png" ContentType="image/png"/>
  <Override PartName="/word/media/rId2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AEP Data Lifecycle Helper</w:t>
      </w:r>
    </w:p>
    <w:p>
      <w:pPr>
        <w:pStyle w:val="Subtitle"/>
      </w:pPr>
      <w:r>
        <w:t xml:space="preserve">Design and Architecture Document</w:t>
      </w:r>
    </w:p>
    <w:p>
      <w:pPr>
        <w:pStyle w:val="Author"/>
      </w:pPr>
      <w:r>
        <w:t xml:space="preserve">Tushar Kant Kar - Adobe</w:t>
      </w:r>
    </w:p>
    <w:p>
      <w:pPr>
        <w:pStyle w:val="Date"/>
      </w:pPr>
      <w:r>
        <w:t xml:space="preserve">30 May 2026 (v3.0.0)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aep-data-lifecycle-helpe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AEP Data Lifecycle Helper</w:t>
      </w:r>
    </w:p>
    <w:bookmarkStart w:id="9" w:name="design-architecture-documen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6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Production-ready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Tushar Kant Kar (Adobe)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Client teams, platform architects,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</w:t>
            </w:r>
          </w:p>
        </w:tc>
        <w:tc>
          <w:tcPr/>
          <w:p>
            <w:pPr>
              <w:pStyle w:val="Compact"/>
            </w:pPr>
            <w:r>
              <w:t xml:space="preserve">Rendered via Mermaid CLI (sources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, 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docs/diagrams/*.png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adffa0c657789d188b7bad67251e99502d9d94d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0"/>
          <w:numId w:val="1001"/>
        </w:numPr>
      </w:pPr>
      <w:hyperlink w:anchor="X5983918464d321487af4899e12e0c43ecc27733">
        <w:r>
          <w:rPr>
            <w:rStyle w:val="Hyperlink"/>
          </w:rPr>
          <w:t xml:space="preserve">End-to-End Data Flow</w:t>
        </w:r>
      </w:hyperlink>
    </w:p>
    <w:p>
      <w:pPr>
        <w:pStyle w:val="Compact"/>
        <w:numPr>
          <w:ilvl w:val="1"/>
          <w:numId w:val="1002"/>
        </w:numPr>
      </w:pPr>
      <w:r>
        <w:t xml:space="preserve">3.1 Operator Journey · 3.2 Expansion data flow · 3.3 Step-by-step detail</w:t>
      </w:r>
    </w:p>
    <w:p>
      <w:pPr>
        <w:pStyle w:val="Compact"/>
        <w:numPr>
          <w:ilvl w:val="0"/>
          <w:numId w:val="1001"/>
        </w:numPr>
      </w:pPr>
      <w:hyperlink w:anchor="X00d22084825991d8d822b03445753996687029d">
        <w:r>
          <w:rPr>
            <w:rStyle w:val="Hyperlink"/>
          </w:rPr>
          <w:t xml:space="preserve">Work Order Lifecycle</w:t>
        </w:r>
      </w:hyperlink>
    </w:p>
    <w:p>
      <w:pPr>
        <w:pStyle w:val="Compact"/>
        <w:numPr>
          <w:ilvl w:val="1"/>
          <w:numId w:val="1003"/>
        </w:numPr>
      </w:pPr>
      <w:r>
        <w:t xml:space="preserve">4.1 State Machine · 4.2 Crash &amp; uncertain-submit recovery · 4.3 Status reference · 4.4 Submit → reconcile flow</w:t>
      </w:r>
    </w:p>
    <w:p>
      <w:pPr>
        <w:pStyle w:val="Compact"/>
        <w:numPr>
          <w:ilvl w:val="0"/>
          <w:numId w:val="1001"/>
        </w:numPr>
      </w:pPr>
      <w:hyperlink w:anchor="X57cef0d958349bcf02f6057d9de9e92b930bfc0">
        <w:r>
          <w:rPr>
            <w:rStyle w:val="Hyperlink"/>
          </w:rPr>
          <w:t xml:space="preserve">Multi-Month Quota Planning</w:t>
        </w:r>
      </w:hyperlink>
    </w:p>
    <w:p>
      <w:pPr>
        <w:pStyle w:val="Compact"/>
        <w:numPr>
          <w:ilvl w:val="0"/>
          <w:numId w:val="1001"/>
        </w:numPr>
      </w:pPr>
      <w:hyperlink w:anchor="Xc30c38fec89701d995215e9e994d8e8a23a3c2c">
        <w:r>
          <w:rPr>
            <w:rStyle w:val="Hyperlink"/>
          </w:rPr>
          <w:t xml:space="preserve">Adobe API Integration</w:t>
        </w:r>
      </w:hyperlink>
    </w:p>
    <w:p>
      <w:pPr>
        <w:pStyle w:val="Compact"/>
        <w:numPr>
          <w:ilvl w:val="0"/>
          <w:numId w:val="1001"/>
        </w:numPr>
      </w:pPr>
      <w:hyperlink w:anchor="X5cdd4290724e4563dd66f08e609ef95ed53719f">
        <w:r>
          <w:rPr>
            <w:rStyle w:val="Hyperlink"/>
          </w:rPr>
          <w:t xml:space="preserve">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dc11e7c5d1c052ed2ec08a5c466b037ac64f9f1">
        <w:r>
          <w:rPr>
            <w:rStyle w:val="Hyperlink"/>
          </w:rPr>
          <w:t xml:space="preserve">Environment Configuration Reference</w:t>
        </w:r>
      </w:hyperlink>
    </w:p>
    <w:p>
      <w:pPr>
        <w:pStyle w:val="Compact"/>
        <w:numPr>
          <w:ilvl w:val="0"/>
          <w:numId w:val="1001"/>
        </w:numPr>
      </w:pPr>
      <w:hyperlink w:anchor="X3a05b11a886fbe5b6825d6d0083d6238c1591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99a411724410e44b9e6b2969a5f06c6a2365310">
        <w:r>
          <w:rPr>
            <w:rStyle w:val="Hyperlink"/>
          </w:rPr>
          <w:t xml:space="preserve">Design Decisions</w:t>
        </w:r>
      </w:hyperlink>
    </w:p>
    <w:p>
      <w:pPr>
        <w:pStyle w:val="Compact"/>
        <w:numPr>
          <w:ilvl w:val="0"/>
          <w:numId w:val="1001"/>
        </w:numPr>
      </w:pPr>
      <w:hyperlink w:anchor="Xe6e2be8c6adb8151b825568f2b82c70b8a4032d">
        <w:r>
          <w:rPr>
            <w:rStyle w:val="Hyperlink"/>
          </w:rPr>
          <w:t xml:space="preserve">Known Limitations &amp; Extension Points</w:t>
        </w:r>
      </w:hyperlink>
    </w:p>
    <w:p>
      <w:pPr>
        <w:pStyle w:val="Compact"/>
        <w:numPr>
          <w:ilvl w:val="0"/>
          <w:numId w:val="1001"/>
        </w:numPr>
      </w:pPr>
      <w:hyperlink w:anchor="X42599fa2d29863777b0831d61f36a19e9bedf35">
        <w:r>
          <w:rPr>
            <w:rStyle w:val="Hyperlink"/>
          </w:rPr>
          <w:t xml:space="preserve">Appendix — File Map</w:t>
        </w:r>
      </w:hyperlink>
    </w:p>
    <w:p>
      <w:pPr>
        <w:pStyle w:val="BlockText"/>
      </w:pPr>
      <w:r>
        <w:t xml:space="preserve">All diagrams in this document are rendered from Mermaid source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using Mermaid CLI. GitHub renders the</w:t>
      </w:r>
      <w:r>
        <w:t xml:space="preserve"> </w:t>
      </w:r>
      <w:r>
        <w:t xml:space="preserve">sources natively; the rendered PNGs are committed alongside so the</w:t>
      </w:r>
      <w:r>
        <w:t xml:space="preserve"> </w:t>
      </w:r>
      <w:r>
        <w:t xml:space="preserve">Word export (</w:t>
      </w:r>
      <w:r>
        <w:rPr>
          <w:rStyle w:val="VerbatimChar"/>
        </w:rPr>
        <w:t xml:space="preserve">DESIGN_DOC.docx</w:t>
      </w:r>
      <w:r>
        <w:t xml:space="preserve">) embeds them too.</w:t>
      </w:r>
    </w:p>
    <w:p>
      <w:r>
        <w:pict>
          <v:rect style="width:0;height:1.5pt" o:hralign="center" o:hrstd="t" o:hr="t"/>
        </w:pict>
      </w:r>
    </w:p>
    <w:bookmarkEnd w:id="10"/>
    <w:bookmarkStart w:id="15" w:name="executive-summary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 Executive Summary</w:t>
      </w:r>
    </w:p>
    <w:bookmarkStart w:id="11" w:name="what-this-tool-doe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11"/>
    <w:bookmarkStart w:id="12" w:name="why-it-was-built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12"/>
    <w:bookmarkStart w:id="13" w:name="key-capabilities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Key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expansion</w:t>
            </w:r>
          </w:p>
        </w:tc>
        <w:tc>
          <w:tcPr/>
          <w:p>
            <w:pPr>
              <w:pStyle w:val="Compact"/>
            </w:pPr>
            <w:r>
              <w:t xml:space="preserve">Follows all identity links via AEP’s Private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Multi-namespace support</w:t>
            </w:r>
          </w:p>
        </w:tc>
        <w:tc>
          <w:tcPr/>
          <w:p>
            <w:pPr>
              <w:pStyle w:val="Compact"/>
            </w:pPr>
            <w:r>
              <w:t xml:space="preserve">Email, phone, ECID, CRMID, GAID, IDFA, custom namespaces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Quota-aware planning</w:t>
            </w:r>
          </w:p>
        </w:tc>
        <w:tc>
          <w:tcPr/>
          <w:p>
            <w:pPr>
              <w:pStyle w:val="Compact"/>
            </w:pPr>
            <w:r>
              <w:t xml:space="preserve">Respects daily (default 1M/day) and monthly caps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Multi-month batching</w:t>
            </w:r>
          </w:p>
        </w:tc>
        <w:tc>
          <w:tcPr/>
          <w:p>
            <w:pPr>
              <w:pStyle w:val="Compact"/>
            </w:pPr>
            <w:r>
              <w:t xml:space="preserve">Spans deletions across calendar months with per-month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Crash-safe submission</w:t>
            </w:r>
          </w:p>
        </w:tc>
        <w:tc>
          <w:tcPr/>
          <w:p>
            <w:pPr>
              <w:pStyle w:val="Compact"/>
            </w:pPr>
            <w:r>
              <w:t xml:space="preserve">Startup recovery reconciles any orphaned work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credential storage</w:t>
            </w:r>
          </w:p>
        </w:tc>
        <w:tc>
          <w:tcPr/>
          <w:p>
            <w:pPr>
              <w:pStyle w:val="Compact"/>
            </w:pPr>
            <w:r>
              <w:t xml:space="preserve">AES-256-GCM for all Adobe client secrets at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t xml:space="preserve">Configurable daily schedule for unattended quota rollovers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Profile-only mode</w:t>
            </w:r>
          </w:p>
        </w:tc>
        <w:tc>
          <w:tcPr/>
          <w:p>
            <w:pPr>
              <w:pStyle w:val="Compact"/>
            </w:pPr>
            <w:r>
              <w:t xml:space="preserve">Deletes from Identity + Profile + AJO without touching data lake</w:t>
            </w:r>
          </w:p>
        </w:tc>
      </w:tr>
    </w:tbl>
    <w:bookmarkEnd w:id="13"/>
    <w:bookmarkStart w:id="14" w:name="architecture-principles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Architecture Principles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system-architecture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2. System Architecture</w:t>
      </w:r>
    </w:p>
    <w:bookmarkStart w:id="19" w:name="high-level-architecture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3898161"/>
            <wp:effectExtent b="0" l="0" r="0" t="0"/>
            <wp:docPr descr="System Architecture" title="" id="17" name="Picture"/>
            <a:graphic>
              <a:graphicData uri="http://schemas.openxmlformats.org/drawingml/2006/picture">
                <pic:pic>
                  <pic:nvPicPr>
                    <pic:cNvPr descr="diagrams/01-system-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8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/>
          <w:iCs/>
        </w:rPr>
        <w:t xml:space="preserve">Browser ↔ loopback HTTP ↔ Node.js Express process (Routes +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Runners + Adobe Service Layer + Security middleware) ↔ HTTPS to Adobe</w:t>
      </w:r>
      <w:r>
        <w:rPr>
          <w:i/>
          <w:iCs/>
        </w:rPr>
        <w:t xml:space="preserve"> </w:t>
      </w:r>
      <w:r>
        <w:rPr>
          <w:i/>
          <w:iCs/>
        </w:rPr>
        <w:t xml:space="preserve">Experience Platform (IMS Auth, Identity Service, Platform Services,</w:t>
      </w:r>
      <w:r>
        <w:rPr>
          <w:i/>
          <w:iCs/>
        </w:rPr>
        <w:t xml:space="preserve"> </w:t>
      </w:r>
      <w:r>
        <w:rPr>
          <w:i/>
          <w:iCs/>
        </w:rPr>
        <w:t xml:space="preserve">Data Hygiene API). All persistence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data/state.db</w:t>
      </w:r>
      <w:r>
        <w:rPr>
          <w:i/>
          <w:iCs/>
        </w:rPr>
        <w:t xml:space="preserve"> </w:t>
      </w:r>
      <w:r>
        <w:rPr>
          <w:i/>
          <w:iCs/>
        </w:rPr>
        <w:t xml:space="preserve">(SQLite WAL).</w:t>
      </w:r>
      <w:r>
        <w:rPr>
          <w:i/>
          <w:iCs/>
        </w:rPr>
        <w:t xml:space="preserve"> </w:t>
      </w: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docs/diagrams/01-system-architecture.mmd</w:t>
      </w:r>
      <w:r>
        <w:rPr>
          <w:i/>
          <w:iCs/>
        </w:rPr>
        <w:t xml:space="preserve">.</w:t>
      </w:r>
    </w:p>
    <w:bookmarkEnd w:id="19"/>
    <w:bookmarkStart w:id="20" w:name="component-summary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2.2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src/index.js</w:t>
            </w:r>
          </w:p>
        </w:tc>
        <w:tc>
          <w:tcPr/>
          <w:p>
            <w:pPr>
              <w:pStyle w:val="Compact"/>
            </w:pPr>
            <w:r>
              <w:t xml:space="preserve">Boot, route mounting, runner startup, security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src/config.js</w:t>
            </w:r>
          </w:p>
        </w:tc>
        <w:tc>
          <w:tcPr/>
          <w:p>
            <w:pPr>
              <w:pStyle w:val="Compact"/>
            </w:pPr>
            <w:r>
              <w:t xml:space="preserve">Env-var defaults; all tunables in one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src/db.js</w:t>
            </w:r>
          </w:p>
        </w:tc>
        <w:tc>
          <w:tcPr/>
          <w:p>
            <w:pPr>
              <w:pStyle w:val="Compact"/>
            </w:pPr>
            <w:r>
              <w:t xml:space="preserve">SQLite schema, migrations, all prepared 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tcPr/>
          <w:p>
            <w:pPr>
              <w:pStyle w:val="Compact"/>
            </w:pPr>
            <w:r>
              <w:t xml:space="preserve">CSV stream → batched Identity Graph calls →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tcPr/>
          <w:p>
            <w:pPr>
              <w:pStyle w:val="Compact"/>
            </w:pPr>
            <w:r>
              <w:t xml:space="preserve">Planner + quota-gated work-order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Redistributor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tcPr/>
          <w:p>
            <w:pPr>
              <w:pStyle w:val="Compact"/>
            </w:pPr>
            <w:r>
              <w:t xml:space="preserve">Re-buckets unshipped WOs against live Adobe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tcPr/>
          <w:p>
            <w:pPr>
              <w:pStyle w:val="Compact"/>
            </w:pPr>
            <w:r>
              <w:t xml:space="preserve">60s polling of Adobe work-order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tcPr/>
          <w:p>
            <w:pPr>
              <w:pStyle w:val="Compact"/>
            </w:pPr>
            <w:r>
              <w:t xml:space="preserve">Boot-time orphan reconciliation and expansion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Auto-resume 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tcPr/>
          <w:p>
            <w:pPr>
              <w:pStyle w:val="Compact"/>
            </w:pPr>
            <w:r>
              <w:t xml:space="preserve">Configurable daily auto-submit on quota rollover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IMS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tcPr/>
          <w:p>
            <w:pPr>
              <w:pStyle w:val="Compact"/>
            </w:pPr>
            <w:r>
              <w:t xml:space="preserve">Token cache with thundering-herd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Adobe 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tcPr/>
          <w:p>
            <w:pPr>
              <w:pStyle w:val="Compact"/>
            </w:pPr>
            <w:r>
              <w:t xml:space="preserve">axios with retry, backoff, auth injection,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tcPr/>
          <w:p>
            <w:pPr>
              <w:pStyle w:val="Compact"/>
            </w:pPr>
            <w:r>
              <w:t xml:space="preserve">POST /clusters/members, both response shapes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Hygiene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tcPr/>
          <w:p>
            <w:pPr>
              <w:pStyle w:val="Compact"/>
            </w:pPr>
            <w:r>
              <w:t xml:space="preserve">Work-order payload validation +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tcPr/>
          <w:p>
            <w:pPr>
              <w:pStyle w:val="Compact"/>
            </w:pPr>
            <w:r>
              <w:t xml:space="preserve">Live Adobe /quota with 1h cache and 24h hard floor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Quota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tcPr/>
          <w:p>
            <w:pPr>
              <w:pStyle w:val="Compact"/>
            </w:pPr>
            <w:r>
              <w:t xml:space="preserve">SQLite-backed daily + monthly ledgers (atomic reserve)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middleware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tcPr/>
          <w:p>
            <w:pPr>
              <w:pStyle w:val="Compact"/>
            </w:pPr>
            <w:r>
              <w:t xml:space="preserve">Host guard, CSRF guard, error 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tcPr/>
          <w:p>
            <w:pPr>
              <w:pStyle w:val="Compact"/>
            </w:pPr>
            <w:r>
              <w:t xml:space="preserve">AES-256-GCM envelope encryption for client secrets</w:t>
            </w:r>
          </w:p>
        </w:tc>
      </w:tr>
    </w:tbl>
    <w:bookmarkEnd w:id="20"/>
    <w:bookmarkStart w:id="21" w:name="technology-st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2.3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 LTS</w:t>
            </w:r>
          </w:p>
        </w:tc>
        <w:tc>
          <w:tcPr/>
          <w:p>
            <w:pPr>
              <w:pStyle w:val="Compac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server</w:t>
            </w:r>
          </w:p>
        </w:tc>
        <w:tc>
          <w:tcPr/>
          <w:p>
            <w:pPr>
              <w:pStyle w:val="Compact"/>
            </w:pPr>
            <w:r>
              <w:t xml:space="preserve">Express 4</w:t>
            </w:r>
          </w:p>
        </w:tc>
        <w:tc>
          <w:tcPr/>
          <w:p>
            <w:pPr>
              <w:pStyle w:val="Compact"/>
            </w:pPr>
            <w:r>
              <w:t xml:space="preserve">Minimal, well-understood, no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 (WAL)</w:t>
            </w:r>
          </w:p>
        </w:tc>
        <w:tc>
          <w:tcPr/>
          <w:p>
            <w:pPr>
              <w:pStyle w:val="Compact"/>
            </w:pPr>
            <w:r>
              <w:t xml:space="preserve">Zero-admin, single-file, crash-safe; sufficient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driver</w:t>
            </w:r>
          </w:p>
        </w:tc>
        <w:tc>
          <w:tcPr/>
          <w:p>
            <w:pPr>
              <w:pStyle w:val="Compact"/>
            </w:pPr>
            <w:r>
              <w:t xml:space="preserve">better-sqlite3</w:t>
            </w:r>
          </w:p>
        </w:tc>
        <w:tc>
          <w:tcPr/>
          <w:p>
            <w:pPr>
              <w:pStyle w:val="Compact"/>
            </w:pPr>
            <w:r>
              <w:t xml:space="preserve">Synchronous API; ~100k rows/sec bulk insert; no async queuing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axios</w:t>
            </w:r>
          </w:p>
        </w:tc>
        <w:tc>
          <w:tcPr/>
          <w:p>
            <w:pPr>
              <w:pStyle w:val="Compact"/>
            </w:pPr>
            <w:r>
              <w:t xml:space="preserve">Interceptors for auth inject, retry, error 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p-limit</w:t>
            </w:r>
          </w:p>
        </w:tc>
        <w:tc>
          <w:tcPr/>
          <w:p>
            <w:pPr>
              <w:pStyle w:val="Compact"/>
            </w:pPr>
            <w:r>
              <w:t xml:space="preserve">Simple, battle-tested async concurrency 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parsing</w:t>
            </w:r>
          </w:p>
        </w:tc>
        <w:tc>
          <w:tcPr/>
          <w:p>
            <w:pPr>
              <w:pStyle w:val="Compact"/>
            </w:pPr>
            <w:r>
              <w:t xml:space="preserve">fast-csv</w:t>
            </w:r>
          </w:p>
        </w:tc>
        <w:tc>
          <w:tcPr/>
          <w:p>
            <w:pPr>
              <w:pStyle w:val="Compact"/>
            </w:pPr>
            <w:r>
              <w:t xml:space="preserve">Streaming; never loads entire file into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Vanilla JS/HTML</w:t>
            </w:r>
          </w:p>
        </w:tc>
        <w:tc>
          <w:tcPr/>
          <w:p>
            <w:pPr>
              <w:pStyle w:val="Compact"/>
            </w:pPr>
            <w:r>
              <w:t xml:space="preserve">No build step; edit and refresh; no bundler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node –test</w:t>
            </w:r>
          </w:p>
        </w:tc>
        <w:tc>
          <w:tcPr/>
          <w:p>
            <w:pPr>
              <w:pStyle w:val="Compac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2" w:name="end-to-end-data-flow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3. End-to-End Data Flow</w:t>
      </w:r>
    </w:p>
    <w:bookmarkStart w:id="26" w:name="operator-journey-overview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3.1 Operator Journey Overview</w:t>
      </w:r>
    </w:p>
    <w:p>
      <w:pPr>
        <w:pStyle w:val="CaptionedFigure"/>
      </w:pPr>
      <w:r>
        <w:drawing>
          <wp:inline>
            <wp:extent cx="5334000" cy="744487"/>
            <wp:effectExtent b="0" l="0" r="0" t="0"/>
            <wp:docPr descr="Operator Journey" title="" id="24" name="Picture"/>
            <a:graphic>
              <a:graphicData uri="http://schemas.openxmlformats.org/drawingml/2006/picture">
                <pic:pic>
                  <pic:nvPicPr>
                    <pic:cNvPr descr="diagrams/02-operator-journe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/>
          <w:iCs/>
        </w:rPr>
        <w:t xml:space="preserve">Seven steps left-to-right: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Configure → Upload → Expand → Plan →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Approve → Submit → Monitor</w:t>
      </w:r>
      <w:r>
        <w:rPr>
          <w:i/>
          <w:iCs/>
        </w:rPr>
        <w:t xml:space="preserve">. Approve is a per-month gate (Month 1 ships</w:t>
      </w:r>
      <w:r>
        <w:rPr>
          <w:i/>
          <w:iCs/>
        </w:rPr>
        <w:t xml:space="preserve"> </w:t>
      </w:r>
      <w:r>
        <w:rPr>
          <w:i/>
          <w:iCs/>
        </w:rPr>
        <w:t xml:space="preserve">immediately; Month 2+ requires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/api/jobs/:id/approve-month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Submit’s uncertain failure path (5xx / timeout / network)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WO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submitting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Reconcile</w:t>
      </w:r>
      <w:r>
        <w:rPr>
          <w:i/>
          <w:iCs/>
        </w:rPr>
        <w:t xml:space="preserve"> </w:t>
      </w:r>
      <w:r>
        <w:rPr>
          <w:i/>
          <w:iCs/>
        </w:rPr>
        <w:t xml:space="preserve">to recover — the local DB is</w:t>
      </w:r>
      <w:r>
        <w:rPr>
          <w:i/>
          <w:iCs/>
        </w:rPr>
        <w:t xml:space="preserve"> </w:t>
      </w:r>
      <w:r>
        <w:rPr>
          <w:i/>
          <w:iCs/>
        </w:rPr>
        <w:t xml:space="preserve">brought back in sync with Adobe by displayName lookup.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docs/diagrams/02-operator-journey.mmd</w:t>
      </w:r>
      <w:r>
        <w:rPr>
          <w:i/>
          <w:iCs/>
        </w:rPr>
        <w:t xml:space="preserve">.</w:t>
      </w:r>
    </w:p>
    <w:bookmarkEnd w:id="26"/>
    <w:bookmarkStart w:id="30" w:name="expansion-data-flow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5334000" cy="858104"/>
            <wp:effectExtent b="0" l="0" r="0" t="0"/>
            <wp:docPr descr="Expansion data flow" title="" id="28" name="Picture"/>
            <a:graphic>
              <a:graphicData uri="http://schemas.openxmlformats.org/drawingml/2006/picture">
                <pic:pic>
                  <pic:nvPicPr>
                    <pic:cNvPr descr="diagrams/07-expansion-data-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/>
          <w:iCs/>
        </w:rPr>
        <w:t xml:space="preserve">Upload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sniffUpload()</w:t>
      </w:r>
      <w:r>
        <w:rPr>
          <w:i/>
          <w:iCs/>
        </w:rPr>
        <w:t xml:space="preserve"> </w:t>
      </w:r>
      <w:r>
        <w:rPr>
          <w:i/>
          <w:iCs/>
        </w:rPr>
        <w:t xml:space="preserve">rejects non-CSV payloads (ZIP/XLSX, UTF-16,</w:t>
      </w:r>
      <w:r>
        <w:rPr>
          <w:i/>
          <w:iCs/>
        </w:rPr>
        <w:t xml:space="preserve"> </w:t>
      </w:r>
      <w:r>
        <w:rPr>
          <w:i/>
          <w:iCs/>
        </w:rPr>
        <w:t xml:space="preserve">MIP-encrypted, etc.) before fast-csv runs → row-by-row stream → buffer</w:t>
      </w:r>
      <w:r>
        <w:rPr>
          <w:i/>
          <w:iCs/>
        </w:rPr>
        <w:t xml:space="preserve"> </w:t>
      </w:r>
      <w:r>
        <w:rPr>
          <w:i/>
          <w:iCs/>
        </w:rPr>
        <w:t xml:space="preserve">fills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IDENTITY_BATCH_SIZE=1000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wave scheduler</w:t>
      </w:r>
      <w:r>
        <w:rPr>
          <w:i/>
          <w:iCs/>
        </w:rPr>
        <w:t xml:space="preserve"> </w:t>
      </w:r>
      <w:r>
        <w:rPr>
          <w:i/>
          <w:iCs/>
        </w:rPr>
        <w:t xml:space="preserve">caps in-flight</w:t>
      </w:r>
      <w:r>
        <w:rPr>
          <w:i/>
          <w:iCs/>
        </w:rPr>
        <w:t xml:space="preserve"> </w:t>
      </w:r>
      <w:r>
        <w:rPr>
          <w:i/>
          <w:iCs/>
        </w:rPr>
        <w:t xml:space="preserve">batches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IDENTITY_CONCURRENCY × 2</w:t>
      </w:r>
      <w:r>
        <w:rPr>
          <w:i/>
          <w:iCs/>
        </w:rPr>
        <w:t xml:space="preserve"> </w:t>
      </w:r>
      <w:r>
        <w:rPr>
          <w:i/>
          <w:iCs/>
        </w:rPr>
        <w:t xml:space="preserve">(default 5 × 2 = 10) 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p-limit</w:t>
      </w:r>
      <w:r>
        <w:rPr>
          <w:i/>
          <w:iCs/>
        </w:rPr>
        <w:t xml:space="preserve"> </w:t>
      </w:r>
      <w:r>
        <w:rPr>
          <w:i/>
          <w:iCs/>
        </w:rPr>
        <w:t xml:space="preserve">sends each batch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/clusters/members</w:t>
      </w:r>
      <w:r>
        <w:rPr>
          <w:i/>
          <w:iCs/>
        </w:rPr>
        <w:t xml:space="preserve"> </w:t>
      </w:r>
      <w:r>
        <w:rPr>
          <w:i/>
          <w:iCs/>
        </w:rPr>
        <w:t xml:space="preserve">(axios-retry honours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Retry-After</w:t>
      </w:r>
      <w:r>
        <w:rPr>
          <w:i/>
          <w:iCs/>
        </w:rPr>
        <w:t xml:space="preserve"> </w:t>
      </w:r>
      <w:r>
        <w:rPr>
          <w:i/>
          <w:iCs/>
        </w:rPr>
        <w:t xml:space="preserve">on 429) → canonicalize ns_code ↔ ns_id from the registry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bulkInsertIdentities</w:t>
      </w:r>
      <w:r>
        <w:rPr>
          <w:i/>
          <w:iCs/>
        </w:rPr>
        <w:t xml:space="preserve"> </w:t>
      </w:r>
      <w:r>
        <w:rPr>
          <w:i/>
          <w:iCs/>
        </w:rPr>
        <w:t xml:space="preserve">writes inside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db.transaction()</w:t>
      </w:r>
      <w:r>
        <w:rPr>
          <w:i/>
          <w:iCs/>
        </w:rPr>
        <w:t xml:space="preserve"> </w:t>
      </w:r>
      <w:r>
        <w:rPr>
          <w:i/>
          <w:iCs/>
        </w:rPr>
        <w:t xml:space="preserve">(one fsync</w:t>
      </w:r>
      <w:r>
        <w:rPr>
          <w:i/>
          <w:iCs/>
        </w:rPr>
        <w:t xml:space="preserve"> </w:t>
      </w:r>
      <w:r>
        <w:rPr>
          <w:i/>
          <w:iCs/>
        </w:rPr>
        <w:t xml:space="preserve">per batch). Plain INSERT — dedup is deferred to plan time. Per-batch</w:t>
      </w:r>
      <w:r>
        <w:rPr>
          <w:i/>
          <w:iCs/>
        </w:rPr>
        <w:t xml:space="preserve"> </w:t>
      </w:r>
      <w:r>
        <w:rPr>
          <w:i/>
          <w:iCs/>
        </w:rPr>
        <w:t xml:space="preserve">log line carries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adobeMs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sqliteMs</w:t>
      </w:r>
      <w:r>
        <w:rPr>
          <w:i/>
          <w:iCs/>
        </w:rPr>
        <w:t xml:space="preserve">, every 50 batches a summary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p50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p95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rateLimitHits</w:t>
      </w:r>
      <w:r>
        <w:rPr>
          <w:i/>
          <w:iCs/>
        </w:rPr>
        <w:t xml:space="preserve">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docs/diagrams/07-expansion-data-flow.mmd</w:t>
      </w:r>
      <w:r>
        <w:rPr>
          <w:i/>
          <w:iCs/>
        </w:rPr>
        <w:t xml:space="preserve">.</w:t>
      </w:r>
    </w:p>
    <w:bookmarkEnd w:id="30"/>
    <w:bookmarkStart w:id="31" w:name="step-by-step-detail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Network error/5xx ──► quota released, mark FAILED      │  │</w:t>
      </w:r>
      <w:r>
        <w:br/>
      </w:r>
      <w:r>
        <w:rPr>
          <w:rStyle w:val="VerbatimChar"/>
        </w:rPr>
        <w:t xml:space="preserve">│  │         │   (never auto-retried — would create duplicate deletes)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work-order-lifecycl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4. Work Order Lifecycle</w:t>
      </w:r>
    </w:p>
    <w:bookmarkStart w:id="36" w:name="state-machin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5334000" cy="10578101"/>
            <wp:effectExtent b="0" l="0" r="0" t="0"/>
            <wp:docPr descr="Work-order state machine" title="" id="34" name="Picture"/>
            <a:graphic>
              <a:graphicData uri="http://schemas.openxmlformats.org/drawingml/2006/picture">
                <pic:pic>
                  <pic:nvPicPr>
                    <pic:cNvPr descr="diagrams/03-work-order-state-machin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78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/>
          <w:iCs/>
        </w:rPr>
        <w:t xml:space="preserve">Entry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/api/jobs/:id/plan</w:t>
      </w:r>
      <w:r>
        <w:rPr>
          <w:i/>
          <w:iCs/>
        </w:rPr>
        <w:t xml:space="preserve"> </w:t>
      </w:r>
      <w:r>
        <w:rPr>
          <w:i/>
          <w:iCs/>
        </w:rPr>
        <w:t xml:space="preserve">produces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PLANNED</w:t>
      </w:r>
      <w:r>
        <w:rPr>
          <w:i/>
          <w:iCs/>
        </w:rPr>
        <w:t xml:space="preserve"> </w:t>
      </w:r>
      <w:r>
        <w:rPr>
          <w:i/>
          <w:iCs/>
        </w:rPr>
        <w:t xml:space="preserve">(Month 1)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AWAITING_APPROVAL</w:t>
      </w:r>
      <w:r>
        <w:rPr>
          <w:i/>
          <w:iCs/>
        </w:rPr>
        <w:t xml:space="preserve"> </w:t>
      </w:r>
      <w:r>
        <w:rPr>
          <w:i/>
          <w:iCs/>
        </w:rPr>
        <w:t xml:space="preserve">(Month 2+). The per-month approval gate flips</w:t>
      </w:r>
      <w:r>
        <w:rPr>
          <w:i/>
          <w:iCs/>
        </w:rPr>
        <w:t xml:space="preserve"> </w:t>
      </w:r>
      <w:r>
        <w:rPr>
          <w:i/>
          <w:iCs/>
        </w:rPr>
        <w:t xml:space="preserve">awaiting → planned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/approve-month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reserves</w:t>
      </w:r>
      <w:r>
        <w:rPr>
          <w:i/>
          <w:iCs/>
        </w:rPr>
        <w:t xml:space="preserve"> </w:t>
      </w:r>
      <w:r>
        <w:rPr>
          <w:i/>
          <w:iCs/>
        </w:rPr>
        <w:t xml:space="preserve">quota → either advances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</w:t>
      </w:r>
      <w:r>
        <w:rPr>
          <w:i/>
          <w:iCs/>
        </w:rPr>
        <w:t xml:space="preserve"> </w:t>
      </w:r>
      <w:r>
        <w:rPr>
          <w:i/>
          <w:iCs/>
        </w:rPr>
        <w:t xml:space="preserve">(POST in flight) or marks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DEFERRED</w:t>
      </w:r>
      <w:r>
        <w:rPr>
          <w:i/>
          <w:iCs/>
        </w:rPr>
        <w:t xml:space="preserve"> </w:t>
      </w:r>
      <w:r>
        <w:rPr>
          <w:i/>
          <w:iCs/>
        </w:rPr>
        <w:t xml:space="preserve">(cap hit; retries on UTC rollover). Adobe 2xx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SUBMITTED</w:t>
      </w:r>
      <w:r>
        <w:rPr>
          <w:i/>
          <w:iCs/>
        </w:rPr>
        <w:t xml:space="preserve">; Adobe 4xx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 </w:t>
      </w:r>
      <w:r>
        <w:rPr>
          <w:i/>
          <w:iCs/>
        </w:rPr>
        <w:t xml:space="preserve">with quota released; 5xx /</w:t>
      </w:r>
      <w:r>
        <w:rPr>
          <w:i/>
          <w:iCs/>
        </w:rPr>
        <w:t xml:space="preserve"> </w:t>
      </w:r>
      <w:r>
        <w:rPr>
          <w:i/>
          <w:iCs/>
        </w:rPr>
        <w:t xml:space="preserve">timeout / network → stay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</w:t>
      </w:r>
      <w:r>
        <w:rPr>
          <w:i/>
          <w:iCs/>
        </w:rPr>
        <w:t xml:space="preserve">, quota held, awaiting</w:t>
      </w:r>
      <w:r>
        <w:rPr>
          <w:i/>
          <w:iCs/>
        </w:rPr>
        <w:t xml:space="preserve"> </w:t>
      </w:r>
      <w:r>
        <w:rPr>
          <w:i/>
          <w:iCs/>
        </w:rPr>
        <w:t xml:space="preserve">reconcile. Monitor polls submitted WOs to terminal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COMPLETED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docs/diagrams/03-work-order-state-machine.mmd</w:t>
      </w:r>
      <w:r>
        <w:rPr>
          <w:i/>
          <w:iCs/>
        </w:rPr>
        <w:t xml:space="preserve">.</w:t>
      </w:r>
    </w:p>
    <w:bookmarkEnd w:id="36"/>
    <w:bookmarkStart w:id="37" w:name="crash-uncertain-submit-recovery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 found</w:t>
            </w:r>
            <w:r>
              <w:t xml:space="preserve"> </w:t>
            </w:r>
            <w:r>
              <w:t xml:space="preserve">— Adobe has the WO under our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 </w:t>
            </w:r>
            <w:r>
              <w:t xml:space="preserve">→ flip to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. If the WO had previously been mis-marked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also re-reserve the quota that the old buggy catch-block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absent</w:t>
            </w:r>
            <w:r>
              <w:t xml:space="preserve"> </w:t>
            </w:r>
            <w:r>
              <w:t xml:space="preserve">— Adobe returned 200, our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is not in the list</w:t>
            </w:r>
          </w:p>
        </w:tc>
        <w:tc>
          <w:tcPr/>
          <w:p>
            <w:pPr>
              <w:pStyle w:val="Compact"/>
            </w:pPr>
            <w:r>
              <w:t xml:space="preserve">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roll back to</w:t>
            </w:r>
            <w:r>
              <w:t xml:space="preserve"> </w:t>
            </w:r>
            <w:r>
              <w:rPr>
                <w:rStyle w:val="VerbatimChar"/>
              </w:rPr>
              <w:t xml:space="preserve">planned</w:t>
            </w:r>
            <w:r>
              <w:t xml:space="preserve"> </w:t>
            </w:r>
            <w:r>
              <w:t xml:space="preserve">and release quota (next submit retries cleanly).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it as failed (confirmed).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tcPr/>
          <w:p>
            <w:pPr>
              <w:pStyle w:val="Compact"/>
            </w:pPr>
            <w:r>
              <w:t xml:space="preserve">Leave the WO alone; the next reconcile attempt retries. Never roll back on ambiguity (would risk duplicate destructive submits if the original POST had actually been processed).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tcPr/>
          <w:p>
            <w:pPr>
              <w:pStyle w:val="Compac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/>
          <w:bCs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37"/>
    <w:bookmarkStart w:id="38" w:name="status-referenc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4.3 Status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order created locally; ready to submit to Adobe</w:t>
            </w:r>
          </w:p>
        </w:tc>
        <w:tc>
          <w:tcPr/>
          <w:p>
            <w:pPr>
              <w:pStyle w:val="Compact"/>
            </w:pPr>
            <w:r>
              <w:t xml:space="preserve">runSubmission picks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</w:pPr>
            <w:r>
              <w:t xml:space="preserve">Month 2+ gate; operator must approve before submission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“Approve Month 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Quota exhausted for today / this month; will retry after UTC rollover</w:t>
            </w:r>
          </w:p>
        </w:tc>
        <w:tc>
          <w:tcPr/>
          <w:p>
            <w:pPr>
              <w:pStyle w:val="Compact"/>
            </w:pPr>
            <w:r>
              <w:t xml:space="preserve">Auto-resumes next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submitting</w:t>
            </w:r>
          </w:p>
        </w:tc>
        <w:tc>
          <w:tcPr/>
          <w:p>
            <w:pPr>
              <w:pStyle w:val="Compac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tcPr/>
          <w:p>
            <w:pPr>
              <w:pStyle w:val="Compac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Adobe ACK’d with a work-order ID; monitoring in progress</w:t>
            </w:r>
          </w:p>
        </w:tc>
        <w:tc>
          <w:tcPr/>
          <w:p>
            <w:pPr>
              <w:pStyle w:val="Compact"/>
            </w:pPr>
            <w:r>
              <w:t xml:space="preserve">Monitor polls 60s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Adobe confirms deletion complete (terminal)</w:t>
            </w:r>
          </w:p>
        </w:tc>
        <w:tc>
          <w:tcPr/>
          <w:p>
            <w:pPr>
              <w:pStyle w:val="Compact"/>
            </w:pPr>
            <w:r>
              <w:t xml:space="preserve">Export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Adobe returned 4xx (definitive rejection) and quota was released (terminal)</w:t>
            </w:r>
          </w:p>
        </w:tc>
        <w:tc>
          <w:tcPr/>
          <w:p>
            <w:pPr>
              <w:pStyle w:val="Compact"/>
            </w:pPr>
            <w:r>
              <w:t xml:space="preserve">Review error message; optionally reconcile if you suspect Adobe processed it anyway</w:t>
            </w:r>
          </w:p>
        </w:tc>
      </w:tr>
    </w:tbl>
    <w:bookmarkEnd w:id="38"/>
    <w:bookmarkStart w:id="42" w:name="submit-reconcile-flow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5334000" cy="7801970"/>
            <wp:effectExtent b="0" l="0" r="0" t="0"/>
            <wp:docPr descr="Submit and reconcile flow" title="" id="40" name="Picture"/>
            <a:graphic>
              <a:graphicData uri="http://schemas.openxmlformats.org/drawingml/2006/picture">
                <pic:pic>
                  <pic:nvPicPr>
                    <pic:cNvPr descr="diagrams/08-submit-reconcile-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/>
          <w:iCs/>
        </w:rPr>
        <w:t xml:space="preserve">Quota reserve gates the POST; the four post-POST outcomes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b/>
          <w:bCs/>
          <w:i/>
          <w:iCs/>
        </w:rPr>
        <w:t xml:space="preserve">SUBMITTED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DEFERRED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FAILED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SUBMITTING-uncertain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each have a precise recovery path. SUBMITTING-uncertain WOs come back</w:t>
      </w:r>
      <w:r>
        <w:rPr>
          <w:i/>
          <w:iCs/>
        </w:rPr>
        <w:t xml:space="preserve"> </w:t>
      </w:r>
      <w:r>
        <w:rPr>
          <w:i/>
          <w:iCs/>
        </w:rPr>
        <w:t xml:space="preserve">to life via the orphan-recovery path (boot-time 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 /api/jobs/:id/reconcile</w:t>
      </w:r>
      <w:r>
        <w:rPr>
          <w:i/>
          <w:iCs/>
        </w:rPr>
        <w:t xml:space="preserve">); previously-FAILED WOs can also be</w:t>
      </w:r>
      <w:r>
        <w:rPr>
          <w:i/>
          <w:iCs/>
        </w:rPr>
        <w:t xml:space="preserve"> </w:t>
      </w:r>
      <w:r>
        <w:rPr>
          <w:i/>
          <w:iCs/>
        </w:rPr>
        <w:t xml:space="preserve">reconciled if found in Adobe (re-reserves the quota the old buggy</w:t>
      </w:r>
      <w:r>
        <w:rPr>
          <w:i/>
          <w:iCs/>
        </w:rPr>
        <w:t xml:space="preserve"> </w:t>
      </w:r>
      <w:r>
        <w:rPr>
          <w:i/>
          <w:iCs/>
        </w:rPr>
        <w:t xml:space="preserve">catch released).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docs/diagrams/08-submit-reconcile-flow.mmd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multi-month-quota-planning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Multi-Month Quota Planning</w:t>
      </w:r>
    </w:p>
    <w:bookmarkStart w:id="44" w:name="why-multi-month-planning-exists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Daily cap</w:t>
      </w:r>
      <w:r>
        <w:t xml:space="preserve">: typically 1,000,000 identifiers per day (varies by contract)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44"/>
    <w:bookmarkStart w:id="48" w:name="planning-diagram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5334000" cy="13043723"/>
            <wp:effectExtent b="0" l="0" r="0" t="0"/>
            <wp:docPr descr="Multi-month planning" title="" id="46" name="Picture"/>
            <a:graphic>
              <a:graphicData uri="http://schemas.openxmlformats.org/drawingml/2006/picture">
                <pic:pic>
                  <pic:nvPicPr>
                    <pic:cNvPr descr="diagrams/04-multi-month-plann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3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/>
          <w:iCs/>
        </w:rPr>
        <w:t xml:space="preserve">Month 1 (blue) ships immediately when the operator clicks Submit on</w:t>
      </w:r>
      <w:r>
        <w:rPr>
          <w:i/>
          <w:iCs/>
        </w:rPr>
        <w:t xml:space="preserve"> </w:t>
      </w:r>
      <w:r>
        <w:rPr>
          <w:i/>
          <w:iCs/>
        </w:rPr>
        <w:t xml:space="preserve">Day 1. Month 2 (orange) stays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awaiting_approval</w:t>
      </w:r>
      <w:r>
        <w:rPr>
          <w:i/>
          <w:iCs/>
        </w:rPr>
        <w:t xml:space="preserve"> </w:t>
      </w:r>
      <w:r>
        <w:rPr>
          <w:i/>
          <w:iCs/>
        </w:rPr>
        <w:t xml:space="preserve">until the</w:t>
      </w:r>
      <w:r>
        <w:rPr>
          <w:i/>
          <w:iCs/>
        </w:rPr>
        <w:t xml:space="preserve"> </w:t>
      </w:r>
      <w:r>
        <w:rPr>
          <w:i/>
          <w:iCs/>
        </w:rPr>
        <w:t xml:space="preserve">operator clicks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Approve Month 2</w:t>
      </w:r>
      <w:r>
        <w:rPr>
          <w:i/>
          <w:iCs/>
        </w:rPr>
        <w:t xml:space="preserve"> </w:t>
      </w:r>
      <w:r>
        <w:rPr>
          <w:i/>
          <w:iCs/>
        </w:rPr>
        <w:t xml:space="preserve">— a per-month sign-off gate so</w:t>
      </w:r>
      <w:r>
        <w:rPr>
          <w:i/>
          <w:iCs/>
        </w:rPr>
        <w:t xml:space="preserve"> </w:t>
      </w:r>
      <w:r>
        <w:rPr>
          <w:i/>
          <w:iCs/>
        </w:rPr>
        <w:t xml:space="preserve">nobody accidentally lets a multi-month deletion run unattended.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Total job: 2,500,000 identifiers, 4 days across 2 months, 25 WOs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live redistributor</w:t>
      </w:r>
      <w:r>
        <w:rPr>
          <w:i/>
          <w:iCs/>
        </w:rPr>
        <w:t xml:space="preserve"> </w:t>
      </w:r>
      <w:r>
        <w:rPr>
          <w:i/>
          <w:iCs/>
        </w:rPr>
        <w:t xml:space="preserve">(green) runs before every plan and submit,</w:t>
      </w:r>
      <w:r>
        <w:rPr>
          <w:i/>
          <w:iCs/>
        </w:rPr>
        <w:t xml:space="preserve"> </w:t>
      </w:r>
      <w:r>
        <w:rPr>
          <w:i/>
          <w:iCs/>
        </w:rPr>
        <w:t xml:space="preserve">so day/month bucketing always reflects the current Adobe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/quota</w:t>
      </w:r>
      <w:r>
        <w:rPr>
          <w:i/>
          <w:iCs/>
        </w:rPr>
        <w:t xml:space="preserve"> </w:t>
      </w:r>
      <w:r>
        <w:rPr>
          <w:i/>
          <w:iCs/>
        </w:rPr>
        <w:t xml:space="preserve">numbers, not what they were when the plan was first built.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docs/diagrams/04-multi-month-planning.mmd</w:t>
      </w:r>
      <w:r>
        <w:rPr>
          <w:i/>
          <w:iCs/>
        </w:rPr>
        <w:t xml:space="preserve">.</w:t>
      </w:r>
    </w:p>
    <w:bookmarkEnd w:id="48"/>
    <w:bookmarkStart w:id="49" w:name="live-quota-redistributio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pStyle w:val="Compact"/>
        <w:numPr>
          <w:ilvl w:val="0"/>
          <w:numId w:val="1007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pStyle w:val="Compact"/>
        <w:numPr>
          <w:ilvl w:val="0"/>
          <w:numId w:val="1007"/>
        </w:numPr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pStyle w:val="Compact"/>
        <w:numPr>
          <w:ilvl w:val="0"/>
          <w:numId w:val="1007"/>
        </w:numPr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/>
          <w:bCs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/>
          <w:bCs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window”</w:t>
      </w:r>
      <w:r>
        <w:t xml:space="preserve"> </w:t>
      </w:r>
      <w:r>
        <w:t xml:space="preserve">behaviour the operator can rely on.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8" w:name="adobe-api-integrat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Adobe API Integration</w:t>
      </w:r>
    </w:p>
    <w:bookmarkStart w:id="51" w:name="api-summary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6.1 API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/ims/token/v3</w:t>
            </w:r>
          </w:p>
        </w:tc>
        <w:tc>
          <w:tcPr/>
          <w:p>
            <w:pPr>
              <w:pStyle w:val="Compact"/>
            </w:pPr>
            <w:r>
              <w:t xml:space="preserve">IMS bearer token</w:t>
            </w:r>
          </w:p>
        </w:tc>
        <w:tc>
          <w:tcPr/>
          <w:p>
            <w:pPr>
              <w:pStyle w:val="Compact"/>
            </w:pPr>
            <w:r>
              <w:t xml:space="preserve">ims-na1.adobelogin.com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tcPr/>
          <w:p>
            <w:pPr>
              <w:pStyle w:val="Compact"/>
            </w:pPr>
            <w:r>
              <w:t xml:space="preserve">List active sandboxes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tcPr/>
          <w:p>
            <w:pPr>
              <w:pStyle w:val="Compact"/>
            </w:pPr>
            <w:r>
              <w:t xml:space="preserve">List Identity-enabled datasets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tcPr/>
          <w:p>
            <w:pPr>
              <w:pStyle w:val="Compact"/>
            </w:pPr>
            <w:r>
              <w:t xml:space="preserve">List identity namespaces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tcPr/>
          <w:p>
            <w:pPr>
              <w:pStyle w:val="Compact"/>
            </w:pPr>
            <w:r>
              <w:t xml:space="preserve">Expand identity cluster</w:t>
            </w:r>
          </w:p>
        </w:tc>
        <w:tc>
          <w:tcPr/>
          <w:p>
            <w:pPr>
              <w:pStyle w:val="Compact"/>
            </w:pPr>
            <w:r>
              <w:t xml:space="preserve">platform-{region}.adobe.io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tcPr/>
          <w:p>
            <w:pPr>
              <w:pStyle w:val="Compact"/>
            </w:pPr>
            <w:r>
              <w:t xml:space="preserve">Create record-delete WO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tcPr/>
          <w:p>
            <w:pPr>
              <w:pStyle w:val="Compact"/>
            </w:pPr>
            <w:r>
              <w:t xml:space="preserve">Poll work-order status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tcPr/>
          <w:p>
            <w:pPr>
              <w:pStyle w:val="Compact"/>
            </w:pPr>
            <w:r>
              <w:t xml:space="preserve">Live daily + monthly quota</w:t>
            </w:r>
          </w:p>
        </w:tc>
        <w:tc>
          <w:tcPr/>
          <w:p>
            <w:pPr>
              <w:pStyle w:val="Compact"/>
            </w:pPr>
            <w:r>
              <w:t xml:space="preserve">platform.adobe.io</w:t>
            </w:r>
          </w:p>
        </w:tc>
      </w:tr>
    </w:tbl>
    <w:bookmarkEnd w:id="51"/>
    <w:bookmarkStart w:id="55" w:name="region-architecture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“no linked identities”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3921778"/>
            <wp:effectExtent b="0" l="0" r="0" t="0"/>
            <wp:docPr descr="Region architecture" title="" id="53" name="Picture"/>
            <a:graphic>
              <a:graphicData uri="http://schemas.openxmlformats.org/drawingml/2006/picture">
                <pic:pic>
                  <pic:nvPicPr>
                    <pic:cNvPr descr="diagrams/05-region-architectur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/>
          <w:iCs/>
        </w:rPr>
        <w:t xml:space="preserve">Each credential row carries its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region</w:t>
      </w:r>
      <w:r>
        <w:rPr>
          <w:i/>
          <w:iCs/>
        </w:rPr>
        <w:t xml:space="preserve">. The URL builder</w:t>
      </w:r>
      <w:r>
        <w:rPr>
          <w:i/>
          <w:iCs/>
        </w:rPr>
        <w:t xml:space="preserve"> </w:t>
      </w:r>
      <w:r>
        <w:rPr>
          <w:i/>
          <w:iCs/>
        </w:rPr>
        <w:t xml:space="preserve">templates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https://platform-${region}.adobe.io</w:t>
      </w:r>
      <w:r>
        <w:rPr>
          <w:i/>
          <w:iCs/>
        </w:rPr>
        <w:t xml:space="preserve"> </w:t>
      </w:r>
      <w:r>
        <w:rPr>
          <w:i/>
          <w:iCs/>
        </w:rPr>
        <w:t xml:space="preserve">from that field — never</w:t>
      </w:r>
      <w:r>
        <w:rPr>
          <w:i/>
          <w:iCs/>
        </w:rPr>
        <w:t xml:space="preserve"> </w:t>
      </w:r>
      <w:r>
        <w:rPr>
          <w:i/>
          <w:iCs/>
        </w:rPr>
        <w:t xml:space="preserve">from a global default. Three layers of defence-in-depth allowlist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routes/config.js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namespaces.js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identityGraph.js</w:t>
      </w:r>
      <w:r>
        <w:rPr>
          <w:i/>
          <w:iCs/>
        </w:rPr>
        <w:t xml:space="preserve">) refuse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an Identity host with any value outside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{va7, nld2, aus5, can2}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even if a tampered DB row holds something exotic — preventing SSRF</w:t>
      </w:r>
      <w:r>
        <w:rPr>
          <w:i/>
          <w:iCs/>
        </w:rPr>
        <w:t xml:space="preserve"> </w:t>
      </w:r>
      <w:r>
        <w:rPr>
          <w:i/>
          <w:iCs/>
        </w:rPr>
        <w:t xml:space="preserve">via host injection.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docs/diagrams/05-region-architecture.mmd</w:t>
      </w:r>
      <w:r>
        <w:rPr>
          <w:i/>
          <w:iCs/>
        </w:rPr>
        <w:t xml:space="preserve">.</w:t>
      </w:r>
    </w:p>
    <w:bookmarkEnd w:id="55"/>
    <w:bookmarkStart w:id="56" w:name="work-order-payload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Payload constraints (all validated locally before the network call):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1"/>
        <w:gridCol w:w="60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tcPr/>
          <w:p>
            <w:pPr>
              <w:pStyle w:val="Compact"/>
            </w:pPr>
            <w:r>
              <w:t xml:space="preserve">1 – 100,000 (Adobe hard limit)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targetServices</w:t>
            </w:r>
          </w:p>
        </w:tc>
        <w:tc>
          <w:tcPr/>
          <w:p>
            <w:pPr>
              <w:pStyle w:val="Compac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 entry</w:t>
            </w:r>
          </w:p>
        </w:tc>
        <w:tc>
          <w:tcPr/>
          <w:p>
            <w:pPr>
              <w:pStyle w:val="Compac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56"/>
    <w:bookmarkStart w:id="57" w:name="identity-quota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6.4 Identity Quota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926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cap</w:t>
            </w:r>
          </w:p>
        </w:tc>
        <w:tc>
          <w:tcPr/>
          <w:p>
            <w:pPr>
              <w:pStyle w:val="Compact"/>
            </w:pPr>
            <w:r>
              <w:t xml:space="preserve">1,000,000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cap</w:t>
            </w:r>
          </w:p>
        </w:tc>
        <w:tc>
          <w:tcPr/>
          <w:p>
            <w:pPr>
              <w:pStyle w:val="Compact"/>
            </w:pPr>
            <w:r>
              <w:t xml:space="preserve">3,000,000 identifiers</w:t>
            </w:r>
          </w:p>
        </w:tc>
        <w:tc>
          <w:tcPr/>
          <w:p>
            <w:pPr>
              <w:pStyle w:val="Compac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security-architecture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Security Architecture</w:t>
      </w:r>
    </w:p>
    <w:bookmarkStart w:id="62" w:name="defense-in-depth-model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/>
          <w:bCs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/>
          <w:bCs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3505200" cy="23520400"/>
            <wp:effectExtent b="0" l="0" r="0" t="0"/>
            <wp:docPr descr="Defense-in-depth" title="" id="60" name="Picture"/>
            <a:graphic>
              <a:graphicData uri="http://schemas.openxmlformats.org/drawingml/2006/picture">
                <pic:pic>
                  <pic:nvPicPr>
                    <pic:cNvPr descr="diagrams/06-defense-in-dep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352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/>
          <w:iCs/>
        </w:rPr>
        <w:t xml:space="preserve">Layers 1-5 are network → HTTP → allowlist → credential → asset</w:t>
      </w:r>
      <w:r>
        <w:rPr>
          <w:i/>
          <w:iCs/>
        </w:rPr>
        <w:t xml:space="preserve"> </w:t>
      </w:r>
      <w:r>
        <w:rPr>
          <w:i/>
          <w:iCs/>
        </w:rPr>
        <w:t xml:space="preserve">isolation. Layer 6 covers the destructive-API specific safety</w:t>
      </w:r>
      <w:r>
        <w:rPr>
          <w:i/>
          <w:iCs/>
        </w:rPr>
        <w:t xml:space="preserve"> </w:t>
      </w:r>
      <w:r>
        <w:rPr>
          <w:i/>
          <w:iCs/>
        </w:rPr>
        <w:t xml:space="preserve">(non-idempotent retry policy, replan-forbidden guard, per-month</w:t>
      </w:r>
      <w:r>
        <w:rPr>
          <w:i/>
          <w:iCs/>
        </w:rPr>
        <w:t xml:space="preserve"> </w:t>
      </w:r>
      <w:r>
        <w:rPr>
          <w:i/>
          <w:iCs/>
        </w:rPr>
        <w:t xml:space="preserve">approval gate, UI-level debounce on every destructive button).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docs/diagrams/06-defense-in-depth.mmd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Per-layer notes: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2"/>
    <w:bookmarkStart w:id="63" w:name="submission-safety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</w:t>
      </w:r>
      <w:r>
        <w:br/>
      </w:r>
      <w:r>
        <w:rPr>
          <w:rStyle w:val="VerbatimChar"/>
        </w:rPr>
        <w:t xml:space="preserve">     displayName prefix. Confirmed-absent → roll back. Indeterminate</w:t>
      </w:r>
      <w:r>
        <w:br/>
      </w:r>
      <w:r>
        <w:rPr>
          <w:rStyle w:val="VerbatimChar"/>
        </w:rPr>
        <w:t xml:space="preserve">     (Adobe returned 400 or network error) → leave as-is; retry next boot.</w:t>
      </w:r>
      <w:r>
        <w:br/>
      </w:r>
      <w:r>
        <w:rPr>
          <w:rStyle w:val="VerbatimChar"/>
        </w:rPr>
        <w:t xml:space="preserve">     Never roll back when the answer is ambiguous.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5" w:name="environment-configuration-referenc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8. Environment Configuration Reference</w:t>
      </w:r>
    </w:p>
    <w:bookmarkStart w:id="71" w:name="complete-environment-variable-reference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5" w:name="network-server"/>
    <w:p>
      <w:pPr>
        <w:pStyle w:val="Heading4"/>
      </w:pPr>
      <w:r>
        <w:rPr>
          <w:rStyle w:val="SectionNumber"/>
        </w:rPr>
        <w:t xml:space="preserve">1.10.1.1</w:t>
      </w:r>
      <w:r>
        <w:tab/>
      </w:r>
      <w:r>
        <w:t xml:space="preserve">Network &amp; 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HTTP port the Express server listens on. Change if 3000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5"/>
    <w:bookmarkStart w:id="66" w:name="storage-paths"/>
    <w:p>
      <w:pPr>
        <w:pStyle w:val="Heading4"/>
      </w:pPr>
      <w:r>
        <w:rPr>
          <w:rStyle w:val="SectionNumber"/>
        </w:rPr>
        <w:t xml:space="preserve">1.10.1.2</w:t>
      </w:r>
      <w:r>
        <w:tab/>
      </w:r>
      <w:r>
        <w:t xml:space="preserve">Storage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./data</w:t>
            </w:r>
          </w:p>
        </w:tc>
        <w:tc>
          <w:tcPr/>
          <w:p>
            <w:pPr>
              <w:pStyle w:val="Compac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/>
                <w:bCs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tcPr/>
          <w:p>
            <w:pPr>
              <w:pStyle w:val="Compac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tcPr/>
          <w:p>
            <w:pPr>
              <w:pStyle w:val="Compact"/>
            </w:pPr>
            <w:r>
              <w:t xml:space="preserve">Directory for streamed CSV uploads. Must be writeable.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tcPr/>
          <w:p>
            <w:pPr>
              <w:pStyle w:val="Compact"/>
            </w:pPr>
            <w:r>
              <w:t xml:space="preserve">Directory for exported result CSVs.</w:t>
            </w:r>
          </w:p>
        </w:tc>
      </w:tr>
    </w:tbl>
    <w:bookmarkEnd w:id="66"/>
    <w:bookmarkStart w:id="67" w:name="security"/>
    <w:p>
      <w:pPr>
        <w:pStyle w:val="Heading4"/>
      </w:pPr>
      <w:r>
        <w:rPr>
          <w:rStyle w:val="SectionNumber"/>
        </w:rPr>
        <w:t xml:space="preserve">1.10.1.3</w:t>
      </w:r>
      <w:r>
        <w:tab/>
      </w:r>
      <w:r>
        <w:t xml:space="preserve">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(auto-generated)</w:t>
            </w:r>
          </w:p>
        </w:tc>
        <w:tc>
          <w:tcPr/>
          <w:p>
            <w:pPr>
              <w:pStyle w:val="Compac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/>
                <w:bCs/>
              </w:rPr>
              <w:t xml:space="preserve">Do not commit this value.</w:t>
            </w:r>
          </w:p>
        </w:tc>
      </w:tr>
    </w:tbl>
    <w:bookmarkEnd w:id="67"/>
    <w:bookmarkStart w:id="68" w:name="performance-tuning-scalability-knobs"/>
    <w:p>
      <w:pPr>
        <w:pStyle w:val="Heading4"/>
      </w:pPr>
      <w:r>
        <w:rPr>
          <w:rStyle w:val="SectionNumber"/>
        </w:rPr>
        <w:t xml:space="preserve">1.10.1.4</w:t>
      </w:r>
      <w:r>
        <w:tab/>
      </w:r>
      <w:r>
        <w:t xml:space="preserve">Performance Tuning (scalability knobs)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60000</w:t>
            </w:r>
          </w:p>
        </w:tc>
        <w:tc>
          <w:tcPr/>
          <w:p>
            <w:pPr>
              <w:pStyle w:val="Compact"/>
            </w:pPr>
            <w:r>
              <w:t xml:space="preserve">HTTP request timeout in milliseconds (60 seconds). Increase for very slow network connections or VPN routing.</w:t>
            </w:r>
          </w:p>
        </w:tc>
      </w:tr>
    </w:tbl>
    <w:bookmarkEnd w:id="68"/>
    <w:bookmarkStart w:id="69" w:name="quota-fallbacks"/>
    <w:p>
      <w:pPr>
        <w:pStyle w:val="Heading4"/>
      </w:pPr>
      <w:r>
        <w:rPr>
          <w:rStyle w:val="SectionNumber"/>
        </w:rPr>
        <w:t xml:space="preserve">1.10.1.5</w:t>
      </w:r>
      <w:r>
        <w:tab/>
      </w: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/>
          <w:bCs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1000000</w:t>
            </w:r>
          </w:p>
        </w:tc>
        <w:tc>
          <w:tcPr/>
          <w:p>
            <w:pPr>
              <w:pStyle w:val="Compact"/>
            </w:pPr>
            <w:r>
              <w:t xml:space="preserve">Fallback daily identifier deletion cap. Match your Adobe contract entitlement.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3000000</w:t>
            </w:r>
          </w:p>
        </w:tc>
        <w:tc>
          <w:tcPr/>
          <w:p>
            <w:pPr>
              <w:pStyle w:val="Compact"/>
            </w:pPr>
            <w:r>
              <w:t xml:space="preserve">Fallback monthly identifier deletion cap. Match your Adobe contract.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disable monthly quota tracking (useful for contracts with no monthly cap).</w:t>
            </w:r>
          </w:p>
        </w:tc>
      </w:tr>
    </w:tbl>
    <w:bookmarkEnd w:id="69"/>
    <w:bookmarkStart w:id="70" w:name="adobe-endpoints-advanced"/>
    <w:p>
      <w:pPr>
        <w:pStyle w:val="Heading4"/>
      </w:pPr>
      <w:r>
        <w:rPr>
          <w:rStyle w:val="SectionNumber"/>
        </w:rPr>
        <w:t xml:space="preserve">1.10.1.6</w:t>
      </w:r>
      <w:r>
        <w:tab/>
      </w:r>
      <w:r>
        <w:t xml:space="preserve">Adobe Endpoints (advanced)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tcPr/>
          <w:p>
            <w:pPr>
              <w:pStyle w:val="Compac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tcPr/>
          <w:p>
            <w:pPr>
              <w:pStyle w:val="Compact"/>
            </w:pPr>
            <w:r>
              <w:t xml:space="preserve">IMS authentication host. Override for non-production IMS environments.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IMS_SCOPE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(standard AEP scopes)</w:t>
            </w:r>
          </w:p>
        </w:tc>
        <w:tc>
          <w:tcPr/>
          <w:p>
            <w:pPr>
              <w:pStyle w:val="Compac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va7</w:t>
            </w:r>
          </w:p>
        </w:tc>
        <w:tc>
          <w:tcPr/>
          <w:p>
            <w:pPr>
              <w:pStyle w:val="Compac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0"/>
    <w:bookmarkEnd w:id="71"/>
    <w:bookmarkStart w:id="72" w:name="per-machine-tuning-recommendations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IDENTITY_CONCURRENCY=10      # default, safe for most orgs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Machine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Default settings; no change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Laptop, 32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Entire B-tree fits in RAM; no I/O degradation on large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8–16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More headroom; adjust to available 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server, 32+ GB RAM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 throughput; watch Adobe 429 rate</w:t>
            </w:r>
          </w:p>
        </w:tc>
      </w:tr>
    </w:tbl>
    <w:bookmarkEnd w:id="72"/>
    <w:bookmarkStart w:id="73" w:name="development-testing"/>
    <w:p>
      <w:pPr>
        <w:pStyle w:val="Heading3"/>
      </w:pPr>
      <w:r>
        <w:rPr>
          <w:rStyle w:val="SectionNumber"/>
        </w:rPr>
        <w:t xml:space="preserve">1.10.3</w:t>
      </w:r>
      <w:r>
        <w:tab/>
      </w:r>
      <w:r>
        <w:t xml:space="preserve">8.3 Development /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SMOKE_SUBMIT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/>
                <w:bCs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3"/>
    <w:bookmarkStart w:id="74" w:name="sample-.env-files"/>
    <w:p>
      <w:pPr>
        <w:pStyle w:val="Heading3"/>
      </w:pPr>
      <w:r>
        <w:rPr>
          <w:rStyle w:val="SectionNumber"/>
        </w:rPr>
        <w:t xml:space="preserve">1.10.4</w:t>
      </w:r>
      <w:r>
        <w:tab/>
      </w: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/>
          <w:bCs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/>
          <w:bCs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/>
          <w:bCs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/>
          <w:bCs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operational-procedures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9. Operational Procedures</w:t>
      </w:r>
    </w:p>
    <w:bookmarkStart w:id="76" w:name="prerequisites"/>
    <w:p>
      <w:pPr>
        <w:pStyle w:val="Heading3"/>
      </w:pPr>
      <w:r>
        <w:rPr>
          <w:rStyle w:val="SectionNumber"/>
        </w:rPr>
        <w:t xml:space="preserve">1.11.1</w:t>
      </w:r>
      <w:r>
        <w:tab/>
      </w: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6"/>
    <w:bookmarkStart w:id="77" w:name="installation-first-run"/>
    <w:p>
      <w:pPr>
        <w:pStyle w:val="Heading3"/>
      </w:pPr>
      <w:r>
        <w:rPr>
          <w:rStyle w:val="SectionNumber"/>
        </w:rPr>
        <w:t xml:space="preserve">1.11.2</w:t>
      </w:r>
      <w:r>
        <w:tab/>
      </w: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/>
          <w:bCs/>
        </w:rPr>
        <w:t xml:space="preserve">Start Identity Expansion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Wait for expansion to complete (progress bar in the Jobs tab).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Plan Work Orders</w:t>
      </w:r>
      <w:r>
        <w:t xml:space="preserve">. Review the day/month breakdown.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Submit Day 1</w:t>
      </w:r>
      <w:r>
        <w:t xml:space="preserve">. Work orders are sent to Adobe.</w:t>
      </w:r>
    </w:p>
    <w:p>
      <w:pPr>
        <w:pStyle w:val="Compact"/>
        <w:numPr>
          <w:ilvl w:val="0"/>
          <w:numId w:val="1010"/>
        </w:numPr>
      </w:pPr>
      <w:r>
        <w:t xml:space="preserve">Switch to the</w:t>
      </w:r>
      <w:r>
        <w:t xml:space="preserve"> </w:t>
      </w:r>
      <w:r>
        <w:rPr>
          <w:b/>
          <w:bCs/>
        </w:rPr>
        <w:t xml:space="preserve">Monitor tab</w:t>
      </w:r>
      <w:r>
        <w:t xml:space="preserve"> </w:t>
      </w:r>
      <w:r>
        <w:t xml:space="preserve">to track progress.</w:t>
      </w:r>
    </w:p>
    <w:bookmarkEnd w:id="77"/>
    <w:bookmarkStart w:id="78" w:name="running-tests"/>
    <w:p>
      <w:pPr>
        <w:pStyle w:val="Heading3"/>
      </w:pPr>
      <w:r>
        <w:rPr>
          <w:rStyle w:val="SectionNumber"/>
        </w:rPr>
        <w:t xml:space="preserve">1.11.3</w:t>
      </w:r>
      <w:r>
        <w:tab/>
      </w: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/>
          <w:bCs/>
        </w:rPr>
        <w:t xml:space="preserve">197 tests</w:t>
      </w:r>
      <w:r>
        <w:t xml:space="preserve"> </w:t>
      </w:r>
      <w:r>
        <w:t xml:space="preserve">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tolerance, factory statement (13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Jobs routes — DELETE, force-delete, cascade, in-flight guard (9 tests)</w:t>
      </w:r>
      <w:r>
        <w:t xml:space="preserve"> </w:t>
      </w:r>
      <w:r>
        <w:t xml:space="preserve">- Wave-drain regression — concurrent rejections without unhandled rejection (3 tests)</w:t>
      </w:r>
      <w:r>
        <w:t xml:space="preserve"> </w:t>
      </w:r>
      <w:r>
        <w:t xml:space="preserve">- CSV sniffer — accept UTF-8, reject XLSX / UTF-16 / binary / empty (6 tests)</w:t>
      </w:r>
      <w:r>
        <w:t xml:space="preserve"> </w:t>
      </w:r>
      <w:r>
        <w:t xml:space="preserve">- Security middleware — host guard, Origin guard, allowlists, CSV formula sanitiser (15 tests)</w:t>
      </w:r>
      <w:r>
        <w:t xml:space="preserve"> </w:t>
      </w:r>
      <w:r>
        <w:t xml:space="preserve">- Quota API live snapshot, redistributor, scheduler (rest)</w:t>
      </w:r>
      <w:r>
        <w:t xml:space="preserve"> </w:t>
      </w:r>
      <w:r>
        <w:t xml:space="preserve">- End-to-end integration with fully-mocked Adobe (3 tests)</w:t>
      </w:r>
    </w:p>
    <w:bookmarkEnd w:id="78"/>
    <w:bookmarkStart w:id="79" w:name="recovering-from-a-crash"/>
    <w:p>
      <w:pPr>
        <w:pStyle w:val="Heading3"/>
      </w:pPr>
      <w:r>
        <w:rPr>
          <w:rStyle w:val="SectionNumber"/>
        </w:rPr>
        <w:t xml:space="preserve">1.11.4</w:t>
      </w:r>
      <w:r>
        <w:tab/>
      </w: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Match found</w:t>
      </w:r>
      <w:r>
        <w:t xml:space="preserve"> </w:t>
      </w:r>
      <w:r>
        <w:t xml:space="preserve">— records the Adobe ID and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Confirmed absent</w:t>
      </w:r>
      <w:r>
        <w:t xml:space="preserve"> </w:t>
      </w:r>
      <w:r>
        <w:t xml:space="preserve">— rolls back to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and releases quota.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 Never rolls back ambiguous cases.</w:t>
      </w:r>
    </w:p>
    <w:bookmarkEnd w:id="79"/>
    <w:bookmarkStart w:id="80" w:name="rotating-credentials"/>
    <w:p>
      <w:pPr>
        <w:pStyle w:val="Heading3"/>
      </w:pPr>
      <w:r>
        <w:rPr>
          <w:rStyle w:val="SectionNumber"/>
        </w:rPr>
        <w:t xml:space="preserve">1.11.5</w:t>
      </w:r>
      <w:r>
        <w:tab/>
      </w:r>
      <w:r>
        <w:t xml:space="preserve">9.5 Rotating Credentials</w:t>
      </w:r>
    </w:p>
    <w:p>
      <w:pPr>
        <w:pStyle w:val="Compact"/>
        <w:numPr>
          <w:ilvl w:val="0"/>
          <w:numId w:val="1011"/>
        </w:numPr>
      </w:pPr>
      <w:r>
        <w:t xml:space="preserve">Update the secret in the</w:t>
      </w:r>
      <w:r>
        <w:t xml:space="preserve"> </w:t>
      </w:r>
      <w:r>
        <w:rPr>
          <w:b/>
          <w:bCs/>
        </w:rPr>
        <w:t xml:space="preserve">Adobe Developer Console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Config tab → pick the saved credential from the dropdown → update</w:t>
      </w:r>
      <w:r>
        <w:t xml:space="preserve"> </w:t>
      </w:r>
      <w:r>
        <w:rPr>
          <w:b/>
          <w:bCs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0"/>
    <w:bookmarkStart w:id="81" w:name="full-reset-wipe-all-state"/>
    <w:p>
      <w:pPr>
        <w:pStyle w:val="Heading3"/>
      </w:pPr>
      <w:r>
        <w:rPr>
          <w:rStyle w:val="SectionNumber"/>
        </w:rPr>
        <w:t xml:space="preserve">1.11.6</w:t>
      </w:r>
      <w:r>
        <w:tab/>
      </w: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1"/>
    <w:bookmarkStart w:id="82" w:name="auto-resume-scheduler"/>
    <w:p>
      <w:pPr>
        <w:pStyle w:val="Heading3"/>
      </w:pPr>
      <w:r>
        <w:rPr>
          <w:rStyle w:val="SectionNumber"/>
        </w:rPr>
        <w:t xml:space="preserve">1.11.7</w:t>
      </w:r>
      <w:r>
        <w:tab/>
      </w: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/>
          <w:bCs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5"/>
        <w:gridCol w:w="4411"/>
        <w:gridCol w:w="12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time</w:t>
            </w:r>
          </w:p>
        </w:tc>
        <w:tc>
          <w:tcPr/>
          <w:p>
            <w:pPr>
              <w:pStyle w:val="Compact"/>
            </w:pPr>
            <w:r>
              <w:t xml:space="preserve">HH:MM (24h, operator’s local 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every-day / weekdays / first-of-month</w:t>
            </w:r>
          </w:p>
        </w:tc>
        <w:tc>
          <w:tcPr/>
          <w:p>
            <w:pPr>
              <w:pStyle w:val="Compac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0" w:name="design-decisions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10. Design Decisions</w:t>
      </w:r>
    </w:p>
    <w:bookmarkStart w:id="84" w:name="why-sqlite-not-postgres-or-redis"/>
    <w:p>
      <w:pPr>
        <w:pStyle w:val="Heading3"/>
      </w:pPr>
      <w:r>
        <w:rPr>
          <w:rStyle w:val="SectionNumber"/>
        </w:rPr>
        <w:t xml:space="preserve">1.12.1</w:t>
      </w:r>
      <w:r>
        <w:tab/>
      </w: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4"/>
    <w:bookmarkStart w:id="85" w:name="why-validate-before-the-network"/>
    <w:p>
      <w:pPr>
        <w:pStyle w:val="Heading3"/>
      </w:pPr>
      <w:r>
        <w:rPr>
          <w:rStyle w:val="SectionNumber"/>
        </w:rPr>
        <w:t xml:space="preserve">1.12.2</w:t>
      </w:r>
      <w:r>
        <w:tab/>
      </w: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5"/>
    <w:bookmarkStart w:id="86" w:name="why-in-memory-ims-tokens-not-persisted"/>
    <w:p>
      <w:pPr>
        <w:pStyle w:val="Heading3"/>
      </w:pPr>
      <w:r>
        <w:rPr>
          <w:rStyle w:val="SectionNumber"/>
        </w:rPr>
        <w:t xml:space="preserve">1.12.3</w:t>
      </w:r>
      <w:r>
        <w:tab/>
      </w: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6"/>
    <w:bookmarkStart w:id="87" w:name="Xa0ece07ec830f69ced4c88411541552e4a71969"/>
    <w:p>
      <w:pPr>
        <w:pStyle w:val="Heading3"/>
      </w:pPr>
      <w:r>
        <w:rPr>
          <w:rStyle w:val="SectionNumber"/>
        </w:rPr>
        <w:t xml:space="preserve">1.12.4</w:t>
      </w:r>
      <w:r>
        <w:tab/>
      </w: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87"/>
    <w:bookmarkStart w:id="88" w:name="X171820582e456ea4f68e680ae34cc1aed2d7c38"/>
    <w:p>
      <w:pPr>
        <w:pStyle w:val="Heading3"/>
      </w:pPr>
      <w:r>
        <w:rPr>
          <w:rStyle w:val="SectionNumber"/>
        </w:rPr>
        <w:t xml:space="preserve">1.12.5</w:t>
      </w:r>
      <w:r>
        <w:tab/>
      </w: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pStyle w:val="Compact"/>
        <w:numPr>
          <w:ilvl w:val="0"/>
          <w:numId w:val="101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pStyle w:val="Compact"/>
        <w:numPr>
          <w:ilvl w:val="0"/>
          <w:numId w:val="1012"/>
        </w:numPr>
      </w:pPr>
      <w:r>
        <w:t xml:space="preserve">With only 512MB cache, most page lookups hit disk</w:t>
      </w:r>
    </w:p>
    <w:p>
      <w:pPr>
        <w:pStyle w:val="Compact"/>
        <w:numPr>
          <w:ilvl w:val="0"/>
          <w:numId w:val="1012"/>
        </w:numPr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88"/>
    <w:bookmarkStart w:id="89" w:name="why-wave-based-expansion-scheduling"/>
    <w:p>
      <w:pPr>
        <w:pStyle w:val="Heading3"/>
      </w:pPr>
      <w:r>
        <w:rPr>
          <w:rStyle w:val="SectionNumber"/>
        </w:rPr>
        <w:t xml:space="preserve">1.12.6</w:t>
      </w:r>
      <w:r>
        <w:tab/>
      </w: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known-limitations-extension-points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11. Known Limitations &amp; Extension Points</w:t>
      </w:r>
    </w:p>
    <w:bookmarkStart w:id="91" w:name="current-limitations"/>
    <w:p>
      <w:pPr>
        <w:pStyle w:val="Heading3"/>
      </w:pPr>
      <w:r>
        <w:rPr>
          <w:rStyle w:val="SectionNumber"/>
        </w:rPr>
        <w:t xml:space="preserve">1.13.1</w:t>
      </w:r>
      <w:r>
        <w:tab/>
      </w:r>
      <w:r>
        <w:t xml:space="preserve">11.1 Current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Single-process only</w:t>
            </w:r>
          </w:p>
        </w:tc>
        <w:tc>
          <w:tcPr/>
          <w:p>
            <w:pPr>
              <w:pStyle w:val="Compact"/>
            </w:pPr>
            <w:r>
              <w:t xml:space="preserve">Running two instances against the same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will corrupt the WAL. No advisory 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multi-user auth</w:t>
            </w:r>
          </w:p>
        </w:tc>
        <w:tc>
          <w:tcPr/>
          <w:p>
            <w:pPr>
              <w:pStyle w:val="Compac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source namespace</w:t>
            </w:r>
          </w:p>
        </w:tc>
        <w:tc>
          <w:tcPr/>
          <w:p>
            <w:pPr>
              <w:pStyle w:val="Compac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CSV per job</w:t>
            </w:r>
          </w:p>
        </w:tc>
        <w:tc>
          <w:tcPr/>
          <w:p>
            <w:pPr>
              <w:pStyle w:val="Compact"/>
            </w:pPr>
            <w:r>
              <w:t xml:space="preserve">No batch/folder upload. Each deletion batch requires a separate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credential export</w:t>
            </w:r>
          </w:p>
        </w:tc>
        <w:tc>
          <w:tcPr/>
          <w:p>
            <w:pPr>
              <w:pStyle w:val="Compac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polls 60s</w:t>
            </w:r>
          </w:p>
        </w:tc>
        <w:tc>
          <w:tcPr/>
          <w:p>
            <w:pPr>
              <w:pStyle w:val="Compact"/>
            </w:pPr>
            <w:r>
              <w:t xml:space="preserve">Adobe doesn’t emit webhooks for work-order status. 60-second polling is the only option (with a 15s per-WO timeout cap and a reentrancy guard since 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UTC midnight quota rollover</w:t>
            </w:r>
          </w:p>
        </w:tc>
        <w:tc>
          <w:tcPr/>
          <w:p>
            <w:pPr>
              <w:pStyle w:val="Compac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OneDrive path warning</w:t>
            </w:r>
          </w:p>
        </w:tc>
        <w:tc>
          <w:tcPr/>
          <w:p>
            <w:pPr>
              <w:pStyle w:val="Compac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Graph rate limits</w:t>
            </w:r>
          </w:p>
        </w:tc>
        <w:tc>
          <w:tcPr/>
          <w:p>
            <w:pPr>
              <w:pStyle w:val="Compac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was lowered from 10 to 5 on 2026-05-29 after a real-world incident where 15 caused Adobe to return 60-second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waits.</w:t>
            </w:r>
          </w:p>
        </w:tc>
      </w:tr>
    </w:tbl>
    <w:bookmarkEnd w:id="91"/>
    <w:bookmarkStart w:id="92" w:name="X453b045b2e7a31e94cbb13426a9dc6edda13b3a"/>
    <w:p>
      <w:pPr>
        <w:pStyle w:val="Heading3"/>
      </w:pPr>
      <w:r>
        <w:rPr>
          <w:rStyle w:val="SectionNumber"/>
        </w:rPr>
        <w:t xml:space="preserve">1.13.2</w:t>
      </w:r>
      <w:r>
        <w:tab/>
      </w:r>
      <w:r>
        <w:t xml:space="preserve">11.2 Recently resolved (was a limitation before — no longer)</w:t>
      </w:r>
    </w:p>
    <w:p>
      <w:pPr>
        <w:pStyle w:val="FirstParagraph"/>
      </w:pPr>
      <w:r>
        <w:t xml:space="preserve">These were genuine limitations earlier in 2026 and were fixed during</w:t>
      </w:r>
      <w:r>
        <w:t xml:space="preserve"> </w:t>
      </w:r>
      <w:r>
        <w:t xml:space="preserve">the late-May hardening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60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Was a problem</w:t>
            </w:r>
          </w:p>
        </w:tc>
        <w:tc>
          <w:tcPr/>
          <w:p>
            <w:pPr>
              <w:pStyle w:val="Compact"/>
            </w:pPr>
            <w:r>
              <w:t xml:space="preserve">Fix shipped (commit)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tcPr/>
          <w:p>
            <w:pPr>
              <w:pStyle w:val="Compac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crashed at 96% on ECONNRESET (unhandled rejection)</w:t>
            </w:r>
          </w:p>
        </w:tc>
        <w:tc>
          <w:tcPr/>
          <w:p>
            <w:pPr>
              <w:pStyle w:val="Compac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showed</w:t>
            </w:r>
            <w:r>
              <w:t xml:space="preserve"> </w:t>
            </w:r>
            <w:r>
              <w:t xml:space="preserve">“No job selected”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Auto-load surprised the operator after Delete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Cascading monitor timeouts</w:t>
            </w:r>
          </w:p>
        </w:tc>
        <w:tc>
          <w:tcPr/>
          <w:p>
            <w:pPr>
              <w:pStyle w:val="Compact"/>
            </w:pPr>
            <w:r>
              <w:t xml:space="preserve">Monitor tick is now non-reentrant; per-request timeout dropped from 60s to 15s.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Mid-expansion shutdown didn’t actually exit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2"/>
    <w:bookmarkStart w:id="93" w:name="extension-points"/>
    <w:p>
      <w:pPr>
        <w:pStyle w:val="Heading3"/>
      </w:pPr>
      <w:r>
        <w:rPr>
          <w:rStyle w:val="SectionNumber"/>
        </w:rPr>
        <w:t xml:space="preserve">1.13.3</w:t>
      </w:r>
      <w:r>
        <w:tab/>
      </w: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6"/>
        <w:gridCol w:w="6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Multi-operator support</w:t>
            </w:r>
          </w:p>
        </w:tc>
        <w:tc>
          <w:tcPr/>
          <w:p>
            <w:pPr>
              <w:pStyle w:val="Compac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Webhook-based status updates</w:t>
            </w:r>
          </w:p>
        </w:tc>
        <w:tc>
          <w:tcPr/>
          <w:p>
            <w:pPr>
              <w:pStyle w:val="Compac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audit log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CSV upload</w:t>
            </w:r>
          </w:p>
        </w:tc>
        <w:tc>
          <w:tcPr/>
          <w:p>
            <w:pPr>
              <w:pStyle w:val="Compact"/>
            </w:pPr>
            <w:r>
              <w:t xml:space="preserve">Add a folder-drop endpoint that creates one job per CSV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Schema-aware dataset filter</w:t>
            </w:r>
          </w:p>
        </w:tc>
        <w:tc>
          <w:tcPr/>
          <w:p>
            <w:pPr>
              <w:pStyle w:val="Compac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Figma MCP integration</w:t>
            </w:r>
          </w:p>
        </w:tc>
        <w:tc>
          <w:tcPr/>
          <w:p>
            <w:pPr>
              <w:pStyle w:val="Compac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appendix-file-map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end — AEP Data Lifecycle Helper Design Document v2.0.0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27" Target="media/rId27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</dc:title>
  <dc:creator>Tushar Kant Kar - Adobe</dc:creator>
  <cp:keywords/>
  <dcterms:created xsi:type="dcterms:W3CDTF">2026-05-30T06:35:01Z</dcterms:created>
  <dcterms:modified xsi:type="dcterms:W3CDTF">2026-05-30T06:35:01Z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May 2026 (v3.0.0)</vt:lpwstr>
  </property>
  <property fmtid="{D5CDD505-2E9C-101B-9397-08002B2CF9AE}" pid="3" name="subtitle">
    <vt:lpwstr>Design and Architecture Document</vt:lpwstr>
  </property>
</Properties>
</file>