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0.png" ContentType="image/png"/>
  <Override PartName="/word/media/rId46.png" ContentType="image/png"/>
  <Override PartName="/word/media/rId54.png" ContentType="image/png"/>
  <Override PartName="/word/media/rId59.png" ContentType="image/png"/>
  <Override PartName="/word/media/rId64.png" ContentType="image/png"/>
  <Override PartName="/word/media/rId42.png" ContentType="image/png"/>
  <Override PartName="/word/media/rId50.png" ContentType="image/png"/>
  <Override PartName="/word/media/rId100.png" ContentType="image/png"/>
  <Override PartName="/word/media/rId102.png" ContentType="image/png"/>
  <Override PartName="/word/media/rId104.png" ContentType="image/png"/>
  <Override PartName="/word/media/rId106.png" ContentType="image/png"/>
  <Override PartName="/word/media/rId108.png" ContentType="image/png"/>
  <Override PartName="/word/media/rId110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aep-data-lifecycle-helper"/>
    <w:p>
      <w:pPr>
        <w:pStyle w:val="Heading1"/>
      </w:pPr>
      <w:r>
        <w:t xml:space="preserve">AEP Data Lifecycle Helper</w:t>
      </w:r>
    </w:p>
    <w:bookmarkStart w:id="20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bookmarkEnd w:id="20"/>
    <w:bookmarkStart w:id="25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Kar, Adobe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Reviewers</w:t>
            </w:r>
          </w:p>
        </w:tc>
        <w:tc>
          <w:p>
            <w:pPr>
              <w:pStyle w:val="Compact"/>
              <w:jc w:val="left"/>
            </w:pPr>
            <w:r>
              <w:t xml:space="preserve">Engineering review 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Approval status</w:t>
            </w:r>
          </w:p>
        </w:tc>
        <w:tc>
          <w:p>
            <w:pPr>
              <w:pStyle w:val="Compact"/>
              <w:jc w:val="left"/>
            </w:pPr>
            <w:r>
              <w:t xml:space="preserve">Approved for client distribution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Confidential — client engagement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Intended 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security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Figma design file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docs/DIAGRAMS.md</w:t>
              </w:r>
            </w:hyperlink>
            <w:r>
              <w:t xml:space="preserve"> </w:t>
            </w:r>
            <w:r>
              <w:t xml:space="preserve">(PNGs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);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/</w:t>
            </w:r>
            <w:r>
              <w:rPr>
                <w:rStyle w:val="VerbatimChar"/>
              </w:rPr>
              <w:t xml:space="preserve">*.png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change history:</w:t>
      </w:r>
      <w:r>
        <w:rPr>
          <w:iCs/>
          <w:i/>
        </w:rPr>
        <w:t xml:space="preserve"> </w:t>
      </w:r>
      <w:hyperlink r:id="rId23">
        <w:r>
          <w:rPr>
            <w:rStyle w:val="VerbatimChar"/>
            <w:iCs/>
            <w:i/>
          </w:rPr>
          <w:t xml:space="preserve">docs/CHANGELOG.md</w:t>
        </w:r>
      </w:hyperlink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Figma diagrams — embedded inline below each section.</w:t>
      </w:r>
      <w:r>
        <w:t xml:space="preserve"> </w:t>
      </w:r>
      <w:r>
        <w:t xml:space="preserve">Branded block &amp;</w:t>
      </w:r>
      <w:r>
        <w:t xml:space="preserve"> </w:t>
      </w:r>
      <w:r>
        <w:t xml:space="preserve">flow diagrams with a consistent AEP-Spectrum visual system. Live, editable</w:t>
      </w:r>
      <w:r>
        <w:t xml:space="preserve"> </w:t>
      </w:r>
      <w:r>
        <w:t xml:space="preserve">source: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Open in Figma</w:t>
        </w:r>
      </w:hyperlink>
      <w:r>
        <w:t xml:space="preserve">;</w:t>
      </w:r>
      <w:r>
        <w:t xml:space="preserve"> </w:t>
      </w:r>
      <w:r>
        <w:t xml:space="preserve">PNG exports in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, gallery in</w:t>
      </w:r>
      <w:r>
        <w:t xml:space="preserve"> </w:t>
      </w:r>
      <w:hyperlink r:id="rId22">
        <w:r>
          <w:rPr>
            <w:rStyle w:val="VerbatimChar"/>
            <w:bCs/>
            <w:b/>
          </w:rPr>
          <w:t xml:space="preserve">DIAGRAMS.md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4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Open in Word and press F9 (or right-click the table and choose "Update Field") to build the table of contents with page numbers.</w:t>
      </w:r>
      <w:r>
        <w:fldChar w:fldCharType="end"/>
      </w:r>
    </w:p>
    <w:p>
      <w:r>
        <w:pict>
          <v:rect style="width:0;height:1.5pt" o:hralign="center" o:hrstd="t" o:hr="t"/>
        </w:pict>
      </w:r>
    </w:p>
    <w:bookmarkEnd w:id="25"/>
    <w:bookmarkStart w:id="30" w:name="executive-summary"/>
    <w:p>
      <w:pPr>
        <w:pStyle w:val="Heading2"/>
      </w:pPr>
      <w:r>
        <w:t xml:space="preserve">1. Executive Summary</w:t>
      </w:r>
    </w:p>
    <w:bookmarkStart w:id="26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6"/>
    <w:bookmarkStart w:id="27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7"/>
    <w:bookmarkStart w:id="28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8"/>
    <w:bookmarkStart w:id="29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scope-assumptions-boundaries"/>
    <w:p>
      <w:pPr>
        <w:pStyle w:val="Heading2"/>
      </w:pPr>
      <w:r>
        <w:t xml:space="preserve">Scope, Assumptions &amp; Boundaries</w:t>
      </w:r>
    </w:p>
    <w:bookmarkStart w:id="31" w:name="in-scope-out-of-scope"/>
    <w:p>
      <w:pPr>
        <w:pStyle w:val="Heading3"/>
      </w:pPr>
      <w:r>
        <w:t xml:space="preserve">In scope / Out of scope</w:t>
      </w:r>
    </w:p>
    <w:p>
      <w:pPr>
        <w:pStyle w:val="FirstParagraph"/>
      </w:pPr>
      <w:r>
        <w:rPr>
          <w:bCs/>
          <w:b/>
        </w:rPr>
        <w:t xml:space="preserve">In scope</w:t>
      </w:r>
    </w:p>
    <w:p>
      <w:pPr>
        <w:numPr>
          <w:ilvl w:val="0"/>
          <w:numId w:val="1004"/>
        </w:numPr>
        <w:pStyle w:val="Compact"/>
      </w:pPr>
      <w:r>
        <w:t xml:space="preserve">Single-operator bulk identity deletion against Adobe Experience Platform via the Data Hygiene (record-delete) API.</w:t>
      </w:r>
    </w:p>
    <w:p>
      <w:pPr>
        <w:numPr>
          <w:ilvl w:val="0"/>
          <w:numId w:val="1004"/>
        </w:numPr>
        <w:pStyle w:val="Compact"/>
      </w:pPr>
      <w:r>
        <w:t xml:space="preserve">Identity Graph expansion of each source identifier into all linked identities (email, phone, ECID, CRMID, and custom namespaces).</w:t>
      </w:r>
    </w:p>
    <w:p>
      <w:pPr>
        <w:numPr>
          <w:ilvl w:val="0"/>
          <w:numId w:val="1004"/>
        </w:numPr>
        <w:pStyle w:val="Compact"/>
      </w:pPr>
      <w:r>
        <w:t xml:space="preserve">Quota-aware batching that groups identities into work orders within Adobe’s per-work-order and daily/monthly quota limits.</w:t>
      </w:r>
    </w:p>
    <w:p>
      <w:pPr>
        <w:numPr>
          <w:ilvl w:val="0"/>
          <w:numId w:val="1004"/>
        </w:numPr>
        <w:pStyle w:val="Compact"/>
      </w:pPr>
      <w:r>
        <w:t xml:space="preserve">Submission, progress monitoring, and status tracking of every work order through to completion.</w:t>
      </w:r>
    </w:p>
    <w:p>
      <w:pPr>
        <w:numPr>
          <w:ilvl w:val="0"/>
          <w:numId w:val="1004"/>
        </w:numPr>
        <w:pStyle w:val="Compact"/>
      </w:pPr>
      <w:r>
        <w:t xml:space="preserve">Crash-safe recovery and reconciliation of in-flight work after a restart.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5"/>
        </w:numPr>
        <w:pStyle w:val="Compact"/>
      </w:pPr>
      <w:r>
        <w:t xml:space="preserve">Multi-user or SaaS-hosted deployment.</w:t>
      </w:r>
    </w:p>
    <w:p>
      <w:pPr>
        <w:numPr>
          <w:ilvl w:val="0"/>
          <w:numId w:val="1005"/>
        </w:numPr>
        <w:pStyle w:val="Compact"/>
      </w:pPr>
      <w:r>
        <w:t xml:space="preserve">Web-UI authentication or user-account management.</w:t>
      </w:r>
    </w:p>
    <w:p>
      <w:pPr>
        <w:numPr>
          <w:ilvl w:val="0"/>
          <w:numId w:val="1005"/>
        </w:numPr>
        <w:pStyle w:val="Compact"/>
      </w:pPr>
      <w:r>
        <w:t xml:space="preserve">Distributed coordination across multiple machines or instances.</w:t>
      </w:r>
    </w:p>
    <w:p>
      <w:pPr>
        <w:numPr>
          <w:ilvl w:val="0"/>
          <w:numId w:val="1005"/>
        </w:numPr>
        <w:pStyle w:val="Compact"/>
      </w:pPr>
      <w:r>
        <w:t xml:space="preserve">Non-CSV input formats.</w:t>
      </w:r>
    </w:p>
    <w:p>
      <w:pPr>
        <w:numPr>
          <w:ilvl w:val="0"/>
          <w:numId w:val="1005"/>
        </w:numPr>
        <w:pStyle w:val="Compact"/>
      </w:pPr>
      <w:r>
        <w:t xml:space="preserve">Mixed-namespace source identifiers within a single job.</w:t>
      </w:r>
    </w:p>
    <w:bookmarkEnd w:id="31"/>
    <w:bookmarkStart w:id="32" w:name="key-assumptions"/>
    <w:p>
      <w:pPr>
        <w:pStyle w:val="Heading3"/>
      </w:pPr>
      <w:r>
        <w:t xml:space="preserve">Key assumptions</w:t>
      </w:r>
    </w:p>
    <w:p>
      <w:pPr>
        <w:numPr>
          <w:ilvl w:val="0"/>
          <w:numId w:val="1006"/>
        </w:numPr>
        <w:pStyle w:val="Compact"/>
      </w:pPr>
      <w:r>
        <w:t xml:space="preserve">A single local operator runs the tool on one machine.</w:t>
      </w:r>
    </w:p>
    <w:p>
      <w:pPr>
        <w:numPr>
          <w:ilvl w:val="0"/>
          <w:numId w:val="1006"/>
        </w:numPr>
        <w:pStyle w:val="Compact"/>
      </w:pPr>
      <w:r>
        <w:t xml:space="preserve">The runtime is Node.js 20 LTS.</w:t>
      </w:r>
    </w:p>
    <w:p>
      <w:pPr>
        <w:numPr>
          <w:ilvl w:val="0"/>
          <w:numId w:val="1006"/>
        </w:numPr>
        <w:pStyle w:val="Compact"/>
      </w:pPr>
      <w:r>
        <w:t xml:space="preserve">The tool is the</w:t>
      </w:r>
      <w:r>
        <w:t xml:space="preserve"> </w:t>
      </w:r>
      <w:r>
        <w:rPr>
          <w:bCs/>
          <w:b/>
        </w:rPr>
        <w:t xml:space="preserve">exclusive</w:t>
      </w:r>
      <w:r>
        <w:t xml:space="preserve"> </w:t>
      </w:r>
      <w:r>
        <w:t xml:space="preserve">quota writer for the target organization. Where concurrent external writers cannot be ruled out,</w:t>
      </w:r>
      <w:r>
        <w:t xml:space="preserve"> </w:t>
      </w:r>
      <w:r>
        <w:rPr>
          <w:rStyle w:val="VerbatimChar"/>
        </w:rPr>
        <w:t xml:space="preserve">QUOTA_SAFETY_BUFFER</w:t>
      </w:r>
      <w:r>
        <w:t xml:space="preserve"> </w:t>
      </w:r>
      <w:r>
        <w:t xml:space="preserve">is set to reserve headroom against them.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is located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any cloud-sync path (OneDrive, Dropbox, Google Drive, iCloud), since it holds the encryption key and encrypted credentials.</w:t>
      </w:r>
    </w:p>
    <w:p>
      <w:pPr>
        <w:numPr>
          <w:ilvl w:val="0"/>
          <w:numId w:val="1006"/>
        </w:numPr>
        <w:pStyle w:val="Compact"/>
      </w:pPr>
      <w:r>
        <w:t xml:space="preserve">The server is bound to loopback only (</w:t>
      </w:r>
      <w:r>
        <w:rPr>
          <w:rStyle w:val="VerbatimChar"/>
        </w:rPr>
        <w:t xml:space="preserve">127.0.0.1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Operator-supplied credentials are valid for the target region and sandbox.</w:t>
      </w:r>
    </w:p>
    <w:bookmarkEnd w:id="32"/>
    <w:bookmarkStart w:id="33" w:name="boundaries-non-goals"/>
    <w:p>
      <w:pPr>
        <w:pStyle w:val="Heading3"/>
      </w:pPr>
      <w:r>
        <w:t xml:space="preserve">Boundaries / non-goals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web-UI authentication.</w:t>
      </w:r>
      <w:r>
        <w:t xml:space="preserve"> </w:t>
      </w:r>
      <w:r>
        <w:t xml:space="preserve">The tool relies on a loopback trust model: whoever can reach the local socket is trusted to operate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Single-process only.</w:t>
      </w:r>
      <w:r>
        <w:t xml:space="preserve"> </w:t>
      </w:r>
      <w:r>
        <w:t xml:space="preserve">A second instance pointed at the same database is blocked by a database-path advisory lock.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Deletes are irreversible.</w:t>
      </w:r>
      <w:r>
        <w:t xml:space="preserve"> </w:t>
      </w:r>
      <w:r>
        <w:t xml:space="preserve">The tool validates every payload aggressively before calling Adobe, but it cannot undo a deletion once Adobe has completed it.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ystem-architecture"/>
    <w:p>
      <w:pPr>
        <w:pStyle w:val="Heading2"/>
      </w:pPr>
      <w:r>
        <w:t xml:space="preserve">2. System Architecture</w:t>
      </w:r>
    </w:p>
    <w:bookmarkStart w:id="36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6"/>
    <w:bookmarkStart w:id="37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7"/>
    <w:bookmarkStart w:id="38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end-to-end-data-flow"/>
    <w:p>
      <w:pPr>
        <w:pStyle w:val="Heading2"/>
      </w:pPr>
      <w:r>
        <w:t xml:space="preserve">3. End-to-End Data Flow</w:t>
      </w:r>
    </w:p>
    <w:bookmarkStart w:id="41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41"/>
    <w:bookmarkStart w:id="43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085941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085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43"/>
    <w:bookmarkStart w:id="44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p-limit(5) 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10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Adobe 4xx (rejected) ──► mark FAILED, release quota    │  │</w:t>
      </w:r>
      <w:r>
        <w:br/>
      </w:r>
      <w:r>
        <w:rPr>
          <w:rStyle w:val="VerbatimChar"/>
        </w:rPr>
        <w:t xml:space="preserve">│  │         ├─ 5xx / timeout / network ──► stay SUBMITTING            │  │</w:t>
      </w:r>
      <w:r>
        <w:br/>
      </w:r>
      <w:r>
        <w:rPr>
          <w:rStyle w:val="VerbatimChar"/>
        </w:rPr>
        <w:t xml:space="preserve">│  │         │   (uncertain); quota HELD; reconciled on recovery      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work-order-lifecycle"/>
    <w:p>
      <w:pPr>
        <w:pStyle w:val="Heading2"/>
      </w:pPr>
      <w:r>
        <w:t xml:space="preserve">4. Work Order Lifecycle</w:t>
      </w:r>
    </w:p>
    <w:bookmarkStart w:id="47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55871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5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7"/>
    <w:bookmarkStart w:id="48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8"/>
    <w:bookmarkStart w:id="49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9"/>
    <w:bookmarkStart w:id="51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58353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5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previous</w:t>
      </w:r>
      <w:r>
        <w:rPr>
          <w:iCs/>
          <w:i/>
        </w:rPr>
        <w:t xml:space="preserve"> </w:t>
      </w:r>
      <w:r>
        <w:rPr>
          <w:iCs/>
          <w:i/>
        </w:rPr>
        <w:t xml:space="preserve">error-handling path released).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multi-month-quota-planning"/>
    <w:p>
      <w:pPr>
        <w:pStyle w:val="Heading2"/>
      </w:pPr>
      <w:r>
        <w:t xml:space="preserve">5. Multi-Month Quota Planning</w:t>
      </w:r>
    </w:p>
    <w:bookmarkStart w:id="53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53"/>
    <w:bookmarkStart w:id="55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72708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5"/>
    <w:bookmarkStart w:id="56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09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09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09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continuity.</w:t>
      </w:r>
      <w:r>
        <w:t xml:space="preserve"> </w:t>
      </w:r>
      <w:r>
        <w:t xml:space="preserve">When a job ships across multiple days, the</w:t>
      </w:r>
      <w:r>
        <w:t xml:space="preserve"> </w:t>
      </w:r>
      <w:r>
        <w:t xml:space="preserve">redistributor seeds the 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of the un-shipped tail from</w:t>
      </w:r>
      <w:r>
        <w:t xml:space="preserve"> </w:t>
      </w:r>
      <w:r>
        <w:t xml:space="preserve">the highest already-shipped window and continues past it, so a remainder</w:t>
      </w:r>
      <w:r>
        <w:t xml:space="preserve"> </w:t>
      </w:r>
      <w:r>
        <w:t xml:space="preserve">reads as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 </w:t>
      </w:r>
      <w:r>
        <w:t xml:space="preserve">rather than resetting to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. This is a label-only</w:t>
      </w:r>
      <w:r>
        <w:t xml:space="preserve"> </w:t>
      </w:r>
      <w:r>
        <w:t xml:space="preserve">change: it never alters identity content or the quota reservation, so the</w:t>
      </w:r>
      <w:r>
        <w:t xml:space="preserve"> </w:t>
      </w:r>
      <w:r>
        <w:t xml:space="preserve">no-over-ship guarantee holds and shipped work orders stay immutable. The UI</w:t>
      </w:r>
      <w:r>
        <w:t xml:space="preserve"> </w:t>
      </w:r>
      <w:r>
        <w:t xml:space="preserve">also lands on the first day that still has pending work.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adobe-api-integration"/>
    <w:p>
      <w:pPr>
        <w:pStyle w:val="Heading2"/>
      </w:pPr>
      <w:r>
        <w:t xml:space="preserve">6. Adobe API Integration</w:t>
      </w:r>
    </w:p>
    <w:bookmarkStart w:id="58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8"/>
    <w:bookmarkStart w:id="60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60"/>
    <w:bookmarkStart w:id="61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61"/>
    <w:bookmarkStart w:id="62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urity-architecture"/>
    <w:p>
      <w:pPr>
        <w:pStyle w:val="Heading2"/>
      </w:pPr>
      <w:r>
        <w:t xml:space="preserve">7. Security Architecture</w:t>
      </w:r>
    </w:p>
    <w:bookmarkStart w:id="65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5"/>
    <w:bookmarkStart w:id="66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8" w:name="environment-configuration-reference"/>
    <w:p>
      <w:pPr>
        <w:pStyle w:val="Heading2"/>
      </w:pPr>
      <w:r>
        <w:t xml:space="preserve">8. Environment Configuration Reference</w:t>
      </w:r>
    </w:p>
    <w:bookmarkStart w:id="74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8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8"/>
    <w:bookmarkStart w:id="69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9"/>
    <w:bookmarkStart w:id="70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70"/>
    <w:bookmarkStart w:id="71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QUOTA_SAFETY_BUFFER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Fraction (0–0.95) of each Adobe quota held back as headroom for</w:t>
            </w:r>
            <w:r>
              <w:t xml:space="preserve"> </w:t>
            </w:r>
            <w:r>
              <w:rPr>
                <w:bCs/>
                <w:b/>
              </w:rPr>
              <w:t xml:space="preserve">concurrent external writers</w:t>
            </w:r>
            <w:r>
              <w:t xml:space="preserve"> </w:t>
            </w:r>
            <w:r>
              <w:t xml:space="preserve">the tool cannot see between its once-per-run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snapshot and its submit.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assumes this tool is the only quota writer for the org; set e.g. </w:t>
            </w:r>
            <w:r>
              <w:rPr>
                <w:rStyle w:val="VerbatimChar"/>
              </w:rPr>
              <w:t xml:space="preserve">0.1</w:t>
            </w:r>
            <w:r>
              <w:t xml:space="preserve"> </w:t>
            </w:r>
            <w:r>
              <w:t xml:space="preserve">to reserve 10% if other writers are possible.</w:t>
            </w:r>
          </w:p>
        </w:tc>
      </w:tr>
    </w:tbl>
    <w:bookmarkEnd w:id="71"/>
    <w:bookmarkStart w:id="72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option.</w:t>
            </w:r>
          </w:p>
        </w:tc>
      </w:tr>
    </w:tbl>
    <w:bookmarkEnd w:id="72"/>
    <w:bookmarkStart w:id="73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3"/>
    <w:bookmarkEnd w:id="74"/>
    <w:bookmarkStart w:id="75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IDENTITY_CONCURRENCY=5       # conservative default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5"/>
    <w:bookmarkStart w:id="76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6"/>
    <w:bookmarkStart w:id="77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operational-procedures"/>
    <w:p>
      <w:pPr>
        <w:pStyle w:val="Heading2"/>
      </w:pPr>
      <w:r>
        <w:t xml:space="preserve">9. Operational Procedures</w:t>
      </w:r>
    </w:p>
    <w:bookmarkStart w:id="79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9"/>
    <w:bookmarkStart w:id="80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2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80"/>
    <w:bookmarkStart w:id="81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277 automated tests pass</w:t>
      </w:r>
      <w:r>
        <w:t xml:space="preserve"> </w:t>
      </w:r>
      <w:r>
        <w:t xml:space="preserve">(0 failures). The suite covers work-order</w:t>
      </w:r>
      <w:r>
        <w:t xml:space="preserve"> </w:t>
      </w:r>
      <w:r>
        <w:t xml:space="preserve">payload validation, namespace canonicalization, the quota ledger, the planner</w:t>
      </w:r>
      <w:r>
        <w:t xml:space="preserve"> </w:t>
      </w:r>
      <w:r>
        <w:t xml:space="preserve">and live redistributor, startup recovery and reconciliation, the auto-resume</w:t>
      </w:r>
      <w:r>
        <w:t xml:space="preserve"> </w:t>
      </w:r>
      <w:r>
        <w:t xml:space="preserve">scheduler, the security middleware (host-header and Origin/Referer guards,</w:t>
      </w:r>
      <w:r>
        <w:t xml:space="preserve"> </w:t>
      </w:r>
      <w:r>
        <w:t xml:space="preserve">region/environment allowlists, and the CSV-injection sanitiser), and</w:t>
      </w:r>
      <w:r>
        <w:t xml:space="preserve"> </w:t>
      </w:r>
      <w:r>
        <w:t xml:space="preserve">end-to-end integration with Adobe fully mocked via</w:t>
      </w:r>
      <w:r>
        <w:t xml:space="preserve"> </w:t>
      </w:r>
      <w:r>
        <w:rPr>
          <w:rStyle w:val="VerbatimChar"/>
        </w:rPr>
        <w:t xml:space="preserve">nock</w:t>
      </w:r>
      <w:r>
        <w:t xml:space="preserve">.</w:t>
      </w:r>
    </w:p>
    <w:bookmarkEnd w:id="81"/>
    <w:bookmarkStart w:id="82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82"/>
    <w:bookmarkStart w:id="83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3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3"/>
    <w:bookmarkStart w:id="84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4"/>
    <w:bookmarkStart w:id="85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design-decisions"/>
    <w:p>
      <w:pPr>
        <w:pStyle w:val="Heading2"/>
      </w:pPr>
      <w:r>
        <w:t xml:space="preserve">10. Design Decisions</w:t>
      </w:r>
    </w:p>
    <w:bookmarkStart w:id="87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7"/>
    <w:bookmarkStart w:id="88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8"/>
    <w:bookmarkStart w:id="89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9"/>
    <w:bookmarkStart w:id="90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90"/>
    <w:bookmarkStart w:id="91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4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4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4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91"/>
    <w:bookmarkStart w:id="92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known-limitations-extension-points"/>
    <w:p>
      <w:pPr>
        <w:pStyle w:val="Heading2"/>
      </w:pPr>
      <w:r>
        <w:t xml:space="preserve">11. Known Limitations &amp; Extension Points</w:t>
      </w:r>
    </w:p>
    <w:bookmarkStart w:id="94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A DB-path advisory lock blocks a second instance against the same database; without it, two instances against one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would corrupt the WAL.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(</w:t>
            </w:r>
            <w:r>
              <w:rPr>
                <w:rStyle w:val="VerbatimChar"/>
              </w:rPr>
              <w:t xml:space="preserve">IDENTITY_CONCURRENCY=5</w:t>
            </w:r>
            <w:r>
              <w:t xml:space="preserve">) is deliberately conservative; higher values risk sustained 429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 from Adobe’s Identity Service.</w:t>
            </w:r>
          </w:p>
        </w:tc>
      </w:tr>
    </w:tbl>
    <w:bookmarkEnd w:id="94"/>
    <w:bookmarkStart w:id="95" w:name="Xd92de5ecded184b82f27cb6ec9851a2b8a42a7b"/>
    <w:p>
      <w:pPr>
        <w:pStyle w:val="Heading3"/>
      </w:pPr>
      <w:r>
        <w:t xml:space="preserve">11.2 Validation History — resolved hardening items</w:t>
      </w:r>
    </w:p>
    <w:p>
      <w:pPr>
        <w:pStyle w:val="FirstParagraph"/>
      </w:pPr>
      <w:r>
        <w:t xml:space="preserve">The following issues were identified and resolved during the tool’s hardening and are retained as validation evidence: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Resolved item</w:t>
            </w:r>
          </w:p>
        </w:tc>
        <w:tc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5"/>
    <w:bookmarkStart w:id="96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98" w:name="validation-summary"/>
    <w:p>
      <w:pPr>
        <w:pStyle w:val="Heading2"/>
      </w:pPr>
      <w:r>
        <w:t xml:space="preserve">Validation Summary</w:t>
      </w:r>
    </w:p>
    <w:p>
      <w:pPr>
        <w:pStyle w:val="FirstParagraph"/>
      </w:pPr>
      <w:r>
        <w:t xml:space="preserve">The tool has been validated through an automated test suite, a clean dependency audit, and a set of safety controls designed for an irreversible deletion API. The table below summarizes the current evidence.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970"/>
        <w:gridCol w:w="495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 suite</w:t>
            </w:r>
          </w:p>
        </w:tc>
        <w:tc>
          <w:p>
            <w:pPr>
              <w:pStyle w:val="Compact"/>
              <w:jc w:val="left"/>
            </w:pPr>
            <w:r>
              <w:t xml:space="preserve">277 tests passing (0 failures), with all Adobe API interactions mocked via</w:t>
            </w:r>
            <w:r>
              <w:t xml:space="preserve"> </w:t>
            </w:r>
            <w:r>
              <w:rPr>
                <w:rStyle w:val="VerbatimChar"/>
              </w:rPr>
              <w:t xml:space="preserve">nock</w:t>
            </w:r>
            <w:r>
              <w:t xml:space="preserve"> </w:t>
            </w:r>
            <w:r>
              <w:t xml:space="preserve">for deterministic, offline runs.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reports 0 vulnerabilities.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LTS, single process, SQLite in WAL (write-ahead logging) mode.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 safety</w:t>
            </w:r>
          </w:p>
        </w:tc>
        <w:tc>
          <w:p>
            <w:pPr>
              <w:pStyle w:val="Compact"/>
              <w:jc w:val="left"/>
            </w:pPr>
            <w:r>
              <w:t xml:space="preserve">A database-path advisory lock blocks a second instance from running against the same database, preventing state corruption.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Boot &amp; migration</w:t>
            </w:r>
          </w:p>
        </w:tc>
        <w:tc>
          <w:p>
            <w:pPr>
              <w:pStyle w:val="Compact"/>
              <w:jc w:val="left"/>
            </w:pPr>
            <w:r>
              <w:t xml:space="preserve">Schema migrations are idempotent and additive; startup recovery reconciles orphaned work orders left in flight by a previous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Destructive-operation safeguards</w:t>
            </w:r>
          </w:p>
        </w:tc>
        <w:tc>
          <w:p>
            <w:pPr>
              <w:pStyle w:val="Compact"/>
              <w:jc w:val="left"/>
            </w:pPr>
            <w:r>
              <w:t xml:space="preserve">Payloads are validated before every Adobe call; the non-idempotent delete POST is never auto-retried; quota reservation is atomic.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99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</w:t>
      </w:r>
      <w:r>
        <w:br/>
      </w:r>
      <w:r>
        <w:rPr>
          <w:rStyle w:val="VerbatimChar"/>
        </w:rPr>
        <w:t xml:space="preserve">│   ├── namespaces.test.js          Namespace canonicalization + index</w:t>
      </w:r>
      <w:r>
        <w:br/>
      </w:r>
      <w:r>
        <w:rPr>
          <w:rStyle w:val="VerbatimChar"/>
        </w:rPr>
        <w:t xml:space="preserve">│   ├── imsAuth.test.js             Token cache + thundering-herd + nock</w:t>
      </w:r>
      <w:r>
        <w:br/>
      </w:r>
      <w:r>
        <w:rPr>
          <w:rStyle w:val="VerbatimChar"/>
        </w:rPr>
        <w:t xml:space="preserve">│   ├── quotaManager.test.js        Daily + monthly ledgers + null-monthly gate</w:t>
      </w:r>
      <w:r>
        <w:br/>
      </w:r>
      <w:r>
        <w:rPr>
          <w:rStyle w:val="VerbatimChar"/>
        </w:rPr>
        <w:t xml:space="preserve">│   ├── planWorkOrders.test.js      Cluster packing + replan guard + deferred</w:t>
      </w:r>
      <w:r>
        <w:br/>
      </w:r>
      <w:r>
        <w:rPr>
          <w:rStyle w:val="VerbatimChar"/>
        </w:rPr>
        <w:t xml:space="preserve">│   ├── recovery.test.js            Orphan reconciliation + 400-indeterminate</w:t>
      </w:r>
      <w:r>
        <w:br/>
      </w:r>
      <w:r>
        <w:rPr>
          <w:rStyle w:val="VerbatimChar"/>
        </w:rPr>
        <w:t xml:space="preserve">│   ├── adobeClient.test.js         Error enrichment + idempotency-aware retries</w:t>
      </w:r>
      <w:r>
        <w:br/>
      </w:r>
      <w:r>
        <w:rPr>
          <w:rStyle w:val="VerbatimChar"/>
        </w:rPr>
        <w:t xml:space="preserve">│   ├── region.test.js              Per-credential region routing</w:t>
      </w:r>
      <w:r>
        <w:br/>
      </w:r>
      <w:r>
        <w:rPr>
          <w:rStyle w:val="VerbatimChar"/>
        </w:rPr>
        <w:t xml:space="preserve">│   ├── deferred.test.js            Deferred-row surfacing in submission</w:t>
      </w:r>
      <w:r>
        <w:br/>
      </w:r>
      <w:r>
        <w:rPr>
          <w:rStyle w:val="VerbatimChar"/>
        </w:rPr>
        <w:t xml:space="preserve">│   ├── credentialsRoutes.test.js   PATCH non-secret-only + DELETE 409</w:t>
      </w:r>
      <w:r>
        <w:br/>
      </w:r>
      <w:r>
        <w:rPr>
          <w:rStyle w:val="VerbatimChar"/>
        </w:rPr>
        <w:t xml:space="preserve">│   ├── monitorJobs.test.js         Monitor feed: sort, filter, aggregates</w:t>
      </w:r>
      <w:r>
        <w:br/>
      </w:r>
      <w:r>
        <w:rPr>
          <w:rStyle w:val="VerbatimChar"/>
        </w:rPr>
        <w:t xml:space="preserve">│   ├── approveMonth.test.js        Per-month approval gate</w:t>
      </w:r>
      <w:r>
        <w:br/>
      </w:r>
      <w:r>
        <w:rPr>
          <w:rStyle w:val="VerbatimChar"/>
        </w:rPr>
        <w:t xml:space="preserve">│   └── integration.test.js         End-to-end with fully-mocked Adobe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9"/>
    <w:bookmarkStart w:id="112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4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101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101"/>
    <w:bookmarkStart w:id="103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103"/>
    <w:bookmarkStart w:id="105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05"/>
    <w:bookmarkStart w:id="107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7"/>
    <w:bookmarkStart w:id="109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9"/>
    <w:bookmarkStart w:id="111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Helper, Design &amp; Architecture Document v3.2.0</w:t>
      </w:r>
    </w:p>
    <w:bookmarkEnd w:id="111"/>
    <w:bookmarkEnd w:id="112"/>
    <w:bookmarkEnd w:id="113"/>
    <w:sectPr/>
    <w:footerReference w:type="default" r:id="rId111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AEP Data Lifecycle Helper  ·  Confidential  · 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100" Target="media/rId100.png" /><Relationship Type="http://schemas.openxmlformats.org/officeDocument/2006/relationships/image" Id="rId102" Target="media/rId102.png" /><Relationship Type="http://schemas.openxmlformats.org/officeDocument/2006/relationships/image" Id="rId104" Target="media/rId104.png" /><Relationship Type="http://schemas.openxmlformats.org/officeDocument/2006/relationships/image" Id="rId106" Target="media/rId106.png" /><Relationship Type="http://schemas.openxmlformats.org/officeDocument/2006/relationships/image" Id="rId108" Target="media/rId108.png" /><Relationship Type="http://schemas.openxmlformats.org/officeDocument/2006/relationships/image" Id="rId110" Target="media/rId110.png" /><Relationship Type="http://schemas.openxmlformats.org/officeDocument/2006/relationships/hyperlink" Id="rId23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4" Target="SCREENS.md" TargetMode="External" /><Relationship Type="http://schemas.openxmlformats.org/officeDocument/2006/relationships/hyperlink" Id="rId21" Target="https://www.figma.com/design/G9tjo1Uq1JSfCHGfzBMrZe" TargetMode="External" /><Relationship Id="rId11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4" Target="SCREENS.md" TargetMode="External" /><Relationship Type="http://schemas.openxmlformats.org/officeDocument/2006/relationships/hyperlink" Id="rId21" Target="https://www.figma.com/design/G9tjo1Uq1JSfCHGfzBMrZ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 — Design &amp; Architecture Document</dc:title>
  <dc:creator>Tushar Kant Kar (Adobe)</dc:creator>
  <cp:keywords>Confidential — client engagement</cp:keywords>
  <dcterms:created xsi:type="dcterms:W3CDTF">2026-06-05T10:18:07Z</dcterms:created>
  <dcterms:modified xsi:type="dcterms:W3CDTF">2026-06-05T10:18:07Z</dcterms:modified>
  <dc:subject>AEP Data Lifecycle Helper design and architecture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