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2F7" w:rsidRDefault="005F02F7">
      <w:r>
        <w:t xml:space="preserve">Titre : </w:t>
      </w:r>
    </w:p>
    <w:p w:rsidR="005F02F7" w:rsidRDefault="005F02F7"/>
    <w:p w:rsidR="00B30CF2" w:rsidRPr="00667A3F" w:rsidRDefault="00632A61">
      <w:pPr>
        <w:rPr>
          <w:b/>
        </w:rPr>
      </w:pPr>
      <w:r w:rsidRPr="00667A3F">
        <w:rPr>
          <w:b/>
        </w:rPr>
        <w:t>Chapitre 1 : Introduction</w:t>
      </w:r>
    </w:p>
    <w:p w:rsidR="00AE267C" w:rsidRDefault="00AE267C"/>
    <w:p w:rsidR="00F64031" w:rsidRDefault="00F64031" w:rsidP="00F64031">
      <w:pPr>
        <w:pStyle w:val="Paragraphedeliste"/>
        <w:numPr>
          <w:ilvl w:val="0"/>
          <w:numId w:val="2"/>
        </w:numPr>
      </w:pPr>
      <w:r>
        <w:t xml:space="preserve">L’infertilité </w:t>
      </w:r>
    </w:p>
    <w:p w:rsidR="00F64031" w:rsidRDefault="00F64031" w:rsidP="00F64031">
      <w:pPr>
        <w:pStyle w:val="Paragraphedeliste"/>
        <w:numPr>
          <w:ilvl w:val="0"/>
          <w:numId w:val="2"/>
        </w:numPr>
      </w:pPr>
      <w:r>
        <w:t>La spermatogénèse</w:t>
      </w:r>
    </w:p>
    <w:p w:rsidR="00F64031" w:rsidRDefault="00F64031" w:rsidP="00F64031">
      <w:pPr>
        <w:pStyle w:val="Paragraphedeliste"/>
        <w:numPr>
          <w:ilvl w:val="0"/>
          <w:numId w:val="2"/>
        </w:numPr>
      </w:pPr>
      <w:r>
        <w:t>La génétique de l’infertilité</w:t>
      </w:r>
    </w:p>
    <w:p w:rsidR="00F64031" w:rsidRDefault="00F64031" w:rsidP="00F64031">
      <w:pPr>
        <w:pStyle w:val="Paragraphedeliste"/>
        <w:numPr>
          <w:ilvl w:val="0"/>
          <w:numId w:val="2"/>
        </w:numPr>
      </w:pPr>
      <w:r>
        <w:t>Les techniques d’analyses génétiques</w:t>
      </w:r>
    </w:p>
    <w:p w:rsidR="005F02F7" w:rsidRDefault="005F02F7" w:rsidP="005F02F7">
      <w:pPr>
        <w:pStyle w:val="Paragraphedeliste"/>
        <w:numPr>
          <w:ilvl w:val="1"/>
          <w:numId w:val="2"/>
        </w:numPr>
      </w:pPr>
      <w:r>
        <w:t>Le NGS</w:t>
      </w:r>
    </w:p>
    <w:p w:rsidR="005F02F7" w:rsidRDefault="005F02F7" w:rsidP="005F02F7">
      <w:pPr>
        <w:pStyle w:val="Paragraphedeliste"/>
        <w:numPr>
          <w:ilvl w:val="1"/>
          <w:numId w:val="2"/>
        </w:numPr>
      </w:pPr>
      <w:r>
        <w:t xml:space="preserve">Les </w:t>
      </w:r>
      <w:proofErr w:type="spellStart"/>
      <w:r>
        <w:t>exomes</w:t>
      </w:r>
      <w:proofErr w:type="spellEnd"/>
    </w:p>
    <w:p w:rsidR="005F02F7" w:rsidRDefault="005F02F7" w:rsidP="005F02F7">
      <w:pPr>
        <w:pStyle w:val="Paragraphedeliste"/>
        <w:numPr>
          <w:ilvl w:val="1"/>
          <w:numId w:val="2"/>
        </w:numPr>
      </w:pPr>
      <w:r>
        <w:t>Les méthodes d’analyses</w:t>
      </w:r>
    </w:p>
    <w:p w:rsidR="005F02F7" w:rsidRDefault="005F02F7" w:rsidP="00F64031">
      <w:pPr>
        <w:pStyle w:val="Paragraphedeliste"/>
        <w:numPr>
          <w:ilvl w:val="0"/>
          <w:numId w:val="2"/>
        </w:numPr>
      </w:pPr>
      <w:r>
        <w:t>Mon travail (Abstract)</w:t>
      </w:r>
    </w:p>
    <w:p w:rsidR="00F64031" w:rsidRDefault="00F64031"/>
    <w:p w:rsidR="00F64031" w:rsidRPr="00667A3F" w:rsidRDefault="00F64031">
      <w:pPr>
        <w:rPr>
          <w:b/>
        </w:rPr>
      </w:pPr>
      <w:r w:rsidRPr="00667A3F">
        <w:rPr>
          <w:b/>
        </w:rPr>
        <w:t xml:space="preserve">Chapitre 2 : Investigation génétique et physiologique de la </w:t>
      </w:r>
      <w:proofErr w:type="spellStart"/>
      <w:r w:rsidRPr="00667A3F">
        <w:rPr>
          <w:b/>
        </w:rPr>
        <w:t>globozoospermie</w:t>
      </w:r>
      <w:proofErr w:type="spellEnd"/>
    </w:p>
    <w:p w:rsidR="00F64031" w:rsidRDefault="00F64031"/>
    <w:p w:rsidR="005F02F7" w:rsidRDefault="00F64031">
      <w:r>
        <w:t>Introduction : Le phénotype, les études antérieures sur cette anomalie</w:t>
      </w:r>
      <w:r w:rsidR="005F02F7">
        <w:t> : Identification de DPY19L2 (Harbuz et al</w:t>
      </w:r>
      <w:proofErr w:type="gramStart"/>
      <w:r w:rsidR="005F02F7">
        <w:t>..)</w:t>
      </w:r>
      <w:proofErr w:type="gramEnd"/>
      <w:r w:rsidR="005F02F7">
        <w:t xml:space="preserve">  La fonction de DPY19L2 (Pierre et al)</w:t>
      </w:r>
    </w:p>
    <w:p w:rsidR="005F02F7" w:rsidRDefault="005F02F7"/>
    <w:p w:rsidR="005F02F7" w:rsidRDefault="005F02F7">
      <w:proofErr w:type="spellStart"/>
      <w:r>
        <w:t>Resultats</w:t>
      </w:r>
      <w:proofErr w:type="spellEnd"/>
      <w:r>
        <w:t xml:space="preserve"> : </w:t>
      </w:r>
    </w:p>
    <w:p w:rsidR="005F02F7" w:rsidRDefault="005F02F7" w:rsidP="005F02F7">
      <w:pPr>
        <w:pStyle w:val="Paragraphedeliste"/>
        <w:numPr>
          <w:ilvl w:val="0"/>
          <w:numId w:val="3"/>
        </w:numPr>
      </w:pPr>
      <w:r>
        <w:t xml:space="preserve">Les </w:t>
      </w:r>
      <w:proofErr w:type="spellStart"/>
      <w:r>
        <w:t>méchanismes</w:t>
      </w:r>
      <w:proofErr w:type="spellEnd"/>
      <w:r>
        <w:t xml:space="preserve"> mutationnels (PLOS)</w:t>
      </w:r>
    </w:p>
    <w:p w:rsidR="005F02F7" w:rsidRDefault="005F02F7" w:rsidP="005F02F7">
      <w:pPr>
        <w:pStyle w:val="Paragraphedeliste"/>
        <w:numPr>
          <w:ilvl w:val="0"/>
          <w:numId w:val="3"/>
        </w:numPr>
      </w:pPr>
      <w:r>
        <w:t>Les anomalies épigénétiques : (</w:t>
      </w:r>
      <w:proofErr w:type="spellStart"/>
      <w:r>
        <w:t>PLCzeta</w:t>
      </w:r>
      <w:proofErr w:type="spellEnd"/>
      <w:r>
        <w:t>, compaction, fragmentation)</w:t>
      </w:r>
    </w:p>
    <w:p w:rsidR="005F02F7" w:rsidRDefault="005F02F7" w:rsidP="005F02F7">
      <w:pPr>
        <w:pStyle w:val="Paragraphedeliste"/>
        <w:numPr>
          <w:ilvl w:val="0"/>
          <w:numId w:val="3"/>
        </w:numPr>
      </w:pPr>
      <w:r>
        <w:t xml:space="preserve">La </w:t>
      </w:r>
      <w:proofErr w:type="spellStart"/>
      <w:r>
        <w:t>transcriptomique</w:t>
      </w:r>
      <w:proofErr w:type="spellEnd"/>
    </w:p>
    <w:p w:rsidR="005F02F7" w:rsidRDefault="005F02F7"/>
    <w:p w:rsidR="00171833" w:rsidRPr="00667A3F" w:rsidRDefault="00171833">
      <w:pPr>
        <w:rPr>
          <w:b/>
        </w:rPr>
      </w:pPr>
    </w:p>
    <w:p w:rsidR="00171833" w:rsidRPr="00667A3F" w:rsidRDefault="00F64031">
      <w:pPr>
        <w:rPr>
          <w:b/>
        </w:rPr>
      </w:pPr>
      <w:r w:rsidRPr="00667A3F">
        <w:rPr>
          <w:b/>
        </w:rPr>
        <w:t>Chapitre 3</w:t>
      </w:r>
      <w:r w:rsidR="00D30BED" w:rsidRPr="00667A3F">
        <w:rPr>
          <w:b/>
        </w:rPr>
        <w:t> :</w:t>
      </w:r>
      <w:r w:rsidR="00DF02EA" w:rsidRPr="00667A3F">
        <w:rPr>
          <w:b/>
        </w:rPr>
        <w:t xml:space="preserve"> </w:t>
      </w:r>
      <w:r w:rsidR="00171833" w:rsidRPr="00667A3F">
        <w:rPr>
          <w:b/>
        </w:rPr>
        <w:t xml:space="preserve">Mise en place d’une stratégie pour l’analyse des données </w:t>
      </w:r>
      <w:proofErr w:type="spellStart"/>
      <w:r w:rsidR="00171833" w:rsidRPr="00667A3F">
        <w:rPr>
          <w:b/>
        </w:rPr>
        <w:t>exomiques</w:t>
      </w:r>
      <w:proofErr w:type="spellEnd"/>
      <w:r w:rsidR="00171833" w:rsidRPr="00667A3F">
        <w:rPr>
          <w:b/>
        </w:rPr>
        <w:t xml:space="preserve"> – application en recherche clinique.  </w:t>
      </w:r>
    </w:p>
    <w:p w:rsidR="00171833" w:rsidRDefault="00171833"/>
    <w:p w:rsidR="00F64031" w:rsidRDefault="00171833" w:rsidP="00F64031">
      <w:r>
        <w:t>Intro : Etats des lieux : les logiciels existants, les pipelines leurs limites.</w:t>
      </w:r>
      <w:r>
        <w:br/>
      </w:r>
    </w:p>
    <w:p w:rsidR="00F64031" w:rsidRDefault="00F64031" w:rsidP="00F64031">
      <w:r>
        <w:t xml:space="preserve">Ce chapitre décrit la constitution et l’utilisation d’un pipeline d’analyse des données de séquençage </w:t>
      </w:r>
      <w:proofErr w:type="spellStart"/>
      <w:r>
        <w:t>exomique</w:t>
      </w:r>
      <w:proofErr w:type="spellEnd"/>
      <w:r>
        <w:t xml:space="preserve"> et son utilisation dans le cadre de la recherche de mutations entrainant différents phénotypes d’infertilité. La difficulté des études génétiques visant à identifier des gènes pathogènes vient de l’abondance de </w:t>
      </w:r>
      <w:proofErr w:type="spellStart"/>
      <w:r>
        <w:t>variants</w:t>
      </w:r>
      <w:proofErr w:type="spellEnd"/>
      <w:r>
        <w:t xml:space="preserve"> rares chez tout un chacun et de la difficulté d’effectuer des tris efficaces et justes pour ne retenir que la ou les mutations causales. Thomas développe un pipeline se basant sur des outils existant mais permettant d’effectuer des tris successif efficaces et pertinents.</w:t>
      </w:r>
    </w:p>
    <w:p w:rsidR="00F64031" w:rsidRDefault="00F64031"/>
    <w:p w:rsidR="00171833" w:rsidRDefault="00171833">
      <w:r>
        <w:br/>
        <w:t xml:space="preserve">Résultats 1 : description des outils choisis et </w:t>
      </w:r>
      <w:proofErr w:type="gramStart"/>
      <w:r>
        <w:t>de la</w:t>
      </w:r>
      <w:proofErr w:type="gramEnd"/>
      <w:r>
        <w:t xml:space="preserve"> pipeline</w:t>
      </w:r>
    </w:p>
    <w:p w:rsidR="00171833" w:rsidRDefault="00171833">
      <w:r>
        <w:br/>
        <w:t xml:space="preserve">Résultats 2 : utilisations de la pipeline pour </w:t>
      </w:r>
      <w:proofErr w:type="gramStart"/>
      <w:r>
        <w:t>l’identifications</w:t>
      </w:r>
      <w:proofErr w:type="gramEnd"/>
      <w:r>
        <w:t xml:space="preserve"> de </w:t>
      </w:r>
      <w:proofErr w:type="spellStart"/>
      <w:r>
        <w:t>variants</w:t>
      </w:r>
      <w:proofErr w:type="spellEnd"/>
      <w:r>
        <w:t xml:space="preserve"> pathogènes et l’identification de nouveaux gènes impliqués dans l’infertilité.</w:t>
      </w:r>
    </w:p>
    <w:p w:rsidR="00171833" w:rsidRDefault="00171833" w:rsidP="00171833">
      <w:pPr>
        <w:pStyle w:val="Paragraphedeliste"/>
        <w:numPr>
          <w:ilvl w:val="0"/>
          <w:numId w:val="1"/>
        </w:numPr>
      </w:pPr>
      <w:r>
        <w:t>Etude familiale MMAF -&gt; DNAH1</w:t>
      </w:r>
    </w:p>
    <w:p w:rsidR="00171833" w:rsidRDefault="00171833" w:rsidP="00171833">
      <w:pPr>
        <w:pStyle w:val="Paragraphedeliste"/>
        <w:numPr>
          <w:ilvl w:val="0"/>
          <w:numId w:val="1"/>
        </w:numPr>
      </w:pPr>
      <w:r>
        <w:t xml:space="preserve">Etude familiale </w:t>
      </w:r>
      <w:proofErr w:type="spellStart"/>
      <w:r>
        <w:t>echec</w:t>
      </w:r>
      <w:proofErr w:type="spellEnd"/>
      <w:r>
        <w:t xml:space="preserve"> de fécondation -&gt; </w:t>
      </w:r>
      <w:proofErr w:type="spellStart"/>
      <w:r>
        <w:t>PLCzeta</w:t>
      </w:r>
      <w:proofErr w:type="spellEnd"/>
    </w:p>
    <w:p w:rsidR="00171833" w:rsidRDefault="00171833" w:rsidP="00171833">
      <w:pPr>
        <w:pStyle w:val="Paragraphedeliste"/>
        <w:numPr>
          <w:ilvl w:val="0"/>
          <w:numId w:val="1"/>
        </w:numPr>
      </w:pPr>
      <w:r>
        <w:t>Etude familiale azoospermie : SPINK2</w:t>
      </w:r>
    </w:p>
    <w:p w:rsidR="00171833" w:rsidRDefault="00171833" w:rsidP="00171833">
      <w:pPr>
        <w:pStyle w:val="Paragraphedeliste"/>
        <w:numPr>
          <w:ilvl w:val="0"/>
          <w:numId w:val="1"/>
        </w:numPr>
      </w:pPr>
      <w:r>
        <w:t>Etude d’une large cohorte de patients MMAF</w:t>
      </w:r>
    </w:p>
    <w:p w:rsidR="00171833" w:rsidRDefault="00171833" w:rsidP="00171833">
      <w:pPr>
        <w:pStyle w:val="Paragraphedeliste"/>
        <w:numPr>
          <w:ilvl w:val="1"/>
          <w:numId w:val="1"/>
        </w:numPr>
      </w:pPr>
      <w:r>
        <w:t xml:space="preserve">Les nouveaux gènes candidats </w:t>
      </w:r>
      <w:r w:rsidR="00CF4BC9">
        <w:t>évidents</w:t>
      </w:r>
    </w:p>
    <w:p w:rsidR="00171833" w:rsidRDefault="00171833" w:rsidP="00171833">
      <w:pPr>
        <w:pStyle w:val="Paragraphedeliste"/>
        <w:numPr>
          <w:ilvl w:val="1"/>
          <w:numId w:val="1"/>
        </w:numPr>
      </w:pPr>
      <w:r>
        <w:t xml:space="preserve">L’efficacité diagnostique </w:t>
      </w:r>
    </w:p>
    <w:p w:rsidR="00CF4BC9" w:rsidRDefault="00CF4BC9" w:rsidP="00171833">
      <w:pPr>
        <w:pStyle w:val="Paragraphedeliste"/>
        <w:numPr>
          <w:ilvl w:val="1"/>
          <w:numId w:val="1"/>
        </w:numPr>
      </w:pPr>
      <w:r>
        <w:t>L’analyse individuelle</w:t>
      </w:r>
    </w:p>
    <w:p w:rsidR="00CF4BC9" w:rsidRDefault="00CF4BC9" w:rsidP="00CF4BC9">
      <w:pPr>
        <w:pStyle w:val="Paragraphedeliste"/>
        <w:numPr>
          <w:ilvl w:val="2"/>
          <w:numId w:val="1"/>
        </w:numPr>
      </w:pPr>
      <w:r>
        <w:t>Les mutations dans les gènes identifiés</w:t>
      </w:r>
    </w:p>
    <w:p w:rsidR="00CF4BC9" w:rsidRDefault="00CF4BC9" w:rsidP="00CF4BC9">
      <w:pPr>
        <w:pStyle w:val="Paragraphedeliste"/>
        <w:numPr>
          <w:ilvl w:val="2"/>
          <w:numId w:val="1"/>
        </w:numPr>
      </w:pPr>
      <w:r>
        <w:lastRenderedPageBreak/>
        <w:t xml:space="preserve">Liste complète des </w:t>
      </w:r>
      <w:r w:rsidR="00F64031">
        <w:t xml:space="preserve">gènes avec 2 </w:t>
      </w:r>
      <w:proofErr w:type="spellStart"/>
      <w:r>
        <w:t>variants</w:t>
      </w:r>
      <w:proofErr w:type="spellEnd"/>
      <w:r>
        <w:t xml:space="preserve"> </w:t>
      </w:r>
      <w:proofErr w:type="spellStart"/>
      <w:r>
        <w:t>tronquants</w:t>
      </w:r>
      <w:proofErr w:type="spellEnd"/>
    </w:p>
    <w:p w:rsidR="00CF4BC9" w:rsidRDefault="00CF4BC9" w:rsidP="00CF4BC9">
      <w:pPr>
        <w:pStyle w:val="Paragraphedeliste"/>
        <w:numPr>
          <w:ilvl w:val="2"/>
          <w:numId w:val="1"/>
        </w:numPr>
      </w:pPr>
      <w:r>
        <w:t>Liste complète</w:t>
      </w:r>
      <w:r>
        <w:t xml:space="preserve"> </w:t>
      </w:r>
      <w:r>
        <w:t xml:space="preserve">des </w:t>
      </w:r>
      <w:r>
        <w:t xml:space="preserve">gènes avec deux </w:t>
      </w:r>
      <w:proofErr w:type="spellStart"/>
      <w:r>
        <w:t>variants</w:t>
      </w:r>
      <w:proofErr w:type="spellEnd"/>
      <w:r>
        <w:t xml:space="preserve"> dont un tronquant</w:t>
      </w:r>
    </w:p>
    <w:p w:rsidR="00CF4BC9" w:rsidRDefault="00F64031" w:rsidP="00CF4BC9">
      <w:pPr>
        <w:pStyle w:val="Paragraphedeliste"/>
        <w:numPr>
          <w:ilvl w:val="2"/>
          <w:numId w:val="1"/>
        </w:numPr>
      </w:pPr>
      <w:r>
        <w:t xml:space="preserve">Liste des  gènes avec 2 </w:t>
      </w:r>
      <w:proofErr w:type="spellStart"/>
      <w:r>
        <w:t>variants</w:t>
      </w:r>
      <w:proofErr w:type="spellEnd"/>
      <w:r>
        <w:t xml:space="preserve"> </w:t>
      </w:r>
      <w:proofErr w:type="spellStart"/>
      <w:r>
        <w:t>intronique</w:t>
      </w:r>
      <w:proofErr w:type="spellEnd"/>
      <w:r>
        <w:t xml:space="preserve"> ou faux-sens/synonymes avec un score élevé UMD-</w:t>
      </w:r>
      <w:proofErr w:type="spellStart"/>
      <w:r>
        <w:t>predictor</w:t>
      </w:r>
      <w:proofErr w:type="spellEnd"/>
      <w:r>
        <w:t xml:space="preserve"> ou HSF.</w:t>
      </w:r>
    </w:p>
    <w:p w:rsidR="00CF4BC9" w:rsidRDefault="00CF4BC9" w:rsidP="00CF4BC9">
      <w:pPr>
        <w:pStyle w:val="Paragraphedeliste"/>
        <w:numPr>
          <w:ilvl w:val="2"/>
          <w:numId w:val="1"/>
        </w:numPr>
      </w:pPr>
      <w:r>
        <w:t xml:space="preserve">Liste des gènes avec un variant hétérozygote </w:t>
      </w:r>
      <w:r w:rsidR="00F64031">
        <w:t>tronquant</w:t>
      </w:r>
    </w:p>
    <w:p w:rsidR="00CF4BC9" w:rsidRDefault="00CF4BC9" w:rsidP="00CF4BC9"/>
    <w:p w:rsidR="00171833" w:rsidRDefault="00171833"/>
    <w:p w:rsidR="00B30CF2" w:rsidRDefault="00B30CF2"/>
    <w:p w:rsidR="00F64031" w:rsidRPr="00667A3F" w:rsidRDefault="00667A3F" w:rsidP="00CA6E7A">
      <w:pPr>
        <w:jc w:val="both"/>
        <w:rPr>
          <w:b/>
        </w:rPr>
      </w:pPr>
      <w:r w:rsidRPr="00667A3F">
        <w:rPr>
          <w:b/>
        </w:rPr>
        <w:t>Chapitre 4</w:t>
      </w:r>
      <w:r w:rsidR="00D30BED" w:rsidRPr="00667A3F">
        <w:rPr>
          <w:b/>
        </w:rPr>
        <w:t xml:space="preserve"> : </w:t>
      </w:r>
      <w:proofErr w:type="spellStart"/>
      <w:r>
        <w:rPr>
          <w:b/>
        </w:rPr>
        <w:t>Mutascript</w:t>
      </w:r>
      <w:proofErr w:type="spellEnd"/>
    </w:p>
    <w:p w:rsidR="00F64031" w:rsidRDefault="00F64031" w:rsidP="00CA6E7A">
      <w:pPr>
        <w:jc w:val="both"/>
      </w:pPr>
    </w:p>
    <w:p w:rsidR="00CA6E7A" w:rsidRDefault="00D87C16" w:rsidP="00CA6E7A">
      <w:pPr>
        <w:jc w:val="both"/>
      </w:pPr>
      <w:r>
        <w:t xml:space="preserve">L’objectif du travail présenté dans ce chapitre est de développer un script qui permettra d’identifier les gènes qui seront jugés comme ayant peu de chances d’avoir un impact fort sur la santé et/ou la reproduction, qui ne constituent donc pas de bons gènes candidats et qui pourront être exclus des listes de gènes à analyser. </w:t>
      </w:r>
      <w:r w:rsidR="00CA6E7A">
        <w:t xml:space="preserve">Partant du postulat que les transcrits fortement mutés dans la population générale ne remplissent probablement pas de fonctions critiques et ne sont donc pas impliqués dans des pathologies génétiques sévères, Thomas développe une formule permettant d’attribuer un « score mutationnel » aux transcrits, en s'appuyant sur des données publiques de la base </w:t>
      </w:r>
      <w:proofErr w:type="spellStart"/>
      <w:r w:rsidR="00CA6E7A">
        <w:t>ExAC</w:t>
      </w:r>
      <w:proofErr w:type="spellEnd"/>
      <w:r w:rsidR="00CA6E7A">
        <w:t xml:space="preserve"> portant sur des individus considérés </w:t>
      </w:r>
      <w:r w:rsidR="000C265F">
        <w:t xml:space="preserve">comme </w:t>
      </w:r>
      <w:r w:rsidR="00CA6E7A">
        <w:t>sains. Nous appelons ce score « </w:t>
      </w:r>
      <w:proofErr w:type="spellStart"/>
      <w:r w:rsidR="00CA6E7A">
        <w:t>Muta</w:t>
      </w:r>
      <w:r w:rsidR="00C62E87">
        <w:t>s</w:t>
      </w:r>
      <w:r w:rsidR="00CA6E7A">
        <w:t>cript</w:t>
      </w:r>
      <w:proofErr w:type="spellEnd"/>
      <w:r w:rsidR="00CA6E7A">
        <w:t xml:space="preserve"> ». </w:t>
      </w:r>
    </w:p>
    <w:p w:rsidR="00CA6E7A" w:rsidRDefault="00CA6E7A" w:rsidP="00CA6E7A">
      <w:pPr>
        <w:jc w:val="both"/>
      </w:pPr>
    </w:p>
    <w:p w:rsidR="00AE267C" w:rsidRDefault="00AE267C" w:rsidP="00CA6E7A">
      <w:pPr>
        <w:jc w:val="both"/>
      </w:pPr>
    </w:p>
    <w:p w:rsidR="00632A61" w:rsidRPr="00667A3F" w:rsidRDefault="00632A61" w:rsidP="00632A61">
      <w:pPr>
        <w:rPr>
          <w:b/>
        </w:rPr>
      </w:pPr>
      <w:r w:rsidRPr="00667A3F">
        <w:rPr>
          <w:b/>
        </w:rPr>
        <w:t xml:space="preserve">Chapitre </w:t>
      </w:r>
      <w:r w:rsidR="00AE267C" w:rsidRPr="00667A3F">
        <w:rPr>
          <w:b/>
        </w:rPr>
        <w:t>5</w:t>
      </w:r>
      <w:r w:rsidRPr="00667A3F">
        <w:rPr>
          <w:b/>
        </w:rPr>
        <w:t> : Conclusion</w:t>
      </w:r>
    </w:p>
    <w:p w:rsidR="000C265F" w:rsidRPr="00667A3F" w:rsidRDefault="000C265F">
      <w:pPr>
        <w:rPr>
          <w:b/>
        </w:rPr>
      </w:pPr>
      <w:r w:rsidRPr="00667A3F">
        <w:rPr>
          <w:b/>
        </w:rPr>
        <w:t xml:space="preserve"> </w:t>
      </w:r>
      <w:bookmarkStart w:id="0" w:name="_GoBack"/>
      <w:bookmarkEnd w:id="0"/>
    </w:p>
    <w:sectPr w:rsidR="000C265F" w:rsidRPr="00667A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B52FE"/>
    <w:multiLevelType w:val="hybridMultilevel"/>
    <w:tmpl w:val="FAF8841A"/>
    <w:lvl w:ilvl="0" w:tplc="DFECF89C">
      <w:start w:val="1"/>
      <w:numFmt w:val="bullet"/>
      <w:lvlText w:val="-"/>
      <w:lvlJc w:val="left"/>
      <w:pPr>
        <w:ind w:left="1065" w:hanging="360"/>
      </w:pPr>
      <w:rPr>
        <w:rFonts w:ascii="Times New Roman" w:eastAsia="MS Mincho" w:hAnsi="Times New Roman"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21E468BE"/>
    <w:multiLevelType w:val="hybridMultilevel"/>
    <w:tmpl w:val="C32031B4"/>
    <w:lvl w:ilvl="0" w:tplc="397C9B2E">
      <w:start w:val="1"/>
      <w:numFmt w:val="lowerLetter"/>
      <w:lvlText w:val="%1)"/>
      <w:lvlJc w:val="left"/>
      <w:pPr>
        <w:ind w:left="1065" w:hanging="360"/>
      </w:pPr>
      <w:rPr>
        <w:rFonts w:hint="default"/>
      </w:rPr>
    </w:lvl>
    <w:lvl w:ilvl="1" w:tplc="040C0019">
      <w:start w:val="1"/>
      <w:numFmt w:val="lowerLetter"/>
      <w:lvlText w:val="%2."/>
      <w:lvlJc w:val="left"/>
      <w:pPr>
        <w:ind w:left="1785" w:hanging="360"/>
      </w:pPr>
    </w:lvl>
    <w:lvl w:ilvl="2" w:tplc="040C001B">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415D52B6"/>
    <w:multiLevelType w:val="hybridMultilevel"/>
    <w:tmpl w:val="0D90B8B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EA"/>
    <w:rsid w:val="00000881"/>
    <w:rsid w:val="00003744"/>
    <w:rsid w:val="00051A6F"/>
    <w:rsid w:val="000C265F"/>
    <w:rsid w:val="00171833"/>
    <w:rsid w:val="002D76B7"/>
    <w:rsid w:val="005F02F7"/>
    <w:rsid w:val="00632A61"/>
    <w:rsid w:val="00667A3F"/>
    <w:rsid w:val="007E2CC3"/>
    <w:rsid w:val="00AE267C"/>
    <w:rsid w:val="00B30CF2"/>
    <w:rsid w:val="00BC1FF8"/>
    <w:rsid w:val="00C62E87"/>
    <w:rsid w:val="00CA6E7A"/>
    <w:rsid w:val="00CF4BC9"/>
    <w:rsid w:val="00D30BED"/>
    <w:rsid w:val="00D87C16"/>
    <w:rsid w:val="00DF02EA"/>
    <w:rsid w:val="00E07917"/>
    <w:rsid w:val="00F64031"/>
    <w:rsid w:val="00FF70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217A8C7-3554-4A45-A949-8F4CB51C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Titre4">
    <w:name w:val="heading 4"/>
    <w:basedOn w:val="Normal"/>
    <w:next w:val="Normal"/>
    <w:qFormat/>
    <w:rsid w:val="007E2CC3"/>
    <w:pPr>
      <w:keepNext/>
      <w:spacing w:before="240" w:after="60"/>
      <w:outlineLvl w:val="3"/>
    </w:pPr>
    <w:rPr>
      <w:b/>
      <w:bCs/>
      <w:sz w:val="28"/>
      <w:szCs w:val="28"/>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Style4">
    <w:name w:val="Style4"/>
    <w:basedOn w:val="Titre4"/>
    <w:autoRedefine/>
    <w:rsid w:val="007E2CC3"/>
    <w:pPr>
      <w:spacing w:before="0" w:after="0"/>
      <w:ind w:left="709"/>
    </w:pPr>
    <w:rPr>
      <w:rFonts w:ascii="Times" w:hAnsi="Times"/>
      <w:bCs w:val="0"/>
      <w:sz w:val="24"/>
      <w:szCs w:val="20"/>
      <w:u w:val="single"/>
    </w:rPr>
  </w:style>
  <w:style w:type="paragraph" w:customStyle="1" w:styleId="Style6">
    <w:name w:val="Style6"/>
    <w:basedOn w:val="Titre4"/>
    <w:rsid w:val="007E2CC3"/>
    <w:pPr>
      <w:spacing w:before="0" w:after="0"/>
      <w:ind w:left="709"/>
    </w:pPr>
    <w:rPr>
      <w:rFonts w:ascii="Times" w:hAnsi="Times"/>
      <w:bCs w:val="0"/>
      <w:sz w:val="24"/>
      <w:szCs w:val="20"/>
      <w:u w:val="single"/>
    </w:rPr>
  </w:style>
  <w:style w:type="paragraph" w:styleId="Paragraphedeliste">
    <w:name w:val="List Paragraph"/>
    <w:basedOn w:val="Normal"/>
    <w:uiPriority w:val="34"/>
    <w:qFormat/>
    <w:rsid w:val="00171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27968">
      <w:bodyDiv w:val="1"/>
      <w:marLeft w:val="0"/>
      <w:marRight w:val="0"/>
      <w:marTop w:val="0"/>
      <w:marBottom w:val="0"/>
      <w:divBdr>
        <w:top w:val="none" w:sz="0" w:space="0" w:color="auto"/>
        <w:left w:val="none" w:sz="0" w:space="0" w:color="auto"/>
        <w:bottom w:val="none" w:sz="0" w:space="0" w:color="auto"/>
        <w:right w:val="none" w:sz="0" w:space="0" w:color="auto"/>
      </w:divBdr>
      <w:divsChild>
        <w:div w:id="403994359">
          <w:marLeft w:val="0"/>
          <w:marRight w:val="0"/>
          <w:marTop w:val="0"/>
          <w:marBottom w:val="0"/>
          <w:divBdr>
            <w:top w:val="none" w:sz="0" w:space="0" w:color="auto"/>
            <w:left w:val="none" w:sz="0" w:space="0" w:color="auto"/>
            <w:bottom w:val="none" w:sz="0" w:space="0" w:color="auto"/>
            <w:right w:val="none" w:sz="0" w:space="0" w:color="auto"/>
          </w:divBdr>
          <w:divsChild>
            <w:div w:id="942031022">
              <w:marLeft w:val="0"/>
              <w:marRight w:val="0"/>
              <w:marTop w:val="0"/>
              <w:marBottom w:val="0"/>
              <w:divBdr>
                <w:top w:val="none" w:sz="0" w:space="0" w:color="auto"/>
                <w:left w:val="none" w:sz="0" w:space="0" w:color="auto"/>
                <w:bottom w:val="none" w:sz="0" w:space="0" w:color="auto"/>
                <w:right w:val="none" w:sz="0" w:space="0" w:color="auto"/>
              </w:divBdr>
            </w:div>
            <w:div w:id="1807889966">
              <w:blockQuote w:val="1"/>
              <w:marLeft w:val="96"/>
              <w:marRight w:val="0"/>
              <w:marTop w:val="0"/>
              <w:marBottom w:val="0"/>
              <w:divBdr>
                <w:top w:val="none" w:sz="0" w:space="0" w:color="auto"/>
                <w:left w:val="single" w:sz="8" w:space="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460</Words>
  <Characters>2536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Chu de Grenoble</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 Pierre</dc:creator>
  <cp:keywords/>
  <cp:lastModifiedBy>Ray, Pierre</cp:lastModifiedBy>
  <cp:revision>4</cp:revision>
  <dcterms:created xsi:type="dcterms:W3CDTF">2017-02-24T09:12:00Z</dcterms:created>
  <dcterms:modified xsi:type="dcterms:W3CDTF">2017-02-24T09:50:00Z</dcterms:modified>
</cp:coreProperties>
</file>