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26.jpg" ContentType="image/jpeg"/>
  <Override PartName="/word/media/rId50.png" ContentType="image/png"/>
  <Override PartName="/word/media/rId53.png" ContentType="image/png"/>
  <Override PartName="/word/media/rId40.png" ContentType="image/png"/>
  <Override PartName="/word/media/rId56.png" ContentType="image/png"/>
  <Override PartName="/word/media/rId43.png" ContentType="image/png"/>
  <Override PartName="/word/media/rId42.png" ContentType="image/png"/>
  <Override PartName="/word/media/rId41.png" ContentType="image/png"/>
  <Override PartName="/word/media/rId44.png" ContentType="image/png"/>
  <Override PartName="/word/media/rId52.png" ContentType="image/png"/>
  <Override PartName="/word/media/rId38.png" ContentType="image/png"/>
  <Override PartName="/word/media/rId58.png" ContentType="image/png"/>
  <Override PartName="/word/media/rId60.png" ContentType="image/png"/>
  <Override PartName="/word/media/rId62.png" ContentType="image/png"/>
  <Override PartName="/word/media/rId46.png" ContentType="image/png"/>
  <Override PartName="/word/media/rId67.png" ContentType="image/png"/>
  <Override PartName="/word/media/rId39.png" ContentType="image/png"/>
  <Override PartName="/word/media/rId36.png" ContentType="image/png"/>
  <Override PartName="/word/media/rId34.png" ContentType="image/png"/>
  <Override PartName="/word/media/rId32.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mise-en-place-dune-strategie-pour-lanalyse-des-donnees-exomiques-application-en-recherche-clinique"/>
      <w:bookmarkEnd w:id="22"/>
      <w:r>
        <w:t xml:space="preserve">Mise en place d’une stratégie pour l’analyse des données exomiques – application en recherche clinique</w:t>
      </w:r>
    </w:p>
    <w:p>
      <w:pPr>
        <w:pStyle w:val="FirstParagraph"/>
      </w:pPr>
      <w:r>
        <w:t xml:space="preserve">En 2011, les bases moléculaires d'environ 3700 pathologies à transmission Mendélienne avaient été élucidées. Cependant, pour une quantité équivalente de pathologies Mendéliennes (ou suspectées de l'être) cette cause reste un mystère</w:t>
      </w:r>
      <w:r>
        <w:t xml:space="preserve"> </w:t>
      </w:r>
      <w:r>
        <w:t xml:space="preserve">(Amberger, Bocchini, &amp; Hamosh,</w:t>
      </w:r>
      <w:r>
        <w:t xml:space="preserve"> </w:t>
      </w:r>
      <w:hyperlink w:anchor="ref-Amberger2011">
        <w:r>
          <w:rPr>
            <w:rStyle w:val="Hyperlink"/>
          </w:rPr>
          <w:t xml:space="preserve">2011</w:t>
        </w:r>
      </w:hyperlink>
      <w:r>
        <w:t xml:space="preserve">)</w:t>
      </w:r>
      <w:r>
        <w:t xml:space="preserve">. Avec plusieurs centaines de pathologies caractérisées depuis 2010</w:t>
      </w:r>
      <w:r>
        <w:t xml:space="preserve"> </w:t>
      </w:r>
      <w:r>
        <w:t xml:space="preserve">(S. B. Ng et al., n.d.)</w:t>
      </w:r>
      <w:r>
        <w:t xml:space="preserve">, les séquençages WGS et WES ont, depuis leur émergence, révolutionnés les méthodes de recherche dans le cadre d'étude phénotype-génotype en permettant de manière rapide et à moindre coup le séquençage de la quasi-totalité des gènes humains. Dès lors, le défis de ces analyses n'est plus le séquençage de l'ADN mais l'interprétation des données massives produites. En effet, l'un des plus grands challenges des analyses phénotype-génotype réalisées par WES réside dans l'analyse de l'importante quantité de variant portés par chaque individu s'élevant à plusieurs dizaines de milliers lorsque l'on compare avec le génome de référence. Même après avoir retiré les variants retrouvés fréquemment dans la population générale, des méthodes additionnelles sont nécessaires pour prédire, parmi les variants restant, lesquels induisent des conséquences fonctionnelles sérieuses afin de les prioriser</w:t>
      </w:r>
      <w:r>
        <w:t xml:space="preserve"> </w:t>
      </w:r>
      <w:r>
        <w:t xml:space="preserve">(Pelak et al.,</w:t>
      </w:r>
      <w:r>
        <w:t xml:space="preserve"> </w:t>
      </w:r>
      <w:hyperlink w:anchor="ref-Pelak2010">
        <w:r>
          <w:rPr>
            <w:rStyle w:val="Hyperlink"/>
          </w:rPr>
          <w:t xml:space="preserve">2010</w:t>
        </w:r>
      </w:hyperlink>
      <w:r>
        <w:t xml:space="preserve">)</w:t>
      </w:r>
      <w:r>
        <w:t xml:space="preserve">. De nombreux logiciels tel que Variant Effect Predictor</w:t>
      </w:r>
      <w:r>
        <w:t xml:space="preserve"> </w:t>
      </w:r>
      <w:r>
        <w:t xml:space="preserve">(W. McLaren et al.,</w:t>
      </w:r>
      <w:r>
        <w:t xml:space="preserve"> </w:t>
      </w:r>
      <w:hyperlink w:anchor="ref-McLaren2016">
        <w:r>
          <w:rPr>
            <w:rStyle w:val="Hyperlink"/>
          </w:rPr>
          <w:t xml:space="preserve">2016</w:t>
        </w:r>
      </w:hyperlink>
      <w:r>
        <w:t xml:space="preserve">)</w:t>
      </w:r>
      <w:r>
        <w:t xml:space="preserve">, SnpEff</w:t>
      </w:r>
      <w:r>
        <w:t xml:space="preserve"> </w:t>
      </w:r>
      <w:r>
        <w:t xml:space="preserve">(Cingolani et al.,</w:t>
      </w:r>
      <w:r>
        <w:t xml:space="preserve"> </w:t>
      </w:r>
      <w:hyperlink w:anchor="ref-Cingolani2012">
        <w:r>
          <w:rPr>
            <w:rStyle w:val="Hyperlink"/>
          </w:rPr>
          <w:t xml:space="preserve">2012</w:t>
        </w:r>
      </w:hyperlink>
      <w:r>
        <w:t xml:space="preserve">)</w:t>
      </w:r>
      <w:r>
        <w:t xml:space="preserve"> </w:t>
      </w:r>
      <w:r>
        <w:t xml:space="preserve">ou encore ANNOVAR</w:t>
      </w:r>
      <w:r>
        <w:t xml:space="preserve"> </w:t>
      </w:r>
      <w:r>
        <w:t xml:space="preserve">(K. Wang, Li, &amp; Hakonarson,</w:t>
      </w:r>
      <w:r>
        <w:t xml:space="preserve"> </w:t>
      </w:r>
      <w:hyperlink w:anchor="ref-Wang2010">
        <w:r>
          <w:rPr>
            <w:rStyle w:val="Hyperlink"/>
          </w:rPr>
          <w:t xml:space="preserve">2010</w:t>
        </w:r>
      </w:hyperlink>
      <w:r>
        <w:t xml:space="preserve">)</w:t>
      </w:r>
      <w:r>
        <w:t xml:space="preserve"> </w:t>
      </w:r>
      <w:r>
        <w:t xml:space="preserve">permettent d'identifier quels sont les variants qui ont un effet tronquant sur la protéine. Cependant, avec en moyenne 165 variants homozygotes ayant un effet tronquant retrouvés dans chaque exomes</w:t>
      </w:r>
      <w:r>
        <w:t xml:space="preserve"> </w:t>
      </w:r>
      <w:r>
        <w:t xml:space="preserve">(Pelak et al.,</w:t>
      </w:r>
      <w:r>
        <w:t xml:space="preserve"> </w:t>
      </w:r>
      <w:hyperlink w:anchor="ref-Pelak2010">
        <w:r>
          <w:rPr>
            <w:rStyle w:val="Hyperlink"/>
          </w:rPr>
          <w:t xml:space="preserve">2010</w:t>
        </w:r>
      </w:hyperlink>
      <w:r>
        <w:t xml:space="preserve">)</w:t>
      </w:r>
      <w:r>
        <w:t xml:space="preserve"> </w:t>
      </w:r>
      <w:r>
        <w:t xml:space="preserve">ces méthodes, bien qu'efficaces sont souvent insuffisantes.</w:t>
      </w:r>
    </w:p>
    <w:p>
      <w:pPr>
        <w:pStyle w:val="BodyText"/>
      </w:pPr>
      <w:r>
        <w:t xml:space="preserve">D'autres logiciels tel que Exomiser</w:t>
      </w:r>
      <w:r>
        <w:t xml:space="preserve"> </w:t>
      </w:r>
      <w:r>
        <w:t xml:space="preserve">(P. N. Robinson et al.,</w:t>
      </w:r>
      <w:r>
        <w:t xml:space="preserve"> </w:t>
      </w:r>
      <w:hyperlink w:anchor="ref-Robinson2014">
        <w:r>
          <w:rPr>
            <w:rStyle w:val="Hyperlink"/>
          </w:rPr>
          <w:t xml:space="preserve">2014</w:t>
        </w:r>
      </w:hyperlink>
      <w:r>
        <w:t xml:space="preserve">)</w:t>
      </w:r>
      <w:r>
        <w:t xml:space="preserve"> </w:t>
      </w:r>
      <w:r>
        <w:t xml:space="preserve">vont, à partir d'une liste de variants</w:t>
      </w:r>
      <w:r>
        <w:t xml:space="preserve"> </w:t>
      </w:r>
      <w:r>
        <w:rPr>
          <w:b/>
        </w:rPr>
        <w:t xml:space="preserve">déjà</w:t>
      </w:r>
      <w:r>
        <w:t xml:space="preserve"> </w:t>
      </w:r>
      <w:r>
        <w:t xml:space="preserve">appelés effectuer les étapes d'annotation, de filtrage et de priorisation. Malgré l'efficacité de ces logiciels, aucun d'entre eux ne couvrent l'ensemble des étapes allant de l'alignement des</w:t>
      </w:r>
      <w:r>
        <w:t xml:space="preserve"> </w:t>
      </w:r>
      <w:r>
        <w:rPr>
          <w:i/>
        </w:rPr>
        <w:t xml:space="preserve">reads</w:t>
      </w:r>
      <w:r>
        <w:t xml:space="preserve"> </w:t>
      </w:r>
      <w:r>
        <w:t xml:space="preserve">à la priorisation des variants. La plupart ayant pour point de départ une liste de variants appelés en amont. Ils ne contrôlent donc en aucune manière les étapes d'alignement et d'appel des variants. Or, comme il a été dit plus tôt, ces deux étapes constituent la base de l'analyse [].</w:t>
      </w:r>
    </w:p>
    <w:p>
      <w:pPr>
        <w:pStyle w:val="BodyText"/>
      </w:pPr>
      <w:r>
        <w:t xml:space="preserve">Ce chapitre décrit à la fois la constitution d’un pipeline d’analyse des données de séquençage exomique recouvrant l'ensemble des étapes allant de l'allignement des séquences à la priorisation des variants ainsi que son utilisation dans le cadre de la recherche de mutations entrainant différents phénotypes d’infertilité d'une part de cas familiaux composés de duos ou trio et, pour finir, d'une large cohorte d'individus non apparentés présentant tous le même phénotype.</w:t>
      </w:r>
    </w:p>
    <w:p>
      <w:pPr>
        <w:pStyle w:val="Heading2"/>
      </w:pPr>
      <w:bookmarkStart w:id="23" w:name="methode-description-du-pipeline-danalyse"/>
      <w:bookmarkEnd w:id="23"/>
      <w:r>
        <w:t xml:space="preserve">Méthode : Description du pipeline d'analyse</w:t>
      </w:r>
    </w:p>
    <w:p>
      <w:pPr>
        <w:pStyle w:val="Heading2"/>
      </w:pPr>
      <w:bookmarkStart w:id="24" w:name="resultats"/>
      <w:bookmarkEnd w:id="24"/>
      <w:r>
        <w:t xml:space="preserve">Résultats</w:t>
      </w:r>
    </w:p>
    <w:p>
      <w:pPr>
        <w:pStyle w:val="FirstParagraph"/>
      </w:pPr>
      <w:r>
        <w:t xml:space="preserve">Dans cette partie, nous allons, après avoir décrit notre pipeline, détailler les résultats de l'analyse des données de WES de 75 patients tous atteints d'un phénotype d'infertilité. Ces études seront séparées en deux parties distinctes, la première se concentrera sur l'études de 6 familles incluant 13 de ces patients. Le seconde portera sur l'analyse des 62 patients non-apparentés restant présentant tous un phénotype MMAF.</w:t>
      </w:r>
    </w:p>
    <w:p>
      <w:pPr>
        <w:pStyle w:val="BodyText"/>
      </w:pPr>
      <w:r>
        <w:t xml:space="preserve">Après avoir été séquencés, les données recueillies pour ces patients sont procéssées au sein du même pipeline d'analyse qui comprend quatre étapes allant de l'alignement des</w:t>
      </w:r>
      <w:r>
        <w:t xml:space="preserve"> </w:t>
      </w:r>
      <w:r>
        <w:rPr>
          <w:i/>
        </w:rPr>
        <w:t xml:space="preserve">reads</w:t>
      </w:r>
      <w:r>
        <w:t xml:space="preserve"> </w:t>
      </w:r>
      <w:r>
        <w:t xml:space="preserve">au filtrage des variants :</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(hg19 / GHRC37)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Afin d'écarter toute ambiguïté au moment de l'interprétation de l'alignement, l'intégralité des</w:t>
      </w:r>
      <w:r>
        <w:t xml:space="preserve"> </w:t>
      </w:r>
      <w:r>
        <w:rPr>
          <w:i/>
        </w:rPr>
        <w:t xml:space="preserve">reads</w:t>
      </w:r>
      <w:r>
        <w:t xml:space="preserve"> </w:t>
      </w:r>
      <w:r>
        <w:t xml:space="preserve">dupliqués et / ou s'alignant à plusieurs zones du génome seront filtrés et ne seront donc pas pris en compte pour l'ensemble des analyses en aval. Suite à cela, MAGIC va produire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développé notre propre algorithme d'appel des variants spécialement conçu pour l'analyse des données de MAGIC. Ainsi, l'appel des variants sera directement basé sur les quatre comptages vus précédemment. Tout d'abord, les positions ayant une couverture &lt; 10 sur l'un des deux</w:t>
      </w:r>
      <w:r>
        <w:t xml:space="preserve"> </w:t>
      </w:r>
      <w:r>
        <w:rPr>
          <w:i/>
        </w:rPr>
        <w:t xml:space="preserve">strands</w:t>
      </w:r>
      <w:r>
        <w:t xml:space="preserve"> </w:t>
      </w:r>
      <w:r>
        <w:t xml:space="preserve">seront considérées comme de faible qualité, celles ayant une couverture &lt; 10 sur les deux</w:t>
      </w:r>
      <w:r>
        <w:t xml:space="preserve"> </w:t>
      </w:r>
      <w:r>
        <w:rPr>
          <w:i/>
        </w:rPr>
        <w:t xml:space="preserve">strands</w:t>
      </w:r>
      <w:r>
        <w:t xml:space="preserve"> </w:t>
      </w:r>
      <w:r>
        <w:t xml:space="preserve">seront exclues. Ensuite pour chaque variant, des appels indépendants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Ensuite, nous ajoutons, pour chaque gène, son expression tissulaire en nous basant sur les données Ensembl</w:t>
      </w:r>
      <w:r>
        <w:t xml:space="preserve"> </w:t>
      </w:r>
      <w:r>
        <w:t xml:space="preserve">(Aken et al.,</w:t>
      </w:r>
      <w:r>
        <w:t xml:space="preserve"> </w:t>
      </w:r>
      <w:hyperlink w:anchor="ref-Aken2017">
        <w:r>
          <w:rPr>
            <w:rStyle w:val="Hyperlink"/>
          </w:rPr>
          <w:t xml:space="preserve">2017</w:t>
        </w:r>
      </w:hyperlink>
      <w:r>
        <w:t xml:space="preserve">)</w:t>
      </w:r>
      <w:r>
        <w:t xml:space="preserve"> </w:t>
      </w:r>
      <w:r>
        <w:t xml:space="preserve">générées par le projet Illumina BodyMap qui recense les données RNAseq des gènes humains pour 16 tissus différents.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w:t>
      </w:r>
      <w:hyperlink r:id="rId25">
        <w:r>
          <w:rPr>
            <w:rStyle w:val="Hyperlink"/>
          </w:rPr>
          <w:t xml:space="preserve">Exome Variant Server, NHLBI GO Exome Sequencing Project (ESP), Seattle, WA</w:t>
        </w:r>
      </w:hyperlink>
      <w:r>
        <w:t xml:space="preserve">) et 1000Genomes</w:t>
      </w:r>
      <w:r>
        <w:t xml:space="preserve"> </w:t>
      </w:r>
      <w:r>
        <w:t xml:space="preserve">(1000 Genomes Project Consortium et al.,</w:t>
      </w:r>
      <w:r>
        <w:t xml:space="preserve"> </w:t>
      </w:r>
      <w:hyperlink w:anchor="ref-1000GenomesProjectConsortium2015">
        <w:r>
          <w:rPr>
            <w:rStyle w:val="Hyperlink"/>
          </w:rPr>
          <w:t xml:space="preserve">2015</w:t>
        </w:r>
      </w:hyperlink>
      <w:r>
        <w:t xml:space="preserve">)</w:t>
      </w:r>
      <w:r>
        <w:t xml:space="preserve"> </w:t>
      </w:r>
      <w:r>
        <w:t xml:space="preserve">donnant ainsi une estimation de sa fréquence dans la population générale. De même, la particularité de ce pipeline est qu'elle conserve l'ensemble des variants identifiés dans les études effectuées précédemment permettant d'ajouter aux annotations la fréquence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26"/>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 positionnement sur le transcrit d'après</w:t>
      </w:r>
      <w:r>
        <w:t xml:space="preserve"> </w:t>
      </w:r>
      <w:hyperlink r:id="rId27">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modifiés par l'utilisateur de sorte à faire correspondre les critères de filtre aux besoins de l'étude. Afin de rendre son utilisation le plus efficace possible, nous avons souhaité définir des paramètres par défauts pertinent dans la plupart des études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1KG). Aussi, pour un phénotype donné, l'ensemble des variants homozygotes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28" w:name="utilisation-du-pipeline-dans-des-cas-familiaux"/>
      <w:bookmarkEnd w:id="28"/>
      <w:r>
        <w:t xml:space="preserve">Utilisation du pipeline dans des cas familiaux :</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Parmi ces 6 chacune composée de 2 à 3 frères, les familles AZ, FF et MMAF2 présentent un historique de consanguinité, les parents étant soit cousins germains, soit cousins au second degré. La consanguinité favorisant la transmission de variants à l'état homozygote, nous avons décidé, dans un premier temps de concentrer nos analyses uniquement sur les variants (SNVs et indels) homozygotes pour l'ensemble des familles. Pour les 3 familles n'ayant pas d'historique de consanguinité, ce choix nous permet de réduire la liste des variants candidats de sorte à faciliter les analyses. L'études des variants hétérozygotes sera effectuée</w:t>
      </w:r>
      <w:r>
        <w:t xml:space="preserve"> </w:t>
      </w:r>
      <w:r>
        <w:rPr>
          <w:i/>
        </w:rPr>
        <w:t xml:space="preserve">a posteriori</w:t>
      </w:r>
      <w:r>
        <w:t xml:space="preserve"> </w:t>
      </w:r>
      <w:r>
        <w:t xml:space="preserve">pour les familles dont la cause génétique du phénotype n'a pas pu être identifiée en se limitant aux variants homozygotes. Un récapitulatif des familles et de leur phénotype est disponible dans la table</w:t>
      </w:r>
      <w:r>
        <w:t xml:space="preserve"> </w:t>
      </w:r>
      <w:r>
        <w:t xml:space="preserve">??</w:t>
      </w:r>
      <w:r>
        <w:t xml:space="preserve">.</w:t>
      </w:r>
    </w:p>
    <w:p>
      <w:pPr>
        <w:pStyle w:val="Heading4"/>
      </w:pPr>
      <w:bookmarkStart w:id="29" w:name="resultats-des-exomes"/>
      <w:bookmarkEnd w:id="29"/>
      <w:r>
        <w:t xml:space="preserve">Résultats des exomes</w:t>
      </w:r>
    </w:p>
    <w:p>
      <w:pPr>
        <w:pStyle w:val="Heading5"/>
      </w:pPr>
      <w:bookmarkStart w:id="30" w:name="resultat-de-lalignement"/>
      <w:bookmarkEnd w:id="30"/>
      <w:r>
        <w:t xml:space="preserve">Résultat de l'alignement</w:t>
      </w:r>
    </w:p>
    <w:p>
      <w:pPr>
        <w:pStyle w:val="FirstParagraph"/>
      </w:pPr>
      <w:r>
        <w:t xml:space="preserve">Pour rappel, l'</w:t>
      </w:r>
      <w:hyperlink r:id="rId31">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 peut varier en fonction de plusieurs paramètres et n'est donc pas égale pour chaque patient bien que l'ordre de grandeur reste le même avec une médiane de 91438630</w:t>
      </w:r>
      <w:r>
        <w:t xml:space="preserve"> </w:t>
      </w:r>
      <w:r>
        <w:rPr>
          <w:i/>
        </w:rPr>
        <w:t xml:space="preserve">reads</w:t>
      </w:r>
      <w:r>
        <w:t xml:space="preserve">. Seuls les deux frères AZ1 et AZ2 se distinguent avec près de 3 fois plus de</w:t>
      </w:r>
      <w:r>
        <w:t xml:space="preserve"> </w:t>
      </w:r>
      <w:r>
        <w:rPr>
          <w:i/>
        </w:rPr>
        <w:t xml:space="preserve">reads</w:t>
      </w:r>
      <w:r>
        <w:t xml:space="preserve"> </w:t>
      </w:r>
      <w:r>
        <w:t xml:space="preserve">que les autres patients. Cette différence peut être expliquée car ces deux patients sont les deux seuls à voir été séquencés au Mount Sinaï Institut or leur protocole d'amplification précédent le séquençage contient un nombre de cycles de PCR supérieur à ceux appliqués au Génopole d'Évry où ont été séquencés les autres patients. Il faut noter que ce nombre plus important de</w:t>
      </w:r>
      <w:r>
        <w:t xml:space="preserve"> </w:t>
      </w:r>
      <w:r>
        <w:rPr>
          <w:i/>
        </w:rPr>
        <w:t xml:space="preserve">reads</w:t>
      </w:r>
      <w:r>
        <w:t xml:space="preserve"> </w:t>
      </w:r>
      <w:r>
        <w:t xml:space="preserve">n'est en rien le reflet d'une meilleure qualité. En effet, celui-ci est causé par une grande quantité de</w:t>
      </w:r>
      <w:r>
        <w:t xml:space="preserve"> </w:t>
      </w:r>
      <w:r>
        <w:rPr>
          <w:i/>
        </w:rPr>
        <w:t xml:space="preserve">reads</w:t>
      </w:r>
      <w:r>
        <w:t xml:space="preserve"> </w:t>
      </w:r>
      <w:r>
        <w:t xml:space="preserve">dupliqués qui seront pour la plupart filtrés au cours des analyses ultérieures (</w:t>
      </w:r>
      <w:r>
        <w:rPr>
          <w:b/>
        </w:rPr>
        <w:t xml:space="preserve">Table :</w:t>
      </w:r>
      <w:r>
        <w:t xml:space="preserve"> </w:t>
      </w:r>
      <w:r>
        <w:t xml:space="preserve">??</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 sont séquencées.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considérée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à filtrer les</w:t>
      </w:r>
      <w:r>
        <w:t xml:space="preserve"> </w:t>
      </w:r>
      <w:r>
        <w:rPr>
          <w:i/>
        </w:rPr>
        <w:t xml:space="preserve">reads</w:t>
      </w:r>
      <w:r>
        <w:t xml:space="preserve"> </w:t>
      </w:r>
      <w:r>
        <w:t xml:space="preserve">ne s'étant pas alignés sur le génome. Ces</w:t>
      </w:r>
      <w:r>
        <w:t xml:space="preserve"> </w:t>
      </w:r>
      <w:r>
        <w:rPr>
          <w:i/>
        </w:rPr>
        <w:t xml:space="preserve">reads</w:t>
      </w:r>
      <w:r>
        <w:t xml:space="preserve"> </w:t>
      </w:r>
      <w:r>
        <w:t xml:space="preserve">sont extrêmement minoritaires puisqu'ils ne représentent qu'entre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89.5 %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problématiques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analyses.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effectuer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2"/>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3" w:name="resultat-de-lappel-des-variants"/>
      <w:bookmarkEnd w:id="33"/>
      <w:r>
        <w:t xml:space="preserve">Résultat de l'appel des variants</w:t>
      </w:r>
    </w:p>
    <w:p>
      <w:pPr>
        <w:pStyle w:val="FirstParagraph"/>
      </w:pPr>
      <w:r>
        <w:t xml:space="preserve">Comme dit précédemment, l'appel des variants fait suite à l'alignement et consiste à comparer la séquence d'un individu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est</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majoritaires et représentent environ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pour chaque patient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filtrés, soit environ 86.3 % des variants DS.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porteurs d'un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 nous avons appelés environ 43670 variants hétérozygotes (41044 SNVs et 2626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4620126" cy="6930189"/>
            <wp:effectExtent b="0" l="0" r="0" t="0"/>
            <wp:docPr descr="Figure 3 Contrôle qualité des variants appelés : Pour chacun des graphiques, les variants représentés en vert et en orange sont conservés tandis que ceux en rouge sont filtrés. A : Distribution du stranding des appels pour chaque patient.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4"/>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et en orange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35" w:name="resultats-de-lannotation"/>
      <w:bookmarkEnd w:id="35"/>
      <w:r>
        <w:t xml:space="preserve">Résultats de l'annotation</w:t>
      </w:r>
    </w:p>
    <w:p>
      <w:pPr>
        <w:pStyle w:val="FirstParagraph"/>
      </w:pPr>
      <w:r>
        <w:t xml:space="preserve">L'annotation des variants appelés consiste à ajouter un maximum d'informations sur les variants. Ces informations seront ensuite utilisées afin de filtrer et / ou prioriser les variants. Dans ces analyses nous avons utilisé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prédire l'effet qu'auront ces variants sur l'ensemble des transcrits (et gènes) qu'ils chevauchent. Dans le cas de substitution faux-sens, c'est à dire entrainant le changement d'un seul acide-aminé de la séquence protéique, nous utiliserons les prédictions fournies par SIFT et PolyPhen afin d'estimer leur pathogénicité. Pour finir nous ajoutons, lorsqu'elle est disponible, la fréquence de chacun de ces variants dans les bases de données ExAC, 1KG et ESP6500.</w:t>
      </w:r>
    </w:p>
    <w:p>
      <w:pPr>
        <w:pStyle w:val="BodyText"/>
      </w:pPr>
      <w:r>
        <w:t xml:space="preserve">Après avoir annoté nos variants, nous avons pu constater que pour chaque patient 24975 gènes sont en moyenne affecté par au moins un variant homozygote pour en moyenne 122735 transcrits (soit environ 5 transcrits par gènes). Il faut noter que parmi ces gènes se trouvent à la fois des gènes codant pour des protéine</w:t>
      </w:r>
      <w:r>
        <w:t xml:space="preserve"> </w:t>
      </w:r>
      <w:r>
        <w:rPr>
          <w:b/>
        </w:rPr>
        <w:t xml:space="preserve">et</w:t>
      </w:r>
      <w:r>
        <w:t xml:space="preserve"> </w:t>
      </w:r>
      <w:r>
        <w:t xml:space="preserve">d'autres non codant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w:t>
      </w:r>
      <w:r>
        <w:t xml:space="preserve"> </w:t>
      </w:r>
      <w:r>
        <w:rPr>
          <w:i/>
        </w:rPr>
        <w:t xml:space="preserve">HIGH</w:t>
      </w:r>
      <w:r>
        <w:t xml:space="preserve">,</w:t>
      </w:r>
      <w:r>
        <w:t xml:space="preserve"> </w:t>
      </w:r>
      <w:r>
        <w:rPr>
          <w:i/>
        </w:rPr>
        <w:t xml:space="preserve">MODERATE</w:t>
      </w:r>
      <w:r>
        <w:t xml:space="preserve">,</w:t>
      </w:r>
      <w:r>
        <w:t xml:space="preserve"> </w:t>
      </w:r>
      <w:r>
        <w:rPr>
          <w:i/>
        </w:rPr>
        <w:t xml:space="preserve">LOW</w:t>
      </w:r>
      <w:r>
        <w:t xml:space="preserve">,</w:t>
      </w:r>
      <w:r>
        <w:t xml:space="preserve"> </w:t>
      </w:r>
      <w:r>
        <w:rPr>
          <w:i/>
        </w:rPr>
        <w:t xml:space="preserve">MODIFIER</w:t>
      </w:r>
      <w:r>
        <w:t xml:space="preserve"> </w:t>
      </w:r>
      <w:r>
        <w:t xml:space="preserve">(</w:t>
      </w:r>
      <w:r>
        <w:rPr>
          <w:b/>
        </w:rPr>
        <w:t xml:space="preserve">Table :</w:t>
      </w:r>
      <w:r>
        <w:t xml:space="preserve">1</w:t>
      </w:r>
      <w:r>
        <w:t xml:space="preserve">). Comme attendu, les variants ayant un impact tronquant se retrouvent être les moins fréquent chez chacun de nos patients. Ceci est d'autant plus flagrant pour l'impact</w:t>
      </w:r>
      <w:r>
        <w:t xml:space="preserve"> </w:t>
      </w:r>
      <w:r>
        <w:rPr>
          <w:i/>
        </w:rPr>
        <w:t xml:space="preserve">HIGH</w:t>
      </w:r>
      <w:r>
        <w:t xml:space="preserve"> </w:t>
      </w:r>
      <w:r>
        <w:t xml:space="preserve">qui regroupe, entre autres,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FigureWithCaption"/>
      </w:pPr>
      <w:r>
        <w:drawing>
          <wp:inline>
            <wp:extent cx="5334000" cy="5744307"/>
            <wp:effectExtent b="0" l="0" r="0" t="0"/>
            <wp:docPr descr="Figure 4 Annotation des variants : A : Quantification du nombre de gènes (en bleu) / transcrits (en rose) impactés par au moins un variant pour chaque patient chacun représentés par une barre. B : Distribution des impacts HIGH MODERATE LOW et MODIFIER en fonction des patients et du génotype du variant"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36"/>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w:t>
      </w:r>
      <w:r>
        <w:t xml:space="preserve"> </w:t>
      </w:r>
      <w:r>
        <w:rPr>
          <w:b/>
        </w:rPr>
        <w:t xml:space="preserve">A</w:t>
      </w:r>
      <w:r>
        <w:t xml:space="preserve"> </w:t>
      </w:r>
      <w:r>
        <w:t xml:space="preserve">: Quantification du nombre de gènes (en bleu) / transcrits (en rose) impactés par au moins un variant pour chaque patient chacun représentés par une barre.</w:t>
      </w:r>
      <w:r>
        <w:t xml:space="preserve"> </w:t>
      </w:r>
      <w:r>
        <w:rPr>
          <w:b/>
        </w:rPr>
        <w:t xml:space="preserve">B</w:t>
      </w:r>
      <w:r>
        <w:t xml:space="preserve"> </w:t>
      </w:r>
      <w:r>
        <w:t xml:space="preserve">: Distribution des impacts HIGH MODERATE LOW et MODIFIER en fonction des patients et du génotype du variant</w:t>
      </w:r>
    </w:p>
    <w:p>
      <w:pPr>
        <w:pStyle w:val="Heading5"/>
      </w:pPr>
      <w:bookmarkStart w:id="37" w:name="filterdescription"/>
      <w:bookmarkEnd w:id="37"/>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 être annotés nous permettant notamment d'avoir connaissance de leurs 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ajoutées mais aussi sur nos connaissances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frères (deux ou trois) présentant phénotype. Ainsi nous avons pu formuler l'hypothèse d'une cause génétique commune entre les différents patients d'une même famille et donc filtrer l'ensemble des variants qui ne sont pas partagés les deux ou trois frères atteints testés.</w:t>
      </w:r>
      <w:r>
        <w:br w:type="textWrapping"/>
      </w:r>
    </w:p>
    <w:p>
      <w:pPr>
        <w:pStyle w:val="Compact"/>
        <w:numPr>
          <w:numId w:val="1006"/>
          <w:ilvl w:val="0"/>
        </w:numPr>
      </w:pPr>
      <w:r>
        <w:rPr>
          <w:b/>
        </w:rPr>
        <w:t xml:space="preserve">Filtre 2 : Génotype des variants :</w:t>
      </w:r>
      <w:r>
        <w:t xml:space="preserve"> </w:t>
      </w:r>
      <w:r>
        <w:t xml:space="preserve">Dans ces études, nous avons émis l'hypothèse d'une transmission récessive du phénotype. Ainsi, seuls les variants homozygotes ont été conservés. (</w:t>
      </w:r>
      <w:r>
        <w:rPr>
          <w:b/>
        </w:rPr>
        <w:t xml:space="preserve">Figure :</w:t>
      </w:r>
      <w:r>
        <w:rPr>
          <w:b/>
        </w:rPr>
        <w:t xml:space="preserve"> </w:t>
      </w:r>
      <w:r>
        <w:t xml:space="preserve">3</w:t>
      </w:r>
      <w:r>
        <w:t xml:space="preserve">,</w:t>
      </w:r>
      <w:r>
        <w:t xml:space="preserve"> </w:t>
      </w:r>
      <w:r>
        <w:t xml:space="preserve">7</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délétère sur la protéine, nous avons filtré les variants intronique et ceux tombant dans les séquences UTRs. De même les variants synonymes ne sont pas conservés (exceptés ceux se trouvant proches des régions d'épissage) car ceux-ci n'ont aucun effet sur la séquence protéique. Pour les variants faux sens (changement d'un seul aa de la séquence protéique) il est plus difficile de se trancher,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prédits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(K. E. 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des transcrits annotés NMD soient responsables du phénotype. Dès lors, ces transcrits ont été également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filtrer systématiquement entre 13712 et 17992 transcrits différents par patients, soit une moyenne de 1834 variants par individus (</w:t>
      </w:r>
      <w:r>
        <w:rPr>
          <w:b/>
        </w:rPr>
        <w:t xml:space="preserve">Figure :</w:t>
      </w:r>
      <w:r>
        <w:rPr>
          <w:b/>
        </w:rPr>
        <w:t xml:space="preserve"> </w:t>
      </w:r>
      <w:r>
        <w:t xml:space="preserve">5</w:t>
      </w:r>
      <w:r>
        <w:t xml:space="preserve">).</w:t>
      </w:r>
    </w:p>
    <w:p>
      <w:pPr>
        <w:pStyle w:val="FigureWithCaption"/>
      </w:pPr>
      <w:r>
        <w:drawing>
          <wp:inline>
            <wp:extent cx="5334000" cy="2967258"/>
            <wp:effectExtent b="0" l="0" r="0" t="0"/>
            <wp:docPr descr="Figure 5 Filtrage des transcrits jugés &quot;non pertinents&quot; et des variants les chevauchant : Pour chaque patient nous avons filtrer les transcrits jugés &quot;non pertinents&quot; pour l'analyse, c'est à dire ceux ne codant pas pour une protéine et ceux annoté NMD. Dès lors, l'intégralité des variants chevauchant uniquement des transcrits non pertinents ont pu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38"/>
                    <a:stretch>
                      <a:fillRect/>
                    </a:stretch>
                  </pic:blipFill>
                  <pic:spPr bwMode="auto">
                    <a:xfrm>
                      <a:off x="0" y="0"/>
                      <a:ext cx="5334000" cy="2967258"/>
                    </a:xfrm>
                    <a:prstGeom prst="rect">
                      <a:avLst/>
                    </a:prstGeom>
                    <a:noFill/>
                    <a:ln w="9525">
                      <a:noFill/>
                      <a:headEnd/>
                      <a:tailEnd/>
                    </a:ln>
                  </pic:spPr>
                </pic:pic>
              </a:graphicData>
            </a:graphic>
          </wp:inline>
        </w:drawing>
      </w:r>
    </w:p>
    <w:p>
      <w:pPr>
        <w:pStyle w:val="ImageCaption"/>
      </w:pPr>
      <w:r>
        <w:t xml:space="preserve">Figure 5 Filtrage des transcrits jugés "non pertinents" et des variants les chevauchant : Pour chaque patient nous avons filtrer les transcrits jugés "non pertinents" pour l'analyse, c'est à dire ceux ne codant pas pour une protéine et ceux annoté NMD. Dès lors, l'intégralité des variants chevauchant uniquement des transcrits non pertinents ont pu systématiquement être filtrés (boites rouges). Les autres furent conservés (boites vertes)</w:t>
      </w:r>
    </w:p>
    <w:p>
      <w:pPr>
        <w:numPr>
          <w:numId w:val="1007"/>
          <w:ilvl w:val="0"/>
        </w:numPr>
      </w:pPr>
      <w:r>
        <w:rPr>
          <w:b/>
        </w:rPr>
        <w:t xml:space="preserve">Fréquence des variants :</w:t>
      </w:r>
      <w:r>
        <w:t xml:space="preserve"> </w:t>
      </w:r>
      <w:r>
        <w:t xml:space="preserve">La fréquence d'un variant dans la population générale est un moyen rapide d'avoir une prédiction fiable de l'effet délétère ou non de celui-ci. En effet, il est peu probable qu'un variant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p>
    <w:p>
      <w:pPr>
        <w:numPr>
          <w:numId w:val="1007"/>
          <w:ilvl w:val="0"/>
        </w:numPr>
      </w:pPr>
      <w:r>
        <w:rPr>
          <w:b/>
        </w:rPr>
        <w:t xml:space="preserve">Présence des variants dans la cohorte contrôle :</w:t>
      </w:r>
      <w:r>
        <w:t xml:space="preserve"> </w:t>
      </w:r>
      <w:r>
        <w:t xml:space="preserve">Au cours de nos différentes études, nous avons été amenés à séquencé un total de 134 individus présentant un des 6 phénotypes que nous avons étudiés (</w:t>
      </w:r>
      <w:r>
        <w:rPr>
          <w:b/>
        </w:rPr>
        <w:t xml:space="preserve">Table :</w:t>
      </w:r>
      <w:r>
        <w:rPr>
          <w:b/>
        </w:rPr>
        <w:t xml:space="preserve"> </w:t>
      </w:r>
      <w:r>
        <w:t xml:space="preserve">??</w:t>
      </w:r>
      <w:r>
        <w:t xml:space="preserve">). Ces phénotypes étant très différent, on peut émettre l'hypothèse que leurs causes génétiques soient également différentes.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 filtrer l'ensemble des variants retrouvés à la fois chez nos patients et observés à l'état homozygote dans la cohorte contrôle. Cette cohorte contrôle présente ainsi le même rôle que les bases de données publiques. Sont intérêt principale par rapport à celles-ci est que les individus qui la composent ont pour la plupart la même origine ethnico-géographique que nos patients. De plus ceux-ci ont été séquencés en même temps dans les mêmes centres permettant ainsi d'identifier les artefacts dus aux protocoles de séquençage.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quot;contrôle&quot; et intégrer cette cohorte, un individu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"contrôle" et intégrer cette cohorte, un individu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ont un pouvoir discriminant extrêmement différent. En effet, tandis que le filtre "Transcript relevance" (filtre n°4) éliminer en moyenne 3.9 % des variants de chaque individu, le filtre "Variant impact" (filtre n° 3) élimine jusqu'à 90.1 % de ces mêmes variants. Cette différence n'est pas surprenante. En effet, comme nous l'avions vu plus tôt, les variants de la catégorie VEP</w:t>
      </w:r>
      <w:r>
        <w:t xml:space="preserve"> </w:t>
      </w:r>
      <w:r>
        <w:rPr>
          <w:i/>
        </w:rPr>
        <w:t xml:space="preserve">MODIFIER</w:t>
      </w:r>
      <w:r>
        <w:t xml:space="preserve"> </w:t>
      </w:r>
      <w:r>
        <w:t xml:space="preserve">qui regroupe entre autres les variants chevauchant les séquences UTRs et introniques (</w:t>
      </w:r>
      <w:r>
        <w:rPr>
          <w:b/>
        </w:rPr>
        <w:t xml:space="preserve">Table :</w:t>
      </w:r>
      <w:r>
        <w:t xml:space="preserve"> </w:t>
      </w:r>
      <w:r>
        <w:t xml:space="preserve">1</w:t>
      </w:r>
      <w:r>
        <w:t xml:space="preserve">) représentent en moyenne 88% des variants de nos patients.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7</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uns des autres. Ainsi, un même variant peut donc être filtré par plusieurs filtres.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stringence reste quasiment identique. Il est tout de même intéressant de noter que désormais le filtre "Variant impact" apparait moins efficace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filtrent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 peut-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0"/>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 peut-être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appliqué l'ensemble de ces filtres, seuls quelques variants subsistent nous permettant d'obtenir une liste de gènes restreinte pour chaque famille et ainsi de tirer des conclusions quant au variant responsable du phénotype de chacune d'entre elles (</w:t>
      </w:r>
      <w:r>
        <w:rPr>
          <w:b/>
        </w:rPr>
        <w:t xml:space="preserve">Table :</w:t>
      </w:r>
      <w:r>
        <w:rPr>
          <w:b/>
        </w:rPr>
        <w:t xml:space="preserve"> </w:t>
      </w:r>
      <w:r>
        <w:t xml:space="preserve">??</w:t>
      </w:r>
      <w:r>
        <w:t xml:space="preserve">).</w:t>
      </w:r>
    </w:p>
    <w:p>
      <w:pPr>
        <w:pStyle w:val="Compact"/>
        <w:numPr>
          <w:numId w:val="1008"/>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w:t>
      </w:r>
      <w:r>
        <w:rPr>
          <w:b/>
        </w:rPr>
        <w:t xml:space="preserve">Figure :</w:t>
      </w:r>
      <w:r>
        <w:rPr>
          <w:b/>
        </w:rPr>
        <w:t xml:space="preserve"> </w:t>
      </w:r>
      <w:r>
        <w:t xml:space="preserve">8</w:t>
      </w:r>
      <w:r>
        <w:t xml:space="preserve">). De plus, des mutations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(B. Lee et al.,</w:t>
      </w:r>
      <w:r>
        <w:t xml:space="preserve"> </w:t>
      </w:r>
      <w:hyperlink w:anchor="ref-Lee2011">
        <w:r>
          <w:rPr>
            <w:rStyle w:val="Hyperlink"/>
          </w:rPr>
          <w:t xml:space="preserve">2011</w:t>
        </w:r>
      </w:hyperlink>
      <w:r>
        <w:t xml:space="preserve">)</w:t>
      </w:r>
      <w:r>
        <w:t xml:space="preserve">.</w:t>
      </w:r>
    </w:p>
    <w:p>
      <w:pPr>
        <w:pStyle w:val="FigureWithCaption"/>
      </w:pPr>
      <w:r>
        <w:drawing>
          <wp:inline>
            <wp:extent cx="4620126" cy="3696101"/>
            <wp:effectExtent b="0" l="0" r="0" t="0"/>
            <wp:docPr descr="Figure 8 Expression tissulaire des gènes SPINK2 et GUF1 : Données provenant du projet de transcriptome Illumina bodyMap" id="1" name="Picture"/>
            <a:graphic>
              <a:graphicData uri="http://schemas.openxmlformats.org/drawingml/2006/picture">
                <pic:pic>
                  <pic:nvPicPr>
                    <pic:cNvPr descr="thesis_files/figure-docx/plotexpspink2guf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Expression tissulaire des gènes</w:t>
      </w:r>
      <w:r>
        <w:t xml:space="preserve"> </w:t>
      </w:r>
      <w:r>
        <w:rPr>
          <w:i/>
        </w:rPr>
        <w:t xml:space="preserve">SPINK2</w:t>
      </w:r>
      <w:r>
        <w:t xml:space="preserve"> </w:t>
      </w:r>
      <w:r>
        <w:t xml:space="preserve">et</w:t>
      </w:r>
      <w:r>
        <w:t xml:space="preserve"> </w:t>
      </w:r>
      <w:r>
        <w:rPr>
          <w:i/>
        </w:rPr>
        <w:t xml:space="preserve">GUF1</w:t>
      </w:r>
      <w:r>
        <w:t xml:space="preserve"> </w:t>
      </w:r>
      <w:r>
        <w:t xml:space="preserve">: Données provenant du projet de transcriptome Illumina bodyMap</w:t>
      </w:r>
    </w:p>
    <w:p>
      <w:pPr>
        <w:pStyle w:val="Compact"/>
        <w:numPr>
          <w:numId w:val="1009"/>
          <w:ilvl w:val="0"/>
        </w:numPr>
      </w:pPr>
      <w:r>
        <w:rPr>
          <w:b/>
        </w:rPr>
        <w:t xml:space="preserve">Famille FF</w:t>
      </w:r>
      <w:r>
        <w:t xml:space="preserve"> </w:t>
      </w:r>
      <w:r>
        <w:t xml:space="preserve">: Pour cette famille, seul le gène</w:t>
      </w:r>
      <w:r>
        <w:t xml:space="preserve"> </w:t>
      </w:r>
      <w:r>
        <w:rPr>
          <w:i/>
        </w:rPr>
        <w:t xml:space="preserve">PLC</w:t>
      </w:r>
      <m:oMath>
        <m:r>
          <m:t>ζ</m:t>
        </m:r>
        <m:r>
          <m:t>1</m:t>
        </m:r>
      </m:oMath>
      <w:r>
        <w:t xml:space="preserve"> </w:t>
      </w:r>
      <w:r>
        <w:t xml:space="preserve">a passé l'ensemble des filtres. Nos connaissances sur la fonction de se gène et notamment son rôle dans l'activation ovocytaire</w:t>
      </w:r>
      <w:r>
        <w:t xml:space="preserve"> </w:t>
      </w:r>
      <w:r>
        <w:t xml:space="preserve">(Amdani, Jones, &amp; Coward,</w:t>
      </w:r>
      <w:r>
        <w:t xml:space="preserve"> </w:t>
      </w:r>
      <w:hyperlink w:anchor="ref-Amdani2013">
        <w:r>
          <w:rPr>
            <w:rStyle w:val="Hyperlink"/>
          </w:rPr>
          <w:t xml:space="preserve">2013</w:t>
        </w:r>
      </w:hyperlink>
      <w:r>
        <w:t xml:space="preserve">)</w:t>
      </w:r>
      <w:r>
        <w:t xml:space="preserve"> </w:t>
      </w:r>
      <w:r>
        <w:t xml:space="preserve">ainsi que sa forte expression testiculaire ont fait de ce gène le candidat idéal pour expliquer le phénotype d'échec de fécondation de ces deux frères (</w:t>
      </w:r>
      <w:r>
        <w:rPr>
          <w:b/>
        </w:rPr>
        <w:t xml:space="preserve">Figure :</w:t>
      </w:r>
      <w:r>
        <w:rPr>
          <w:b/>
        </w:rPr>
        <w:t xml:space="preserve"> </w:t>
      </w:r>
      <w:r>
        <w:t xml:space="preserve">9</w:t>
      </w:r>
      <w:r>
        <w:t xml:space="preserve">).</w:t>
      </w:r>
    </w:p>
    <w:p>
      <w:pPr>
        <w:pStyle w:val="FigureWithCaption"/>
      </w:pPr>
      <w:r>
        <w:drawing>
          <wp:inline>
            <wp:extent cx="4620126" cy="3696101"/>
            <wp:effectExtent b="0" l="0" r="0" t="0"/>
            <wp:docPr descr="Figure 9 Expression tissulaire du gène PLCZ1 : D'après les données du Illumina BodyMap" id="1" name="Picture"/>
            <a:graphic>
              <a:graphicData uri="http://schemas.openxmlformats.org/drawingml/2006/picture">
                <pic:pic>
                  <pic:nvPicPr>
                    <pic:cNvPr descr="thesis_files/figure-docx/plotexpplcz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Expression tissulaire du gène</w:t>
      </w:r>
      <w:r>
        <w:t xml:space="preserve"> </w:t>
      </w:r>
      <w:r>
        <w:rPr>
          <w:i/>
        </w:rPr>
        <w:t xml:space="preserve">PLCZ1</w:t>
      </w:r>
      <w:r>
        <w:t xml:space="preserve"> </w:t>
      </w:r>
      <w:r>
        <w:t xml:space="preserve">: D'après les données du Illumina BodyMap</w:t>
      </w:r>
    </w:p>
    <w:p>
      <w:pPr>
        <w:pStyle w:val="Compact"/>
        <w:numPr>
          <w:numId w:val="1010"/>
          <w:ilvl w:val="0"/>
        </w:numPr>
      </w:pPr>
      <w:r>
        <w:rPr>
          <w:b/>
        </w:rPr>
        <w:t xml:space="preserve">Famille MMAF1</w:t>
      </w:r>
      <w:r>
        <w:t xml:space="preserve"> </w:t>
      </w:r>
      <w:r>
        <w:t xml:space="preserve">: L'analyse bibliographique des 1 gènes ayant passé l'ensemble des filtres n'a pas pu nous permettre de d'affirmer que l'un de ces gènes étaient responsable du phénotype MMAF de ces 2 frères.</w:t>
      </w:r>
      <w:r>
        <w:br w:type="textWrapping"/>
      </w:r>
    </w:p>
    <w:p>
      <w:pPr>
        <w:pStyle w:val="Compact"/>
        <w:numPr>
          <w:numId w:val="1010"/>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établit le lien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10"/>
          <w:ilvl w:val="0"/>
        </w:numPr>
      </w:pPr>
      <w:r>
        <w:rPr>
          <w:b/>
        </w:rPr>
        <w:t xml:space="preserve">Famille MMAF3</w:t>
      </w:r>
      <w:r>
        <w:t xml:space="preserve"> </w:t>
      </w:r>
      <w:r>
        <w:t xml:space="preserve">: Comme pour les gènes de la famille MMAF2, l'analyse bibliographique des 4 gènes ayant ici passé les filtres de même que l'étude de leurs expressions ne nous a pas permis de conclure que l'un d'entre eux étaient responsable du phénotype MMAF de ces 2 frères.</w:t>
      </w:r>
      <w:r>
        <w:t xml:space="preserve"> </w:t>
      </w:r>
    </w:p>
    <w:p>
      <w:pPr>
        <w:pStyle w:val="FigureWithCaption"/>
      </w:pPr>
      <w:r>
        <w:drawing>
          <wp:inline>
            <wp:extent cx="4620126" cy="3696101"/>
            <wp:effectExtent b="0" l="0" r="0" t="0"/>
            <wp:docPr descr="Figure 10 Expression tissulaire des gènes retenus pour la famille MMAF3 : Données provenant du projet de transcriptome Illumina bodyMap" id="1" name="Picture"/>
            <a:graphic>
              <a:graphicData uri="http://schemas.openxmlformats.org/drawingml/2006/picture">
                <pic:pic>
                  <pic:nvPicPr>
                    <pic:cNvPr descr="thesis_files/figure-docx/plotexpmmaf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Expression tissulaire des gènes retenus pour la famille MMAF3 : Données provenant du projet de transcriptome Illumina bodyMap</w:t>
      </w:r>
    </w:p>
    <w:p>
      <w:pPr>
        <w:pStyle w:val="Compact"/>
        <w:numPr>
          <w:numId w:val="1011"/>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 idéal. Cependant une étude de 2011 effectuée sur le wallaby décrit que la protéine TGIF2 est localisée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pourraient corréler avec le phénotype MMAF de ces 3 frères bien que l'expression de ce gène soit ubiquitaire (</w:t>
      </w:r>
      <w:r>
        <w:rPr>
          <w:b/>
        </w:rPr>
        <w:t xml:space="preserve">Figure :</w:t>
      </w:r>
      <w:r>
        <w:rPr>
          <w:b/>
        </w:rPr>
        <w:t xml:space="preserve"> </w:t>
      </w:r>
      <w:r>
        <w:t xml:space="preserve">11</w:t>
      </w:r>
      <w:r>
        <w:t xml:space="preserve">).</w:t>
      </w:r>
    </w:p>
    <w:p>
      <w:pPr>
        <w:pStyle w:val="FigureWithCaption"/>
      </w:pPr>
      <w:r>
        <w:drawing>
          <wp:inline>
            <wp:extent cx="4620126" cy="6930189"/>
            <wp:effectExtent b="0" l="0" r="0" t="0"/>
            <wp:docPr descr="Figure 11 Expression tissulaire du gène TGIF2 : D'après les données du Illumina BodyMap" id="1" name="Picture"/>
            <a:graphic>
              <a:graphicData uri="http://schemas.openxmlformats.org/drawingml/2006/picture">
                <pic:pic>
                  <pic:nvPicPr>
                    <pic:cNvPr descr="thesis_files/figure-docx/plotexptgif2-1.png" id="0" name="Picture"/>
                    <pic:cNvPicPr>
                      <a:picLocks noChangeArrowheads="1" noChangeAspect="1"/>
                    </pic:cNvPicPr>
                  </pic:nvPicPr>
                  <pic:blipFill>
                    <a:blip r:embed="rId44"/>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11 Expression tissulaire du gène</w:t>
      </w:r>
      <w:r>
        <w:t xml:space="preserve"> </w:t>
      </w:r>
      <w:r>
        <w:rPr>
          <w:i/>
        </w:rPr>
        <w:t xml:space="preserve">TGIF2</w:t>
      </w:r>
      <w:r>
        <w:t xml:space="preserve"> </w:t>
      </w:r>
      <w:r>
        <w:t xml:space="preserve">: D'après les données du Illumina BodyMap</w:t>
      </w:r>
    </w:p>
    <w:p>
      <w:pPr>
        <w:pStyle w:val="Heading4"/>
      </w:pPr>
      <w:bookmarkStart w:id="45" w:name="discussion"/>
      <w:bookmarkEnd w:id="45"/>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12</w:t>
      </w:r>
      <w:r>
        <w:t xml:space="preserve">) et les résultats publiés dans trois revus dont je suis co-auteur :</w:t>
      </w:r>
    </w:p>
    <w:p>
      <w:pPr>
        <w:pStyle w:val="Compact"/>
        <w:numPr>
          <w:numId w:val="1012"/>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effectué non seulement l'intégralité des analyses bioinformatiques des données d'exomes de deux frères infertiles présentant un phénotype d'azoospermie mais j'ai aussi séquencé en Sanger les séquences codantes du gène</w:t>
      </w:r>
      <w:r>
        <w:t xml:space="preserve"> </w:t>
      </w:r>
      <w:r>
        <w:rPr>
          <w:i/>
        </w:rPr>
        <w:t xml:space="preserve">SPINK2</w:t>
      </w:r>
      <w:r>
        <w:t xml:space="preserve"> </w:t>
      </w:r>
      <w:r>
        <w:t xml:space="preserve">pour une partie des 611 individus analysés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12"/>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effectuées sur deux frères infertiles présentant des échecs de fécondation.</w:t>
      </w:r>
      <w:r>
        <w:br w:type="textWrapping"/>
      </w:r>
    </w:p>
    <w:p>
      <w:pPr>
        <w:pStyle w:val="Compact"/>
        <w:numPr>
          <w:numId w:val="1012"/>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effectuées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12</w:t>
      </w:r>
      <w:r>
        <w:t xml:space="preserve">).</w:t>
      </w:r>
    </w:p>
    <w:p>
      <w:pPr>
        <w:pStyle w:val="BodyText"/>
      </w:pPr>
      <w:r>
        <w:t xml:space="preserve">TODO : Il faut aller plus loin dans l'analyse et les arguments pour convaincre qu'il s'agit d'un bon candidat : quel type de mutation, ce gène est-il bien conservé, son expression n'est pas spécifique au testicule et ce gène serait impliqué dans un phénotype d'holoproencephaly...</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chaque fois apparentés. En revanche rien ne laisse supposer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variants responsables de leur phénotype aient été filtrés pour au moins 2 de ces familles.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FigureWithCaption"/>
      </w:pPr>
      <w:r>
        <w:drawing>
          <wp:inline>
            <wp:extent cx="4620126" cy="3696101"/>
            <wp:effectExtent b="0" l="0" r="0" t="0"/>
            <wp:docPr descr="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quot;?&quot;). Les barres rouges indiquent qu'aucun des gènes ayant passé les filtres pour ne semble expliquer le phénotype (dans ce cas il est écrit &quot;???&quot; au-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 Les barres rouges indiquent qu'aucun des gènes ayant passé les filtres pour ne semble expliquer le phénotype (dans ce cas il est écrit "???" au-dessus de la barre)</w:t>
      </w:r>
    </w:p>
    <w:p>
      <w:pPr>
        <w:pStyle w:val="Heading3"/>
      </w:pPr>
      <w:bookmarkStart w:id="47" w:name="cohortemmah"/>
      <w:bookmarkEnd w:id="47"/>
      <w:r>
        <w:t xml:space="preserve">Etude d’une large cohorte de patients MMAF</w:t>
      </w:r>
    </w:p>
    <w:p>
      <w:pPr>
        <w:pStyle w:val="Heading4"/>
      </w:pPr>
      <w:bookmarkStart w:id="48" w:name="description-de-la-cohorte"/>
      <w:bookmarkEnd w:id="48"/>
      <w:r>
        <w:t xml:space="preserve">Description de la cohorte</w:t>
      </w:r>
    </w:p>
    <w:p>
      <w:pPr>
        <w:pStyle w:val="FirstParagraph"/>
      </w:pPr>
      <w:r>
        <w:t xml:space="preserve">Après avoir mis en évidence l'implication du gène</w:t>
      </w:r>
      <w:r>
        <w:t xml:space="preserve"> </w:t>
      </w:r>
      <w:r>
        <w:rPr>
          <w:i/>
        </w:rPr>
        <w:t xml:space="preserve">DNAH1</w:t>
      </w:r>
      <w:r>
        <w:t xml:space="preserve"> </w:t>
      </w:r>
      <w:r>
        <w:t xml:space="preserve">dans le phénotype MMAF notre équipe s'est en partie spécialisé dans la caractérisation ce syndrome. Ainsi, entre 2012 et 2015, notre équipe a effectué le séquençage de 62 individus présentant tous ce phénotype afin d'en établir la cause génétique. Ces séquençages ont été effectué dans 3 centres différents que sont Genoscope, MountSinai et Strasbourg et sur une seule plateforme de séquençage, le Illumina HiSeq2000.</w:t>
      </w:r>
    </w:p>
    <w:p>
      <w:pPr>
        <w:pStyle w:val="TableCaption"/>
      </w:pPr>
      <w:r>
        <w:t xml:space="preserve">Table 2 Liste des différents projets de séquençages effectués</w:t>
      </w:r>
    </w:p>
    <w:tbl>
      <w:tblPr>
        <w:tblStyle w:val="TableNormal"/>
        <w:tblW w:type="pct" w:w="0.0"/>
        <w:tblLook w:firstRow="1"/>
        <w:tblCaption w:val="Table 2 Liste des différents projets de séquençages effectués"/>
      </w:tblPr>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right"/>
            </w:pPr>
            <w:r>
              <w:t xml:space="preserve">Nb of individuals</w:t>
            </w:r>
          </w:p>
        </w:tc>
      </w:tr>
      <w:tr>
        <w:tc>
          <w:p>
            <w:pPr>
              <w:pStyle w:val="Compact"/>
              <w:jc w:val="left"/>
            </w:pPr>
            <w:r>
              <w:t xml:space="preserve">MountSinai</w:t>
            </w:r>
          </w:p>
        </w:tc>
        <w:tc>
          <w:p>
            <w:pPr>
              <w:pStyle w:val="Compact"/>
              <w:jc w:val="right"/>
            </w:pPr>
            <w:r>
              <w:t xml:space="preserve">2012</w:t>
            </w:r>
          </w:p>
        </w:tc>
        <w:tc>
          <w:p>
            <w:pPr>
              <w:pStyle w:val="Compact"/>
              <w:jc w:val="left"/>
            </w:pPr>
            <w:r>
              <w:t xml:space="preserve">Illumina Hiseq2000</w:t>
            </w:r>
          </w:p>
        </w:tc>
        <w:tc>
          <w:p>
            <w:pPr>
              <w:pStyle w:val="Compact"/>
              <w:jc w:val="right"/>
            </w:pPr>
            <w:r>
              <w:t xml:space="preserve">2</w:t>
            </w:r>
          </w:p>
        </w:tc>
      </w:tr>
      <w:tr>
        <w:tc>
          <w:p>
            <w:pPr>
              <w:pStyle w:val="Compact"/>
              <w:jc w:val="left"/>
            </w:pPr>
            <w:r>
              <w:t xml:space="preserve">Strasbourg</w:t>
            </w:r>
          </w:p>
        </w:tc>
        <w:tc>
          <w:p>
            <w:pPr>
              <w:pStyle w:val="Compact"/>
              <w:jc w:val="right"/>
            </w:pPr>
            <w:r>
              <w:t xml:space="preserve">2012</w:t>
            </w:r>
          </w:p>
        </w:tc>
        <w:tc>
          <w:p>
            <w:pPr>
              <w:pStyle w:val="Compact"/>
              <w:jc w:val="left"/>
            </w:pPr>
            <w:r>
              <w:t xml:space="preserve">Illumina Hiseq2000</w:t>
            </w:r>
          </w:p>
        </w:tc>
        <w:tc>
          <w:p>
            <w:pPr>
              <w:pStyle w:val="Compact"/>
              <w:jc w:val="right"/>
            </w:pPr>
            <w:r>
              <w:t xml:space="preserve">13</w:t>
            </w:r>
          </w:p>
        </w:tc>
      </w:tr>
      <w:tr>
        <w:tc>
          <w:p>
            <w:pPr>
              <w:pStyle w:val="Compact"/>
              <w:jc w:val="left"/>
            </w:pPr>
            <w:r>
              <w:t xml:space="preserve">Genoscope</w:t>
            </w:r>
          </w:p>
        </w:tc>
        <w:tc>
          <w:p>
            <w:pPr>
              <w:pStyle w:val="Compact"/>
              <w:jc w:val="right"/>
            </w:pPr>
            <w:r>
              <w:t xml:space="preserve">2013</w:t>
            </w:r>
          </w:p>
        </w:tc>
        <w:tc>
          <w:p>
            <w:pPr>
              <w:pStyle w:val="Compact"/>
              <w:jc w:val="left"/>
            </w:pPr>
            <w:r>
              <w:t xml:space="preserve">Illumina Hiseq2000</w:t>
            </w:r>
          </w:p>
        </w:tc>
        <w:tc>
          <w:p>
            <w:pPr>
              <w:pStyle w:val="Compact"/>
              <w:jc w:val="right"/>
            </w:pPr>
            <w:r>
              <w:t xml:space="preserve">13</w:t>
            </w:r>
          </w:p>
        </w:tc>
      </w:tr>
      <w:tr>
        <w:tc>
          <w:p>
            <w:pPr>
              <w:pStyle w:val="Compact"/>
              <w:jc w:val="left"/>
            </w:pPr>
            <w:r>
              <w:t xml:space="preserve">Genoscope</w:t>
            </w:r>
          </w:p>
        </w:tc>
        <w:tc>
          <w:p>
            <w:pPr>
              <w:pStyle w:val="Compact"/>
              <w:jc w:val="right"/>
            </w:pPr>
            <w:r>
              <w:t xml:space="preserve">2014</w:t>
            </w:r>
          </w:p>
        </w:tc>
        <w:tc>
          <w:p>
            <w:pPr>
              <w:pStyle w:val="Compact"/>
              <w:jc w:val="left"/>
            </w:pPr>
            <w:r>
              <w:t xml:space="preserve">Illumina Hiseq2000</w:t>
            </w:r>
          </w:p>
        </w:tc>
        <w:tc>
          <w:p>
            <w:pPr>
              <w:pStyle w:val="Compact"/>
              <w:jc w:val="right"/>
            </w:pPr>
            <w:r>
              <w:t xml:space="preserve">31</w:t>
            </w:r>
          </w:p>
        </w:tc>
      </w:tr>
      <w:tr>
        <w:tc>
          <w:p>
            <w:pPr>
              <w:pStyle w:val="Compact"/>
              <w:jc w:val="left"/>
            </w:pPr>
            <w:r>
              <w:t xml:space="preserve">Genoscope</w:t>
            </w:r>
          </w:p>
        </w:tc>
        <w:tc>
          <w:p>
            <w:pPr>
              <w:pStyle w:val="Compact"/>
              <w:jc w:val="right"/>
            </w:pPr>
            <w:r>
              <w:t xml:space="preserve">2015</w:t>
            </w:r>
          </w:p>
        </w:tc>
        <w:tc>
          <w:p>
            <w:pPr>
              <w:pStyle w:val="Compact"/>
              <w:jc w:val="left"/>
            </w:pPr>
            <w:r>
              <w:t xml:space="preserve">Illumina Hiseq2000</w:t>
            </w:r>
          </w:p>
        </w:tc>
        <w:tc>
          <w:p>
            <w:pPr>
              <w:pStyle w:val="Compact"/>
              <w:jc w:val="right"/>
            </w:pPr>
            <w:r>
              <w:t xml:space="preserve">6</w:t>
            </w:r>
          </w:p>
        </w:tc>
      </w:tr>
    </w:tbl>
    <w:p>
      <w:pPr>
        <w:pStyle w:val="Heading4"/>
      </w:pPr>
      <w:bookmarkStart w:id="49" w:name="application-de-la-pipeline---resultats"/>
      <w:bookmarkEnd w:id="49"/>
      <w:r>
        <w:t xml:space="preserve">Application de la pipeline - Résultats</w:t>
      </w:r>
    </w:p>
    <w:p>
      <w:pPr>
        <w:pStyle w:val="FirstParagraph"/>
      </w:pPr>
      <w:r>
        <w:t xml:space="preserve">Après avoir appelé les variants de nos 62 patients, nous avons obtenu un total de 4484558 variants différents comprenant 4160274 SNVs et 324284 indels. Ces variants étant répartit entre chaque patient qui portaient environs chacun 81618 SNV et 5148 indels dont 42.8 % étaient homozygote. Comme on peut le voir, la proportion de chaque appel est relativement homogène lorsque l'on compare les patients ayant été séquencés dans le même centre la même année. Cependant, il est possible de noter de grandes disparités lorsque l'on compare les données provenant de différents centres ou bien du même centre avec plusieurs années de différences. Ces écarts peuvent-être causés par plusieurs facteur, tel que les différents kits de capture d'exons qui on put être utilisés puisque ... (</w:t>
      </w:r>
      <w:r>
        <w:rPr>
          <w:b/>
        </w:rPr>
        <w:t xml:space="preserve">todo lister les différents kits de capture dans une table</w:t>
      </w:r>
      <w:r>
        <w:t xml:space="preserve">) en revanche nous pouvons écarter un effet dus à la plateforme de séquençage ou encore le modèle de séquenceur puisque tous ces projets ont été réalisés sur des Illumina HiSeq2000 (</w:t>
      </w:r>
      <w:r>
        <w:rPr>
          <w:b/>
        </w:rPr>
        <w:t xml:space="preserve">Table :</w:t>
      </w:r>
      <w:r>
        <w:rPr>
          <w:b/>
        </w:rPr>
        <w:t xml:space="preserve"> </w:t>
      </w:r>
      <w:r>
        <w:t xml:space="preserve">2</w:t>
      </w:r>
      <w:r>
        <w:t xml:space="preserve">) (</w:t>
      </w:r>
      <w:r>
        <w:rPr>
          <w:b/>
        </w:rPr>
        <w:t xml:space="preserve">Figure :</w:t>
      </w:r>
      <w:r>
        <w:rPr>
          <w:b/>
        </w:rPr>
        <w:t xml:space="preserve"> </w:t>
      </w:r>
      <w:r>
        <w:t xml:space="preserve">13</w:t>
      </w:r>
      <w:r>
        <w:t xml:space="preserve"> </w:t>
      </w:r>
      <w:r>
        <w:t xml:space="preserve">-</w:t>
      </w:r>
      <w:r>
        <w:t xml:space="preserve"> </w:t>
      </w:r>
      <w:r>
        <w:rPr>
          <w:b/>
        </w:rPr>
        <w:t xml:space="preserve">A</w:t>
      </w:r>
      <w:r>
        <w:t xml:space="preserve">).</w:t>
      </w:r>
    </w:p>
    <w:p>
      <w:pPr>
        <w:pStyle w:val="BodyText"/>
      </w:pPr>
      <w:r>
        <w:t xml:space="preserve">Le même constat peut être effectué lorsque l'on compare la qualité des appels puisque plus les projets de séquençage s'avèrent être récent, plus la proportion d'appel</w:t>
      </w:r>
      <w:r>
        <w:t xml:space="preserve"> </w:t>
      </w:r>
      <w:r>
        <w:rPr>
          <w:i/>
        </w:rPr>
        <w:t xml:space="preserve">Single Strand</w:t>
      </w:r>
      <w:r>
        <w:t xml:space="preserve"> </w:t>
      </w:r>
      <w:r>
        <w:t xml:space="preserve">s'avère être faible tandis que la proportion d'appel</w:t>
      </w:r>
      <w:r>
        <w:t xml:space="preserve"> </w:t>
      </w:r>
      <w:r>
        <w:rPr>
          <w:i/>
        </w:rPr>
        <w:t xml:space="preserve">Double Strand</w:t>
      </w:r>
      <w:r>
        <w:t xml:space="preserve"> </w:t>
      </w:r>
      <w:r>
        <w:t xml:space="preserve">(DS) est élevée. Ceci est une bonne chose, car, bien que ces deux appels soient conservés dans les analyses ultérieures, les appels DS sont de meilleure qualité que les appels SS. Cette augmentation des appels DS au cours du temps pourrait s'expliquer par une amélioration des protocoles de séquençage ainsi que des kits de capture. En revanche cela est à pondérer avec le taux croissant d'appels</w:t>
      </w:r>
      <w:r>
        <w:t xml:space="preserve"> </w:t>
      </w:r>
      <w:r>
        <w:rPr>
          <w:i/>
        </w:rPr>
        <w:t xml:space="preserve">No-strand</w:t>
      </w:r>
      <w:r>
        <w:t xml:space="preserve"> </w:t>
      </w:r>
      <w:r>
        <w:t xml:space="preserve">(NS) au fur et à mesure des années pour atteindre environs 21.3 % en 2015 avec un projet réalisé au Génoscope. Ces derniers appels étant systématiquement filtrés, ils n'altèreront en rien les résultats obtenus en aval hormis le fait qu'ils réduisent la quantité des données utilisées (</w:t>
      </w:r>
      <w:r>
        <w:rPr>
          <w:b/>
        </w:rPr>
        <w:t xml:space="preserve">Figure :</w:t>
      </w:r>
      <w:r>
        <w:rPr>
          <w:b/>
        </w:rPr>
        <w:t xml:space="preserve"> </w:t>
      </w:r>
      <w:r>
        <w:t xml:space="preserve">13</w:t>
      </w:r>
      <w:r>
        <w:t xml:space="preserve"> </w:t>
      </w:r>
      <w:r>
        <w:t xml:space="preserve">-</w:t>
      </w:r>
      <w:r>
        <w:t xml:space="preserve"> </w:t>
      </w:r>
      <w:r>
        <w:rPr>
          <w:b/>
        </w:rPr>
        <w:t xml:space="preserve">B</w:t>
      </w:r>
      <w:r>
        <w:t xml:space="preserve"> </w:t>
      </w:r>
      <w:r>
        <w:t xml:space="preserve">et</w:t>
      </w:r>
      <w:r>
        <w:t xml:space="preserve"> </w:t>
      </w:r>
      <w:r>
        <w:rPr>
          <w:b/>
        </w:rPr>
        <w:t xml:space="preserve">C</w:t>
      </w:r>
      <w:r>
        <w:t xml:space="preserve">).</w:t>
      </w:r>
    </w:p>
    <w:p>
      <w:pPr>
        <w:pStyle w:val="FigureWithCaption"/>
      </w:pPr>
      <w:r>
        <w:drawing>
          <wp:inline>
            <wp:extent cx="4620126" cy="7016816"/>
            <wp:effectExtent b="0" l="0" r="0" t="0"/>
            <wp:docPr descr="Figure 13 Résultats de l'appel des variants par individus et par projet de séquençage : Chaque couleur définit un projet de séquençage caractérisé par un centre de séquençage et une année. A : Quantification pour chaque individus (représentés par les barres) du nombre de variants (SNVs et Indels) appelés homozygotes et hétérozygotes. B : Quantification des appels Double Strand (DS), Single Strand (SS) et No strand (NS) pour chaque projet de séquençage. C : Même chose en pourcentage" id="1" name="Picture"/>
            <a:graphic>
              <a:graphicData uri="http://schemas.openxmlformats.org/drawingml/2006/picture">
                <pic:pic>
                  <pic:nvPicPr>
                    <pic:cNvPr descr="thesis_files/figure-docx/plotbigmmafcall-1.png" id="0" name="Picture"/>
                    <pic:cNvPicPr>
                      <a:picLocks noChangeArrowheads="1" noChangeAspect="1"/>
                    </pic:cNvPicPr>
                  </pic:nvPicPr>
                  <pic:blipFill>
                    <a:blip r:embed="rId50"/>
                    <a:stretch>
                      <a:fillRect/>
                    </a:stretch>
                  </pic:blipFill>
                  <pic:spPr bwMode="auto">
                    <a:xfrm>
                      <a:off x="0" y="0"/>
                      <a:ext cx="4620126" cy="7016816"/>
                    </a:xfrm>
                    <a:prstGeom prst="rect">
                      <a:avLst/>
                    </a:prstGeom>
                    <a:noFill/>
                    <a:ln w="9525">
                      <a:noFill/>
                      <a:headEnd/>
                      <a:tailEnd/>
                    </a:ln>
                  </pic:spPr>
                </pic:pic>
              </a:graphicData>
            </a:graphic>
          </wp:inline>
        </w:drawing>
      </w:r>
    </w:p>
    <w:p>
      <w:pPr>
        <w:pStyle w:val="ImageCaption"/>
      </w:pPr>
      <w:r>
        <w:t xml:space="preserve">Figure 13 Résultats de l'appel des variants par individus et par projet de séquençage : Chaque couleur définit un projet de séquençage caractérisé par un centre de séquençage et une année.</w:t>
      </w:r>
      <w:r>
        <w:t xml:space="preserve"> </w:t>
      </w:r>
      <w:r>
        <w:rPr>
          <w:b/>
        </w:rPr>
        <w:t xml:space="preserve">A</w:t>
      </w:r>
      <w:r>
        <w:t xml:space="preserve"> </w:t>
      </w:r>
      <w:r>
        <w:t xml:space="preserve">: Quantification pour chaque individus (représentés par les barres) du nombre de variants (SNVs et Indels) appelés homozygotes et hétérozygotes.</w:t>
      </w:r>
      <w:r>
        <w:t xml:space="preserve"> </w:t>
      </w:r>
      <w:r>
        <w:rPr>
          <w:b/>
        </w:rPr>
        <w:t xml:space="preserve">B</w:t>
      </w:r>
      <w:r>
        <w:t xml:space="preserve"> </w:t>
      </w:r>
      <w:r>
        <w:t xml:space="preserve">: Quantification des appels</w:t>
      </w:r>
      <w:r>
        <w:t xml:space="preserve"> </w:t>
      </w:r>
      <w:r>
        <w:rPr>
          <w:i/>
        </w:rPr>
        <w:t xml:space="preserve">Double Strand</w:t>
      </w:r>
      <w:r>
        <w:t xml:space="preserve"> </w:t>
      </w:r>
      <w:r>
        <w:t xml:space="preserve">(DS),</w:t>
      </w:r>
      <w:r>
        <w:t xml:space="preserve"> </w:t>
      </w:r>
      <w:r>
        <w:rPr>
          <w:i/>
        </w:rPr>
        <w:t xml:space="preserve">Single Strand</w:t>
      </w:r>
      <w:r>
        <w:t xml:space="preserve"> </w:t>
      </w:r>
      <w:r>
        <w:t xml:space="preserve">(SS) et</w:t>
      </w:r>
      <w:r>
        <w:t xml:space="preserve"> </w:t>
      </w:r>
      <w:r>
        <w:rPr>
          <w:i/>
        </w:rPr>
        <w:t xml:space="preserve">No strand</w:t>
      </w:r>
      <w:r>
        <w:t xml:space="preserve"> </w:t>
      </w:r>
      <w:r>
        <w:t xml:space="preserve">(NS) pour chaque projet de séquençage.</w:t>
      </w:r>
      <w:r>
        <w:t xml:space="preserve"> </w:t>
      </w:r>
      <w:r>
        <w:rPr>
          <w:b/>
        </w:rPr>
        <w:t xml:space="preserve">C</w:t>
      </w:r>
      <w:r>
        <w:t xml:space="preserve"> </w:t>
      </w:r>
      <w:r>
        <w:t xml:space="preserve">: Même chose en pourcentage</w:t>
      </w:r>
    </w:p>
    <w:p>
      <w:pPr>
        <w:pStyle w:val="Heading4"/>
      </w:pPr>
      <w:bookmarkStart w:id="51" w:name="analyse-des-listes-de-genes"/>
      <w:bookmarkEnd w:id="51"/>
      <w:r>
        <w:t xml:space="preserve">Analyse des listes de gènes</w:t>
      </w:r>
    </w:p>
    <w:p>
      <w:pPr>
        <w:pStyle w:val="FirstParagraph"/>
      </w:pPr>
      <w:r>
        <w:t xml:space="preserve">Après avoir appliqué les mêmes filtres que ceux décrit précédemment à l'exception du filtre n°1</w:t>
      </w:r>
      <w:r>
        <w:t xml:space="preserve"> </w:t>
      </w:r>
      <w:hyperlink w:anchor="filterdescription">
        <w:r>
          <w:rPr>
            <w:rStyle w:val="Hyperlink"/>
          </w:rPr>
          <w:t xml:space="preserve">"Union"</w:t>
        </w:r>
      </w:hyperlink>
      <w:r>
        <w:t xml:space="preserve"> </w:t>
      </w:r>
      <w:r>
        <w:t xml:space="preserve">puisqu'ici nous avons uniquement des individus non apparentés, nous avons pu obtenir une liste de 1711 variants différents composés de 1470 SNVs et 241 indels et impactant un total de 1432 gènes distincts. Ces variants étant répartis sur l'ensemble de nos 62 patients ceux-ci portaient en moyenne 27 SNVS et 5 indels, de sorte que chacun d'entre eux avaient entre NA et NA gènes impactés par au moins un variants homozygote (</w:t>
      </w:r>
      <w:r>
        <w:rPr>
          <w:b/>
        </w:rPr>
        <w:t xml:space="preserve">Figure :</w:t>
      </w:r>
      <w:r>
        <w:rPr>
          <w:b/>
        </w:rPr>
        <w:t xml:space="preserve"> </w:t>
      </w:r>
      <w:r>
        <w:t xml:space="preserve">14</w:t>
      </w:r>
      <w:r>
        <w:t xml:space="preserve"> </w:t>
      </w:r>
      <w:r>
        <w:t xml:space="preserve">-</w:t>
      </w:r>
      <w:r>
        <w:t xml:space="preserve"> </w:t>
      </w:r>
      <w:r>
        <w:rPr>
          <w:b/>
        </w:rPr>
        <w:t xml:space="preserve">A</w:t>
      </w:r>
      <w:r>
        <w:t xml:space="preserve"> </w:t>
      </w:r>
      <w:r>
        <w:t xml:space="preserve">et</w:t>
      </w:r>
      <w:r>
        <w:t xml:space="preserve"> </w:t>
      </w:r>
      <w:r>
        <w:rPr>
          <w:b/>
        </w:rPr>
        <w:t xml:space="preserve">B</w:t>
      </w:r>
      <w:r>
        <w:t xml:space="preserve">).</w:t>
      </w:r>
    </w:p>
    <w:p>
      <w:pPr>
        <w:pStyle w:val="SourceCode"/>
      </w:pPr>
      <w:r>
        <w:rPr>
          <w:rStyle w:val="VerbatimChar"/>
        </w:rPr>
        <w:t xml:space="preserve">Warning: Removed 3 rows containing non-finite values (stat_boxplot).</w:t>
      </w:r>
    </w:p>
    <w:p>
      <w:pPr>
        <w:pStyle w:val="SourceCode"/>
      </w:pPr>
      <w:r>
        <w:rPr>
          <w:rStyle w:val="VerbatimChar"/>
        </w:rPr>
        <w:t xml:space="preserve">Warning: Removed 3 rows containing missing values (geom_point).</w:t>
      </w:r>
    </w:p>
    <w:p>
      <w:pPr>
        <w:pStyle w:val="SourceCode"/>
      </w:pPr>
      <w:r>
        <w:rPr>
          <w:rStyle w:val="VerbatimChar"/>
        </w:rPr>
        <w:t xml:space="preserve">Warning: Removed 3 rows containing missing values (position_stack).</w:t>
      </w:r>
    </w:p>
    <w:p>
      <w:pPr>
        <w:pStyle w:val="FigureWithCaption"/>
      </w:pPr>
      <w:r>
        <w:drawing>
          <wp:inline>
            <wp:extent cx="4620126" cy="4620126"/>
            <wp:effectExtent b="0" l="0" r="0" t="0"/>
            <wp:docPr descr="Figure 14 Résultats de l'étape de filtrage : A : Quantification du nombre de SNVs et indels ayant passé l'ensemble des filtres pour chaque patient. B : Nombre de gènes impactés par au moins un variant ayant passé les filtres pour chaque individu représenté par les barres. C : Présentation" id="1" name="Picture"/>
            <a:graphic>
              <a:graphicData uri="http://schemas.openxmlformats.org/drawingml/2006/picture">
                <pic:pic>
                  <pic:nvPicPr>
                    <pic:cNvPr descr="thesis_files/figure-docx/plotfilterbigmmaf-1.png" id="0"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 Résultats de l'étape de filtrage :</w:t>
      </w:r>
      <w:r>
        <w:t xml:space="preserve"> </w:t>
      </w:r>
      <w:r>
        <w:rPr>
          <w:b/>
        </w:rPr>
        <w:t xml:space="preserve">A</w:t>
      </w:r>
      <w:r>
        <w:t xml:space="preserve"> </w:t>
      </w:r>
      <w:r>
        <w:t xml:space="preserve">: Quantification du nombre de SNVs et indels ayant passé l'ensemble des filtres pour chaque patient.</w:t>
      </w:r>
      <w:r>
        <w:t xml:space="preserve"> </w:t>
      </w:r>
      <w:r>
        <w:rPr>
          <w:b/>
        </w:rPr>
        <w:t xml:space="preserve">B</w:t>
      </w:r>
      <w:r>
        <w:t xml:space="preserve"> </w:t>
      </w:r>
      <w:r>
        <w:t xml:space="preserve">: Nombre de gènes impactés par au moins un variant ayant passé les filtres pour chaque individu représenté par les barres.</w:t>
      </w:r>
      <w:r>
        <w:t xml:space="preserve"> </w:t>
      </w:r>
      <w:r>
        <w:rPr>
          <w:b/>
        </w:rPr>
        <w:t xml:space="preserve">C</w:t>
      </w:r>
      <w:r>
        <w:t xml:space="preserve"> </w:t>
      </w:r>
      <w:r>
        <w:t xml:space="preserve">: Présentation</w:t>
      </w:r>
    </w:p>
    <w:p>
      <w:pPr>
        <w:pStyle w:val="BodyText"/>
      </w:pPr>
      <w:r>
        <w:t xml:space="preserve">Afin de nous orienter dans nos recherches, nous nous sommes basés sur une étude de 2012 qui établissait une liste des gènes humains pouvant être impliqués dans le cilliome humain</w:t>
      </w:r>
      <w:r>
        <w:t xml:space="preserve"> </w:t>
      </w:r>
      <w:r>
        <w:t xml:space="preserve">(Ivliev, ’t Hoen, Roon-Mom, Peters, &amp; Sergeeva,</w:t>
      </w:r>
      <w:r>
        <w:t xml:space="preserve"> </w:t>
      </w:r>
      <w:hyperlink w:anchor="ref-Ivliev2012">
        <w:r>
          <w:rPr>
            <w:rStyle w:val="Hyperlink"/>
          </w:rPr>
          <w:t xml:space="preserve">2012</w:t>
        </w:r>
      </w:hyperlink>
      <w:r>
        <w:t xml:space="preserve">)</w:t>
      </w:r>
      <w:r>
        <w:t xml:space="preserve"> </w:t>
      </w:r>
      <w:r>
        <w:t xml:space="preserve">en se basnat entre autre sur les gènes fournis par la base de données CilDB</w:t>
      </w:r>
      <w:r>
        <w:t xml:space="preserve"> </w:t>
      </w:r>
      <w:r>
        <w:t xml:space="preserve">(Arnaiz, Cohen, Tassin, &amp; Koll,</w:t>
      </w:r>
      <w:r>
        <w:t xml:space="preserve"> </w:t>
      </w:r>
      <w:hyperlink w:anchor="ref-Arnaiz2015">
        <w:r>
          <w:rPr>
            <w:rStyle w:val="Hyperlink"/>
          </w:rPr>
          <w:t xml:space="preserve">2015</w:t>
        </w:r>
      </w:hyperlink>
      <w:r>
        <w:t xml:space="preserve">)</w:t>
      </w:r>
      <w:r>
        <w:t xml:space="preserve"> </w:t>
      </w:r>
      <w:r>
        <w:t xml:space="preserve">mais aussi des analyses</w:t>
      </w:r>
      <w:r>
        <w:t xml:space="preserve"> </w:t>
      </w:r>
      <w:r>
        <w:rPr>
          <w:i/>
        </w:rPr>
        <w:t xml:space="preserve">in silico</w:t>
      </w:r>
      <w:r>
        <w:t xml:space="preserve"> </w:t>
      </w:r>
      <w:r>
        <w:t xml:space="preserve">permettant d'identifier des gènes jusqu'à présent jamais associés au ciliome. Ainsi, chaque gène était classé dans l'une des 3 catégories suivantes en fonction des preuves déjà existante (au moment de l'étude) permettant de lier un gène au cilliome humain :</w:t>
      </w:r>
      <w:r>
        <w:t xml:space="preserve"> </w:t>
      </w:r>
      <w:r>
        <w:rPr>
          <w:b/>
        </w:rPr>
        <w:t xml:space="preserve">Strong evidence from previous studies</w:t>
      </w:r>
      <w:r>
        <w:t xml:space="preserve"> </w:t>
      </w:r>
      <w:r>
        <w:t xml:space="preserve">(Strong),</w:t>
      </w:r>
      <w:r>
        <w:t xml:space="preserve"> </w:t>
      </w:r>
      <w:r>
        <w:rPr>
          <w:b/>
        </w:rPr>
        <w:t xml:space="preserve">Weak evidence from previous studies</w:t>
      </w:r>
      <w:r>
        <w:t xml:space="preserve"> </w:t>
      </w:r>
      <w:r>
        <w:t xml:space="preserve">(Weak) et</w:t>
      </w:r>
      <w:r>
        <w:t xml:space="preserve"> </w:t>
      </w:r>
      <w:r>
        <w:rPr>
          <w:b/>
        </w:rPr>
        <w:t xml:space="preserve">No evidence from previous studies</w:t>
      </w:r>
      <w:r>
        <w:t xml:space="preserve"> </w:t>
      </w:r>
      <w:r>
        <w:t xml:space="preserve">(Novel). L'utilisation de cette liste nous a permis d'ajouter une nouvelle annotation pertinente à nos gènes. En effet, le spermatozoïde humain est une cellule ciliée, et le flagelle en est le cil. Nous pouvons donc attendre à ce qu'une partie des gènes responsables du phénotype MMAF soit présents dans cette liste de 371 gènes.</w:t>
      </w:r>
    </w:p>
    <w:p>
      <w:pPr>
        <w:pStyle w:val="BodyText"/>
      </w:pPr>
      <w:r>
        <w:t xml:space="preserve">Ainsi, 33 de nos 1432 gènes retenus faisaient partis de cette liste dont 22 présentaient des preuves fortes de leur appartenance au cilliome. Il faut tout de même noter que bien que cette liste soit un bon outil pour orienter les recherches et prioriser certains gènes, elle ne peut constituer un critère suffisant pour filtrer les gènes n'en faisant pas partie. Par exemple le gène</w:t>
      </w:r>
      <w:r>
        <w:t xml:space="preserve"> </w:t>
      </w:r>
      <w:r>
        <w:rPr>
          <w:i/>
        </w:rPr>
        <w:t xml:space="preserve">DNAH1</w:t>
      </w:r>
      <w:r>
        <w:t xml:space="preserve">, de par son expression ubiquitaire n'a pas été intégré à cette liste (</w:t>
      </w:r>
      <w:r>
        <w:rPr>
          <w:b/>
        </w:rPr>
        <w:t xml:space="preserve">Figure :</w:t>
      </w:r>
      <w:r>
        <w:rPr>
          <w:b/>
        </w:rPr>
        <w:t xml:space="preserve"> </w:t>
      </w:r>
      <w:r>
        <w:t xml:space="preserve">17</w:t>
      </w:r>
      <w:r>
        <w:t xml:space="preserve"> </w:t>
      </w:r>
      <w:r>
        <w:t xml:space="preserve">-</w:t>
      </w:r>
      <w:r>
        <w:t xml:space="preserve"> </w:t>
      </w:r>
      <w:r>
        <w:rPr>
          <w:b/>
        </w:rPr>
        <w:t xml:space="preserve">A</w:t>
      </w:r>
      <w:r>
        <w:t xml:space="preserve">), or on connait désormais son implication dans le phénotype MMAF (</w:t>
      </w:r>
      <w:r>
        <w:rPr>
          <w:b/>
        </w:rPr>
        <w:t xml:space="preserve">Table :</w:t>
      </w:r>
      <w:r>
        <w:t xml:space="preserve"> </w:t>
      </w:r>
      <w:r>
        <w:t xml:space="preserve">??</w:t>
      </w:r>
      <w:r>
        <w:t xml:space="preserve">,</w:t>
      </w:r>
      <w:r>
        <w:t xml:space="preserve"> </w:t>
      </w:r>
      <w:r>
        <w:rPr>
          <w:b/>
        </w:rPr>
        <w:t xml:space="preserve">Figure :</w:t>
      </w:r>
      <w:r>
        <w:rPr>
          <w:b/>
        </w:rPr>
        <w:t xml:space="preserve"> </w:t>
      </w:r>
      <w:r>
        <w:t xml:space="preserve">15</w:t>
      </w:r>
      <w:r>
        <w:t xml:space="preserve"> </w:t>
      </w:r>
      <w:r>
        <w:t xml:space="preserve">-</w:t>
      </w:r>
      <w:r>
        <w:t xml:space="preserve"> </w:t>
      </w:r>
      <w:r>
        <w:rPr>
          <w:b/>
        </w:rPr>
        <w:t xml:space="preserve">A</w:t>
      </w:r>
      <w:r>
        <w:t xml:space="preserve">).</w:t>
      </w:r>
    </w:p>
    <w:p>
      <w:pPr>
        <w:pStyle w:val="BodyText"/>
      </w:pPr>
      <w:r>
        <w:t xml:space="preserve">Parmi l'ensemble des gènes retrouvés mutés, on peut constater que 1212 d'entre eux, soit 84.6%, ne sont observés muté, à l'état homozygote, uniquement chez un seul de nos patients tandis que 220 sont retrouvés muté à l'état homozygote chez au moins 2 patients. Ainsi, analyser en priorité ces 220 gènes permet à la fois de réduire considérablement notre liste, et donc de faciliter les analyses, mais aussi de pouvoir identifier en priorité les gènes affectant le plus grand nombre de patient et donc probablement les principaux acteurs du impliqués dans le phénotype MMAF (</w:t>
      </w:r>
      <w:r>
        <w:rPr>
          <w:b/>
        </w:rPr>
        <w:t xml:space="preserve">Figure :</w:t>
      </w:r>
      <w:r>
        <w:rPr>
          <w:b/>
        </w:rPr>
        <w:t xml:space="preserve"> </w:t>
      </w:r>
      <w:r>
        <w:t xml:space="preserve">15</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15 Répartition des gènes retrouvés mutés chez nos patients dans les différentes classes de la liste du cilliome : Chaque couleur définit une classe de la liste des gènes du cilliome décrit dans (Ivliev et al., 2012). Vert = Strong evidence from previous studies (Strong), Orange = Weak evidence from previous studies (Weak), rouge = No evidence from previous studies (Novel), bleu = Non présent dans la liste. A : Quantification du nombre de gène ayant passé les filtres au sein des 3 classes de la liste des gènes du cilliome. B : Quantification pour chacun des gènes du nombre d'individus présentant un variant homozygotes ayant passé l'ensemble des filtres" id="1" name="Picture"/>
            <a:graphic>
              <a:graphicData uri="http://schemas.openxmlformats.org/drawingml/2006/picture">
                <pic:pic>
                  <pic:nvPicPr>
                    <pic:cNvPr descr="thesis_files/figure-docx/plotcil-1.png" id="0" name="Picture"/>
                    <pic:cNvPicPr>
                      <a:picLocks noChangeArrowheads="1" noChangeAspect="1"/>
                    </pic:cNvPicPr>
                  </pic:nvPicPr>
                  <pic:blipFill>
                    <a:blip r:embed="rId53"/>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15 Répartition des gènes retrouvés mutés chez nos patients dans les différentes classes de la liste du cilliome : Chaque couleur définit une classe de la liste des gènes du cilliome décrit dans</w:t>
      </w:r>
      <w:r>
        <w:t xml:space="preserve"> </w:t>
      </w:r>
      <w:r>
        <w:t xml:space="preserve">(Ivliev et al.,</w:t>
      </w:r>
      <w:r>
        <w:t xml:space="preserve"> </w:t>
      </w:r>
      <w:hyperlink w:anchor="ref-Ivliev2012">
        <w:r>
          <w:rPr>
            <w:rStyle w:val="Hyperlink"/>
          </w:rPr>
          <w:t xml:space="preserve">2012</w:t>
        </w:r>
      </w:hyperlink>
      <w:r>
        <w:t xml:space="preserve">)</w:t>
      </w:r>
      <w:r>
        <w:t xml:space="preserve">. Vert =</w:t>
      </w:r>
      <w:r>
        <w:t xml:space="preserve"> </w:t>
      </w:r>
      <w:r>
        <w:rPr>
          <w:i/>
        </w:rPr>
        <w:t xml:space="preserve">Strong evidence from previous studies</w:t>
      </w:r>
      <w:r>
        <w:t xml:space="preserve"> </w:t>
      </w:r>
      <w:r>
        <w:t xml:space="preserve">(</w:t>
      </w:r>
      <w:r>
        <w:rPr>
          <w:i/>
        </w:rPr>
        <w:t xml:space="preserve">Strong</w:t>
      </w:r>
      <w:r>
        <w:t xml:space="preserve">), Orange =</w:t>
      </w:r>
      <w:r>
        <w:t xml:space="preserve"> </w:t>
      </w:r>
      <w:r>
        <w:rPr>
          <w:i/>
        </w:rPr>
        <w:t xml:space="preserve">Weak evidence from previous studies</w:t>
      </w:r>
      <w:r>
        <w:t xml:space="preserve"> </w:t>
      </w:r>
      <w:r>
        <w:t xml:space="preserve">(</w:t>
      </w:r>
      <w:r>
        <w:rPr>
          <w:i/>
        </w:rPr>
        <w:t xml:space="preserve">Weak</w:t>
      </w:r>
      <w:r>
        <w:t xml:space="preserve">), rouge =</w:t>
      </w:r>
      <w:r>
        <w:t xml:space="preserve"> </w:t>
      </w:r>
      <w:r>
        <w:rPr>
          <w:i/>
        </w:rPr>
        <w:t xml:space="preserve">No evidence from previous studies</w:t>
      </w:r>
      <w:r>
        <w:t xml:space="preserve"> </w:t>
      </w:r>
      <w:r>
        <w:t xml:space="preserve">(</w:t>
      </w:r>
      <w:r>
        <w:rPr>
          <w:i/>
        </w:rPr>
        <w:t xml:space="preserve">Novel</w:t>
      </w:r>
      <w:r>
        <w:t xml:space="preserve">), bleu = Non présent dans la liste.</w:t>
      </w:r>
      <w:r>
        <w:t xml:space="preserve"> </w:t>
      </w:r>
      <w:r>
        <w:rPr>
          <w:b/>
        </w:rPr>
        <w:t xml:space="preserve">A</w:t>
      </w:r>
      <w:r>
        <w:t xml:space="preserve"> </w:t>
      </w:r>
      <w:r>
        <w:t xml:space="preserve">: Quantification du nombre de gène ayant passé les filtres au sein des 3 classes de la liste des gènes du cilliome.</w:t>
      </w:r>
      <w:r>
        <w:t xml:space="preserve"> </w:t>
      </w:r>
      <w:r>
        <w:rPr>
          <w:b/>
        </w:rPr>
        <w:t xml:space="preserve">B</w:t>
      </w:r>
      <w:r>
        <w:t xml:space="preserve"> </w:t>
      </w:r>
      <w:r>
        <w:t xml:space="preserve">: Quantification pour chacun des gènes du nombre d'individus présentant un variant homozygotes ayant passé l'ensemble des filtres</w:t>
      </w:r>
    </w:p>
    <w:p>
      <w:pPr>
        <w:pStyle w:val="BodyText"/>
      </w:pPr>
      <w:r>
        <w:t xml:space="preserve">Nous avons ensuite</w:t>
      </w:r>
      <w:r>
        <w:t xml:space="preserve"> </w:t>
      </w:r>
      <w:r>
        <w:rPr>
          <w:i/>
        </w:rPr>
        <w:t xml:space="preserve">designer</w:t>
      </w:r>
      <w:r>
        <w:t xml:space="preserve"> </w:t>
      </w:r>
      <w:r>
        <w:t xml:space="preserve">5 analyses fonctionnant de manière pyramidale. C'est à dire que la première analyse permet d'identifier les candidats les plus évidents tandis que la cinquième ceux pour lesquels il y a moins d'indices. L'interêt de ce fonctionnement est qu'à chacune des analyses, l'ensemble des variants portés par les patients pour lesquels un candidat a pu être déterminer avec</w:t>
      </w:r>
      <w:r>
        <w:t xml:space="preserve"> </w:t>
      </w:r>
      <w:r>
        <w:rPr>
          <w:b/>
        </w:rPr>
        <w:t xml:space="preserve">certitudes</w:t>
      </w:r>
      <w:r>
        <w:t xml:space="preserve"> </w:t>
      </w:r>
      <w:r>
        <w:t xml:space="preserve">seront retirés dans analyses suivantes. Ce procédé nous permettra ainsi après chacune de ces 5 analyses d'alléger notre liste de variants, et donc de gènes, rendant l'analyse suivante plus simple :</w:t>
      </w:r>
    </w:p>
    <w:p>
      <w:pPr>
        <w:numPr>
          <w:numId w:val="1013"/>
          <w:ilvl w:val="0"/>
        </w:numPr>
      </w:pPr>
      <w:r>
        <w:rPr>
          <w:b/>
        </w:rPr>
        <w:t xml:space="preserve">Analyse n°1</w:t>
      </w:r>
      <w:r>
        <w:t xml:space="preserve"> </w:t>
      </w:r>
      <w:r>
        <w:t xml:space="preserve">: Au moment de nos analyses, le gène</w:t>
      </w:r>
      <w:r>
        <w:t xml:space="preserve"> </w:t>
      </w:r>
      <w:r>
        <w:rPr>
          <w:i/>
        </w:rPr>
        <w:t xml:space="preserve">DNAH1</w:t>
      </w:r>
      <w:r>
        <w:t xml:space="preserve"> </w:t>
      </w:r>
      <w:r>
        <w:t xml:space="preserve">était encore le seul décrit comme responsable du phénotype MMAF faisant de lui un candidat évident pour expliquer le phénotype MMAF de nos patients malgré son expression non spécifique au testicule (</w:t>
      </w:r>
      <w:r>
        <w:rPr>
          <w:b/>
        </w:rPr>
        <w:t xml:space="preserve">Figure :</w:t>
      </w:r>
      <w:r>
        <w:rPr>
          <w:b/>
        </w:rPr>
        <w:t xml:space="preserve"> </w:t>
      </w:r>
      <w:r>
        <w:t xml:space="preserve">17</w:t>
      </w:r>
      <w:r>
        <w:t xml:space="preserve"> </w:t>
      </w:r>
      <w:r>
        <w:t xml:space="preserve">-</w:t>
      </w:r>
      <w:r>
        <w:t xml:space="preserve"> </w:t>
      </w:r>
      <w:r>
        <w:rPr>
          <w:b/>
        </w:rPr>
        <w:t xml:space="preserve">A</w:t>
      </w:r>
      <w:r>
        <w:t xml:space="preserve">). C'est pourquoi nous avons recherché en priorité des patients portant des variants tronquants homozygotes sur ce gène.</w:t>
      </w:r>
    </w:p>
    <w:p>
      <w:pPr>
        <w:numPr>
          <w:numId w:val="1013"/>
          <w:ilvl w:val="0"/>
        </w:numPr>
      </w:pPr>
      <w:r>
        <w:rPr>
          <w:b/>
        </w:rPr>
        <w:t xml:space="preserve">Analyse n°2</w:t>
      </w:r>
      <w:r>
        <w:t xml:space="preserve"> </w:t>
      </w:r>
      <w:r>
        <w:t xml:space="preserve">: Dans second temps, nous avons sélectionné uniquement les gènes</w:t>
      </w:r>
      <w:r>
        <w:t xml:space="preserve"> </w:t>
      </w:r>
      <w:r>
        <w:rPr>
          <w:b/>
        </w:rPr>
        <w:t xml:space="preserve">présents dans la liste cilliome</w:t>
      </w:r>
      <w:r>
        <w:t xml:space="preserve"> </w:t>
      </w:r>
      <w:r>
        <w:t xml:space="preserve">sur lesquels</w:t>
      </w:r>
      <w:r>
        <w:t xml:space="preserve"> </w:t>
      </w:r>
      <w:r>
        <w:rPr>
          <w:b/>
        </w:rPr>
        <w:t xml:space="preserve">au moins deux</w:t>
      </w:r>
      <w:r>
        <w:t xml:space="preserve"> </w:t>
      </w:r>
      <w:r>
        <w:t xml:space="preserve">de nos patients présentaient au moins 1 variant tronquant à l'état</w:t>
      </w:r>
      <w:r>
        <w:t xml:space="preserve"> </w:t>
      </w:r>
      <w:r>
        <w:rPr>
          <w:b/>
        </w:rPr>
        <w:t xml:space="preserve">homozygote</w:t>
      </w:r>
      <w:r>
        <w:t xml:space="preserve">.</w:t>
      </w:r>
    </w:p>
    <w:p>
      <w:pPr>
        <w:numPr>
          <w:numId w:val="1013"/>
          <w:ilvl w:val="0"/>
        </w:numPr>
      </w:pPr>
      <w:r>
        <w:rPr>
          <w:b/>
        </w:rPr>
        <w:t xml:space="preserve">Analyse n°3</w:t>
      </w:r>
      <w:r>
        <w:t xml:space="preserve"> </w:t>
      </w:r>
      <w:r>
        <w:t xml:space="preserve">: Ensuite, nous avons étudié les gènes</w:t>
      </w:r>
      <w:r>
        <w:t xml:space="preserve"> </w:t>
      </w:r>
      <w:r>
        <w:rPr>
          <w:b/>
        </w:rPr>
        <w:t xml:space="preserve">absents dans la liste cilliome</w:t>
      </w:r>
      <w:r>
        <w:t xml:space="preserve"> </w:t>
      </w:r>
      <w:r>
        <w:t xml:space="preserve">mais sur lesquels on trouvait toujours</w:t>
      </w:r>
      <w:r>
        <w:t xml:space="preserve"> </w:t>
      </w:r>
      <w:r>
        <w:rPr>
          <w:b/>
        </w:rPr>
        <w:t xml:space="preserve">au moins deux</w:t>
      </w:r>
      <w:r>
        <w:t xml:space="preserve"> </w:t>
      </w:r>
      <w:r>
        <w:t xml:space="preserve">de nos patients présentant au moins 1 variant tronquant à l'état</w:t>
      </w:r>
      <w:r>
        <w:t xml:space="preserve"> </w:t>
      </w:r>
      <w:r>
        <w:rPr>
          <w:b/>
        </w:rPr>
        <w:t xml:space="preserve">homozygote</w:t>
      </w:r>
      <w:r>
        <w:t xml:space="preserve">.</w:t>
      </w:r>
    </w:p>
    <w:p>
      <w:pPr>
        <w:numPr>
          <w:numId w:val="1013"/>
          <w:ilvl w:val="0"/>
        </w:numPr>
      </w:pPr>
      <w:r>
        <w:rPr>
          <w:b/>
        </w:rPr>
        <w:t xml:space="preserve">Analyse n°4</w:t>
      </w:r>
      <w:r>
        <w:t xml:space="preserve"> </w:t>
      </w:r>
      <w:r>
        <w:t xml:space="preserve">: Dans un troisième temps nous sommes revenus à étudier les gènes</w:t>
      </w:r>
      <w:r>
        <w:t xml:space="preserve"> </w:t>
      </w:r>
      <w:r>
        <w:rPr>
          <w:b/>
        </w:rPr>
        <w:t xml:space="preserve">présents dans la liste cilliome</w:t>
      </w:r>
      <w:r>
        <w:t xml:space="preserve"> </w:t>
      </w:r>
      <w:r>
        <w:t xml:space="preserve">en considérant cette fois-ci les gènes 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w:t>
      </w:r>
    </w:p>
    <w:p>
      <w:pPr>
        <w:numPr>
          <w:numId w:val="1013"/>
          <w:ilvl w:val="0"/>
        </w:numPr>
      </w:pPr>
      <w:r>
        <w:rPr>
          <w:b/>
        </w:rPr>
        <w:t xml:space="preserve">Analyse n°5</w:t>
      </w:r>
      <w:r>
        <w:t xml:space="preserve"> </w:t>
      </w:r>
      <w:r>
        <w:t xml:space="preserve">: Pour finir nous avons étudié les gènes</w:t>
      </w:r>
      <w:r>
        <w:t xml:space="preserve"> </w:t>
      </w:r>
      <w:r>
        <w:rPr>
          <w:b/>
        </w:rPr>
        <w:t xml:space="preserve">absents dans la liste cilliome</w:t>
      </w:r>
      <w:r>
        <w:t xml:space="preserve"> </w:t>
      </w:r>
      <w:r>
        <w:t xml:space="preserve">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w:t>
      </w:r>
    </w:p>
    <w:p>
      <w:pPr>
        <w:pStyle w:val="FirstParagraph"/>
      </w:pPr>
      <w:r>
        <w:t xml:space="preserve">Chacune de ces analyses s'est ensuite déroulée en 5 étapes :</w:t>
      </w:r>
    </w:p>
    <w:p>
      <w:pPr>
        <w:numPr>
          <w:numId w:val="1014"/>
          <w:ilvl w:val="0"/>
        </w:numPr>
      </w:pPr>
      <w:r>
        <w:rPr>
          <w:b/>
        </w:rPr>
        <w:t xml:space="preserve">Étape n°1</w:t>
      </w:r>
      <w:r>
        <w:t xml:space="preserve"> </w:t>
      </w:r>
      <w:r>
        <w:t xml:space="preserve">: Cette première étape consistait à récupérer l'ensemble des patients répondant aux critères de l'analyse en question, par exemple : l'ensemble des patients portant un variant homozygote sur le gène</w:t>
      </w:r>
      <w:r>
        <w:t xml:space="preserve"> </w:t>
      </w:r>
      <w:r>
        <w:rPr>
          <w:i/>
        </w:rPr>
        <w:t xml:space="preserve">DNAH1</w:t>
      </w:r>
      <w:r>
        <w:t xml:space="preserve"> </w:t>
      </w:r>
      <w:r>
        <w:t xml:space="preserve">dans le cas de l'analyse n°1. Au vu de l'effet délétère des variants sélectionés au cours de cette étape, les preuves génétiques seront considérées comme de forte confiance (</w:t>
      </w:r>
      <w:r>
        <w:rPr>
          <w:i/>
        </w:rPr>
        <w:t xml:space="preserve">High trust</w:t>
      </w:r>
      <w:r>
        <w:t xml:space="preserve">).</w:t>
      </w:r>
    </w:p>
    <w:p>
      <w:pPr>
        <w:numPr>
          <w:numId w:val="1014"/>
          <w:ilvl w:val="0"/>
        </w:numPr>
      </w:pPr>
      <w:r>
        <w:rPr>
          <w:b/>
        </w:rPr>
        <w:t xml:space="preserve">Étape n°2</w:t>
      </w:r>
      <w:r>
        <w:t xml:space="preserve"> </w:t>
      </w:r>
      <w:r>
        <w:t xml:space="preserve">: Pour l'ensemble des gènes retenus dans l'étape n°1, nous recherchons ensuite des patients portant,</w:t>
      </w:r>
      <w:r>
        <w:t xml:space="preserve"> </w:t>
      </w:r>
      <w:r>
        <w:rPr>
          <w:b/>
        </w:rPr>
        <w:t xml:space="preserve">toujours à l'état homozygote</w:t>
      </w:r>
      <w:r>
        <w:t xml:space="preserve">, des variant aux effets</w:t>
      </w:r>
      <w:r>
        <w:t xml:space="preserve"> </w:t>
      </w:r>
      <w:r>
        <w:rPr>
          <w:b/>
        </w:rPr>
        <w:t xml:space="preserve">non tronquants</w:t>
      </w:r>
      <w:r>
        <w:t xml:space="preserve"> </w:t>
      </w:r>
      <w:r>
        <w:t xml:space="preserve">tel que des variants faux-sens ou encore des variants intronique situés proches des sites d'épissage. Dans le cas des variants faux-sens, les logiciels SIFT et PolyPhen sont ensuite utilisés afin de nous orienter quant à l'effet délétère du variant, bien que comme nous l'avons déjà vu, ces logiciels son contredisent régulièrement</w:t>
      </w:r>
      <w:r>
        <w:t xml:space="preserve"> </w:t>
      </w:r>
      <w:r>
        <w:t xml:space="preserve">(Salgado, Bellgard, Desvignes, &amp; B??roud,</w:t>
      </w:r>
      <w:r>
        <w:t xml:space="preserve"> </w:t>
      </w:r>
      <w:hyperlink w:anchor="ref-Salgado2016">
        <w:r>
          <w:rPr>
            <w:rStyle w:val="Hyperlink"/>
          </w:rPr>
          <w:t xml:space="preserve">2016</w:t>
        </w:r>
      </w:hyperlink>
      <w:r>
        <w:t xml:space="preserve">)</w:t>
      </w:r>
      <w:r>
        <w:t xml:space="preserve"> </w:t>
      </w:r>
      <w:r>
        <w:t xml:space="preserve">(</w:t>
      </w:r>
      <w:r>
        <w:rPr>
          <w:b/>
        </w:rPr>
        <w:t xml:space="preserve">Figure :</w:t>
      </w:r>
      <w:r>
        <w:t xml:space="preserve"> </w:t>
      </w:r>
      <w:r>
        <w:t xml:space="preserve">??</w:t>
      </w:r>
      <w:r>
        <w:t xml:space="preserve">). Au vus de la difficulté à déterminer l'effet délétère de ces variants, les preuves génétiques seront considérées comme de confiance modérée (</w:t>
      </w:r>
      <w:r>
        <w:rPr>
          <w:i/>
        </w:rPr>
        <w:t xml:space="preserve">Moderate trust</w:t>
      </w:r>
      <w:r>
        <w:t xml:space="preserve">).</w:t>
      </w:r>
    </w:p>
    <w:p>
      <w:pPr>
        <w:numPr>
          <w:numId w:val="1014"/>
          <w:ilvl w:val="0"/>
        </w:numPr>
      </w:pPr>
      <w:r>
        <w:rPr>
          <w:b/>
        </w:rPr>
        <w:t xml:space="preserve">Étape n°3</w:t>
      </w:r>
      <w:r>
        <w:t xml:space="preserve"> </w:t>
      </w:r>
      <w:r>
        <w:t xml:space="preserve">: Cette étape consiste à rechercher des patients éventuellement hétérozygotes composites, c'est à dire des patients portant deux variants hétérozygotes différents sur chacun des deux allèles d'un même gène. Malheureusement, dans le cadre des séquençages WES et WGS, il est impossible de connaitre le "phasage" des variants, c'est à dire que l'on ne peut déterminer si deux variants hétérozygotes sont situés sur le même allèles ou sur deux allèles différents (</w:t>
      </w:r>
      <w:r>
        <w:rPr>
          <w:b/>
        </w:rPr>
        <w:t xml:space="preserve">Figure :</w:t>
      </w:r>
      <w:r>
        <w:rPr>
          <w:b/>
        </w:rPr>
        <w:t xml:space="preserve"> </w:t>
      </w:r>
      <w:r>
        <w:t xml:space="preserve">16</w:t>
      </w:r>
      <w:r>
        <w:t xml:space="preserve">). Pour cela, des analyses de biologie moléculaire sont nécessaires. C'est pour cette raison que ces preuves génétiques seront considérées comme étant de faible confiance (</w:t>
      </w:r>
      <w:r>
        <w:rPr>
          <w:i/>
        </w:rPr>
        <w:t xml:space="preserve">Low trust</w:t>
      </w:r>
      <w:r>
        <w:t xml:space="preserve">).</w:t>
      </w:r>
    </w:p>
    <w:p>
      <w:pPr>
        <w:pStyle w:val="FigureWithCaption"/>
      </w:pPr>
      <w:r>
        <w:drawing>
          <wp:inline>
            <wp:extent cx="5334000" cy="1945975"/>
            <wp:effectExtent b="0" l="0" r="0" t="0"/>
            <wp:docPr descr="Figure 16 Représentation schématique des ....TODO : Un variant est dit homozygote lorsque le même variant est présents sur les deux allèles d'un gène et hétérozygote lorsqu'il est présent sur un seul des deux allèles. On parlera d'hétérozygotes cis lorsque deux variants hétérozygotes différents seront positionnés sur le même allèle et d'hétérozygote trans (ou composite) lorsque ces deux variants hétérozygotes seront positionnés sur deux allèles différents. En WES et en WGS il est impossible de différentié les hétérozygotes cis des hétérozygotes trans" id="1" name="Picture"/>
            <a:graphic>
              <a:graphicData uri="http://schemas.openxmlformats.org/drawingml/2006/picture">
                <pic:pic>
                  <pic:nvPicPr>
                    <pic:cNvPr descr="figure/hetero_composites.png" id="0" name="Picture"/>
                    <pic:cNvPicPr>
                      <a:picLocks noChangeArrowheads="1" noChangeAspect="1"/>
                    </pic:cNvPicPr>
                  </pic:nvPicPr>
                  <pic:blipFill>
                    <a:blip r:embed="rId54"/>
                    <a:stretch>
                      <a:fillRect/>
                    </a:stretch>
                  </pic:blipFill>
                  <pic:spPr bwMode="auto">
                    <a:xfrm>
                      <a:off x="0" y="0"/>
                      <a:ext cx="5334000" cy="1945975"/>
                    </a:xfrm>
                    <a:prstGeom prst="rect">
                      <a:avLst/>
                    </a:prstGeom>
                    <a:noFill/>
                    <a:ln w="9525">
                      <a:noFill/>
                      <a:headEnd/>
                      <a:tailEnd/>
                    </a:ln>
                  </pic:spPr>
                </pic:pic>
              </a:graphicData>
            </a:graphic>
          </wp:inline>
        </w:drawing>
      </w:r>
    </w:p>
    <w:p>
      <w:pPr>
        <w:pStyle w:val="ImageCaption"/>
      </w:pPr>
      <w:r>
        <w:t xml:space="preserve">Figure 16 Représentation schématique des ....TODO : Un variant est dit homozygote lorsque le</w:t>
      </w:r>
      <w:r>
        <w:t xml:space="preserve"> </w:t>
      </w:r>
      <w:r>
        <w:rPr>
          <w:b/>
        </w:rPr>
        <w:t xml:space="preserve">même</w:t>
      </w:r>
      <w:r>
        <w:t xml:space="preserve"> </w:t>
      </w:r>
      <w:r>
        <w:t xml:space="preserve">variant est présents sur les deux allèles d'un gène et hétérozygote lorsqu'il est présent sur</w:t>
      </w:r>
      <w:r>
        <w:t xml:space="preserve"> </w:t>
      </w:r>
      <w:r>
        <w:rPr>
          <w:b/>
        </w:rPr>
        <w:t xml:space="preserve">un seul</w:t>
      </w:r>
      <w:r>
        <w:t xml:space="preserve"> </w:t>
      </w:r>
      <w:r>
        <w:t xml:space="preserve">des deux allèles. On parlera d'hétérozygotes</w:t>
      </w:r>
      <w:r>
        <w:t xml:space="preserve"> </w:t>
      </w:r>
      <w:r>
        <w:rPr>
          <w:i/>
        </w:rPr>
        <w:t xml:space="preserve">cis</w:t>
      </w:r>
      <w:r>
        <w:t xml:space="preserve"> </w:t>
      </w:r>
      <w:r>
        <w:t xml:space="preserve">lorsque deux variants hétérozygotes différents seront positionnés sur</w:t>
      </w:r>
      <w:r>
        <w:t xml:space="preserve"> </w:t>
      </w:r>
      <w:r>
        <w:rPr>
          <w:b/>
        </w:rPr>
        <w:t xml:space="preserve">le même</w:t>
      </w:r>
      <w:r>
        <w:t xml:space="preserve"> </w:t>
      </w:r>
      <w:r>
        <w:t xml:space="preserve">allèle et d'hétérozygote</w:t>
      </w:r>
      <w:r>
        <w:t xml:space="preserve"> </w:t>
      </w:r>
      <w:r>
        <w:rPr>
          <w:i/>
        </w:rPr>
        <w:t xml:space="preserve">trans</w:t>
      </w:r>
      <w:r>
        <w:t xml:space="preserve"> </w:t>
      </w:r>
      <w:r>
        <w:t xml:space="preserve">(ou composite) lorsque ces deux variants hétérozygotes seront positionnés sur</w:t>
      </w:r>
      <w:r>
        <w:t xml:space="preserve"> </w:t>
      </w:r>
      <w:r>
        <w:rPr>
          <w:b/>
        </w:rPr>
        <w:t xml:space="preserve">deux allèles différents</w:t>
      </w:r>
      <w:r>
        <w:t xml:space="preserve">. En WES et en WGS il est impossible de différentié les hétérozygotes</w:t>
      </w:r>
      <w:r>
        <w:t xml:space="preserve"> </w:t>
      </w:r>
      <w:r>
        <w:rPr>
          <w:i/>
        </w:rPr>
        <w:t xml:space="preserve">cis</w:t>
      </w:r>
      <w:r>
        <w:t xml:space="preserve"> </w:t>
      </w:r>
      <w:r>
        <w:t xml:space="preserve">des hétérozygotes</w:t>
      </w:r>
      <w:r>
        <w:t xml:space="preserve"> </w:t>
      </w:r>
      <w:r>
        <w:rPr>
          <w:i/>
        </w:rPr>
        <w:t xml:space="preserve">trans</w:t>
      </w:r>
    </w:p>
    <w:p>
      <w:pPr>
        <w:numPr>
          <w:numId w:val="1015"/>
          <w:ilvl w:val="0"/>
        </w:numPr>
      </w:pPr>
      <w:r>
        <w:rPr>
          <w:b/>
        </w:rPr>
        <w:t xml:space="preserve">Étape n°4</w:t>
      </w:r>
      <w:r>
        <w:t xml:space="preserve"> </w:t>
      </w:r>
      <w:r>
        <w:t xml:space="preserve">: Au cours de cette étape, nous allons étudier chacun des gènes sélectionnés et déterminer au vus des différentes preuves génétiques, des données d'expressions de ces gènes mais aussi des informations disponibles dans la litterature, si ceux-ci sont de bons candidats pour expliquer le phénotype MMAF de nos patients. Il est à noter que</w:t>
      </w:r>
      <w:r>
        <w:t xml:space="preserve"> </w:t>
      </w:r>
      <w:r>
        <w:rPr>
          <w:b/>
        </w:rPr>
        <w:t xml:space="preserve">cette étape est la seul à ne pas être automatisée</w:t>
      </w:r>
      <w:r>
        <w:t xml:space="preserve">.</w:t>
      </w:r>
    </w:p>
    <w:p>
      <w:pPr>
        <w:numPr>
          <w:numId w:val="1015"/>
          <w:ilvl w:val="0"/>
        </w:numPr>
      </w:pPr>
      <w:r>
        <w:rPr>
          <w:b/>
        </w:rPr>
        <w:t xml:space="preserve">Étape n°5</w:t>
      </w:r>
      <w:r>
        <w:t xml:space="preserve"> </w:t>
      </w:r>
      <w:r>
        <w:t xml:space="preserve">: Pour finir, les données des patients pour lesquels un gène candidat a été identifié et dont les preuves génétiques sont considérées comme de forte confiance (c'est à dire les patients identifiés lors de l'étape n°1) sont retirés de notre liste de variants allégeant ainsi celle-ci pour les analyses suivante.</w:t>
      </w:r>
    </w:p>
    <w:p>
      <w:pPr>
        <w:pStyle w:val="Heading5"/>
      </w:pPr>
      <w:bookmarkStart w:id="55" w:name="analyse-n1"/>
      <w:bookmarkEnd w:id="55"/>
      <w:r>
        <w:t xml:space="preserve">Analyse n°1 :</w:t>
      </w:r>
    </w:p>
    <w:p>
      <w:pPr>
        <w:pStyle w:val="Compact"/>
        <w:numPr>
          <w:numId w:val="1016"/>
          <w:ilvl w:val="0"/>
        </w:numPr>
      </w:pPr>
      <w:r>
        <w:rPr>
          <w:i/>
          <w:b/>
        </w:rPr>
        <w:t xml:space="preserve">DNAH1</w:t>
      </w:r>
      <w:r>
        <w:t xml:space="preserve"> </w:t>
      </w:r>
      <w:r>
        <w:t xml:space="preserve">: Parmi l'ensemble de nos 62 patients MMAF 1 portait un indel homozygote entrainant un décalage du cadre de lecture sur le gène</w:t>
      </w:r>
      <w:r>
        <w:t xml:space="preserve"> </w:t>
      </w:r>
      <w:r>
        <w:rPr>
          <w:i/>
        </w:rPr>
        <w:t xml:space="preserve">DNAH1</w:t>
      </w:r>
      <w:r>
        <w:t xml:space="preserve"> </w:t>
      </w:r>
      <w:r>
        <w:t xml:space="preserve">et répertorié dans aucune des 3 bases de données qua nous avons utilisées. Le patient et</w:t>
      </w:r>
      <w:r>
        <w:t xml:space="preserve"> </w:t>
      </w:r>
      <w:r>
        <w:rPr>
          <w:i/>
        </w:rPr>
        <w:t xml:space="preserve">Ghs90</w:t>
      </w:r>
      <w:r>
        <w:t xml:space="preserve"> </w:t>
      </w:r>
      <w:r>
        <w:t xml:space="preserve">était porteur de 3 variants homozygotes successifs entrainant tous un faux-sens tandis que le patient et</w:t>
      </w:r>
      <w:r>
        <w:t xml:space="preserve"> </w:t>
      </w:r>
      <w:r>
        <w:rPr>
          <w:i/>
        </w:rPr>
        <w:t xml:space="preserve">Ghs95</w:t>
      </w:r>
      <w:r>
        <w:t xml:space="preserve"> </w:t>
      </w:r>
      <w:r>
        <w:t xml:space="preserve">portait lui 1 autre variant homozygote entrainant un faux-sens différent des 3 portés par et</w:t>
      </w:r>
      <w:r>
        <w:t xml:space="preserve"> </w:t>
      </w:r>
      <w:r>
        <w:rPr>
          <w:i/>
        </w:rPr>
        <w:t xml:space="preserve">Ghs90</w:t>
      </w:r>
      <w:r>
        <w:t xml:space="preserve">. On peut noter qu'aucun de ces 4 variants n'est répertorié dans les bases de données, cependant tous sont prédits comme</w:t>
      </w:r>
      <w:r>
        <w:t xml:space="preserve"> </w:t>
      </w:r>
      <w:r>
        <w:rPr>
          <w:i/>
        </w:rPr>
        <w:t xml:space="preserve">benign</w:t>
      </w:r>
      <w:r>
        <w:t xml:space="preserve"> </w:t>
      </w:r>
      <w:r>
        <w:t xml:space="preserve">par PolyPhen tandis que SIFT ne donne aucune prédiction. La recherche de patients potentiellement hétérozygotes composites nous a permis de révéler 6 patients portant tous 2 variants hétérozygotes sur le gène</w:t>
      </w:r>
      <w:r>
        <w:t xml:space="preserve"> </w:t>
      </w:r>
      <w:r>
        <w:rPr>
          <w:i/>
        </w:rPr>
        <w:t xml:space="preserve">DNAH1</w:t>
      </w:r>
      <w:r>
        <w:t xml:space="preserve">. On peut alors noter le patients</w:t>
      </w:r>
      <w:r>
        <w:t xml:space="preserve"> </w:t>
      </w:r>
      <w:r>
        <w:rPr>
          <w:i/>
        </w:rPr>
        <w:t xml:space="preserve">Ghs36</w:t>
      </w:r>
      <w:r>
        <w:t xml:space="preserve"> </w:t>
      </w:r>
      <w:r>
        <w:t xml:space="preserve">porteur d'un premier variant créant un codon stop de manière prématuré et d'un second variant entrainant un faux-sens absent des 3 bases de données et prédit comme</w:t>
      </w:r>
      <w:r>
        <w:t xml:space="preserve"> </w:t>
      </w:r>
      <w:r>
        <w:rPr>
          <w:i/>
        </w:rPr>
        <w:t xml:space="preserve">probably damaging</w:t>
      </w:r>
      <w:r>
        <w:t xml:space="preserve"> </w:t>
      </w:r>
      <w:r>
        <w:t xml:space="preserve">par PolyPhen. Ainsi, s'ils étaient situés sur deux allèles différents, ces deux variants pourraient être des bons candidats pour expliquer le phénotype du patient</w:t>
      </w:r>
      <w:r>
        <w:t xml:space="preserve"> </w:t>
      </w:r>
      <w:r>
        <w:rPr>
          <w:i/>
        </w:rPr>
        <w:t xml:space="preserve">Ghs36</w:t>
      </w:r>
      <w:r>
        <w:t xml:space="preserve">. On peut noter également le patient</w:t>
      </w:r>
      <w:r>
        <w:t xml:space="preserve"> </w:t>
      </w:r>
      <w:r>
        <w:rPr>
          <w:i/>
        </w:rPr>
        <w:t xml:space="preserve">Ghs129</w:t>
      </w:r>
      <w:r>
        <w:t xml:space="preserve"> </w:t>
      </w:r>
      <w:r>
        <w:t xml:space="preserve">portant deux faux-sens hétérozygote tout deux prédits comme</w:t>
      </w:r>
      <w:r>
        <w:t xml:space="preserve"> </w:t>
      </w:r>
      <w:r>
        <w:rPr>
          <w:i/>
        </w:rPr>
        <w:t xml:space="preserve">probably damaging</w:t>
      </w:r>
      <w:r>
        <w:t xml:space="preserve"> </w:t>
      </w:r>
      <w:r>
        <w:t xml:space="preserve">par PolyPhen et dont un seul est retrouvé dans la base de données ExAC avec une très faible fréquence. Pour les 4 autres patients, il est plus difficile de se prononcer à ce stade compte tenus des fréquences parfois élevée des variants ou bien des prédictions fournies par PolyPhen.</w:t>
      </w:r>
    </w:p>
    <w:p>
      <w:pPr>
        <w:pStyle w:val="FirstParagraph"/>
      </w:pPr>
      <w:r>
        <w:t xml:space="preserve">Cette première analyse nous a permis de révéler que 9 des 62 patients de notre cohorte portaient au moins 1 variant sur le gène</w:t>
      </w:r>
      <w:r>
        <w:t xml:space="preserve"> </w:t>
      </w:r>
      <w:r>
        <w:rPr>
          <w:i/>
        </w:rPr>
        <w:t xml:space="preserve">DNAH1</w:t>
      </w:r>
      <w:r>
        <w:t xml:space="preserve"> </w:t>
      </w:r>
      <w:r>
        <w:t xml:space="preserve">et que pour 3 d'entre eux ce(s) variants étaient présents à l'état homozygote. Cependant, il faut noter que du fait de son effet tronquant sur la protéine, seul le variant homozygote porté par le patient et</w:t>
      </w:r>
      <w:r>
        <w:t xml:space="preserve"> </w:t>
      </w:r>
      <w:r>
        <w:rPr>
          <w:i/>
        </w:rPr>
        <w:t xml:space="preserve">Ghs122</w:t>
      </w:r>
      <w:r>
        <w:t xml:space="preserve"> </w:t>
      </w:r>
      <w:r>
        <w:t xml:space="preserve">nous permets d'être certains de la causalité du phénotype MMAF. C'est pourquoi, seul les données de ce patient seront retirées de notre liste de variants réduisant celle-ci à 1661 variants chevauchant 1395 gènes (</w:t>
      </w:r>
      <w:r>
        <w:rPr>
          <w:b/>
        </w:rPr>
        <w:t xml:space="preserve">Table :</w:t>
      </w:r>
      <w:r>
        <w:t xml:space="preserve"> </w:t>
      </w:r>
      <w:r>
        <w:t xml:space="preserve">??</w:t>
      </w:r>
      <w:r>
        <w:t xml:space="preserve">). Pour les 8 autres patients, des analyses fonctionnelles complémentaires sont nécessaires.</w:t>
      </w:r>
    </w:p>
    <w:p>
      <w:pPr>
        <w:pStyle w:val="BodyText"/>
      </w:pPr>
      <w:r>
        <w:t xml:space="preserve">Ainsi, les mutations du gène</w:t>
      </w:r>
      <w:r>
        <w:t xml:space="preserve"> </w:t>
      </w:r>
      <w:r>
        <w:rPr>
          <w:i/>
        </w:rPr>
        <w:t xml:space="preserve">DNAH1</w:t>
      </w:r>
      <w:r>
        <w:t xml:space="preserve"> </w:t>
      </w:r>
      <w:r>
        <w:t xml:space="preserve">seraient ainsi responsables de manière certaine de 2 % des phénotype MMAF de notre cohorte. Ce pourcentage monte jusqu'à 15% si l'on considère l'ensemble des patients identifiés dans cette analyse.</w:t>
      </w:r>
    </w:p>
    <w:p>
      <w:pPr>
        <w:pStyle w:val="BodyText"/>
      </w:pPr>
      <w:r>
        <w:t xml:space="preserve">Bien que ce pourcentage soit en deçà des 40% observés dans notre étude précédente</w:t>
      </w:r>
      <w:r>
        <w:t xml:space="preserve"> </w:t>
      </w:r>
      <w:r>
        <w:t xml:space="preserve">(Ben Khelifa et al.,</w:t>
      </w:r>
      <w:r>
        <w:t xml:space="preserve"> </w:t>
      </w:r>
      <w:hyperlink w:anchor="ref-BenKhelifa2014">
        <w:r>
          <w:rPr>
            <w:rStyle w:val="Hyperlink"/>
          </w:rPr>
          <w:t xml:space="preserve">2014</w:t>
        </w:r>
      </w:hyperlink>
      <w:r>
        <w:t xml:space="preserve">)</w:t>
      </w:r>
      <w:r>
        <w:t xml:space="preserve">, ces résultats confirment néanmoins le rôle primordial de la protéine DNAH1 dans la structure du flagelle et l'implication majeure du gène</w:t>
      </w:r>
      <w:r>
        <w:t xml:space="preserve"> </w:t>
      </w:r>
      <w:r>
        <w:rPr>
          <w:i/>
        </w:rPr>
        <w:t xml:space="preserve">DNAH1</w:t>
      </w:r>
      <w:r>
        <w:t xml:space="preserve"> </w:t>
      </w:r>
      <w:r>
        <w:t xml:space="preserve">dans le phénotype MMAF.</w:t>
      </w:r>
    </w:p>
    <w:p>
      <w:pPr>
        <w:pStyle w:val="FigureWithCaption"/>
      </w:pPr>
      <w:r>
        <w:drawing>
          <wp:inline>
            <wp:extent cx="4620126" cy="7392202"/>
            <wp:effectExtent b="0" l="0" r="0" t="0"/>
            <wp:docPr descr="Figure 17 Analyse du gène DNAH1 : Expression tissulaire du gène DNAH1 d'après les données du projet Illumina BodyMap. Quantification du nombre de patients portant au moins un variant sur le gène DNAH1 pour chacun des 3 niveau de confiance" id="1" name="Picture"/>
            <a:graphic>
              <a:graphicData uri="http://schemas.openxmlformats.org/drawingml/2006/picture">
                <pic:pic>
                  <pic:nvPicPr>
                    <pic:cNvPr descr="thesis_files/figure-docx/plotdnah1-1.png" id="0" name="Picture"/>
                    <pic:cNvPicPr>
                      <a:picLocks noChangeArrowheads="1" noChangeAspect="1"/>
                    </pic:cNvPicPr>
                  </pic:nvPicPr>
                  <pic:blipFill>
                    <a:blip r:embed="rId56"/>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17 Analyse du gène</w:t>
      </w:r>
      <w:r>
        <w:t xml:space="preserve"> </w:t>
      </w:r>
      <w:r>
        <w:rPr>
          <w:i/>
        </w:rPr>
        <w:t xml:space="preserve">DNAH1</w:t>
      </w:r>
      <w:r>
        <w:t xml:space="preserve"> </w:t>
      </w:r>
      <w:r>
        <w:t xml:space="preserve">: Expression tissulaire du gène</w:t>
      </w:r>
      <w:r>
        <w:t xml:space="preserve"> </w:t>
      </w:r>
      <w:r>
        <w:rPr>
          <w:i/>
        </w:rPr>
        <w:t xml:space="preserve">DNAH1</w:t>
      </w:r>
      <w:r>
        <w:t xml:space="preserve"> </w:t>
      </w:r>
      <w:r>
        <w:t xml:space="preserve">d'après les données du projet Illumina BodyMap. Quantification du nombre de patients portant au moins un variant sur le gène</w:t>
      </w:r>
      <w:r>
        <w:t xml:space="preserve"> </w:t>
      </w:r>
      <w:r>
        <w:rPr>
          <w:i/>
        </w:rPr>
        <w:t xml:space="preserve">DNAH1</w:t>
      </w:r>
      <w:r>
        <w:t xml:space="preserve"> </w:t>
      </w:r>
      <w:r>
        <w:t xml:space="preserve">pour chacun des 3 niveau de confiance</w:t>
      </w:r>
    </w:p>
    <w:p>
      <w:pPr>
        <w:pStyle w:val="Heading5"/>
      </w:pPr>
      <w:bookmarkStart w:id="57" w:name="analyse-n2"/>
      <w:bookmarkEnd w:id="57"/>
      <w:r>
        <w:t xml:space="preserve">Analyse n°2</w:t>
      </w:r>
    </w:p>
    <w:p>
      <w:pPr>
        <w:pStyle w:val="FirstParagraph"/>
      </w:pPr>
      <w:r>
        <w:t xml:space="preserve">Comme dit précédemment, dans cette analyse nous nous sommes concentrés sur les gènes</w:t>
      </w:r>
      <w:r>
        <w:t xml:space="preserve"> </w:t>
      </w:r>
      <w:r>
        <w:rPr>
          <w:b/>
        </w:rPr>
        <w:t xml:space="preserve">présents dans la liste cilliome</w:t>
      </w:r>
      <w:r>
        <w:t xml:space="preserve"> </w:t>
      </w:r>
      <w:r>
        <w:t xml:space="preserve">sur lesquels</w:t>
      </w:r>
      <w:r>
        <w:t xml:space="preserve"> </w:t>
      </w:r>
      <w:r>
        <w:rPr>
          <w:b/>
        </w:rPr>
        <w:t xml:space="preserve">au moins deux</w:t>
      </w:r>
      <w:r>
        <w:t xml:space="preserve"> </w:t>
      </w:r>
      <w:r>
        <w:t xml:space="preserve">de nos patients présentaient au moins 1 variant</w:t>
      </w:r>
      <w:r>
        <w:t xml:space="preserve"> </w:t>
      </w:r>
      <w:r>
        <w:rPr>
          <w:b/>
        </w:rPr>
        <w:t xml:space="preserve">homozygote</w:t>
      </w:r>
      <w:r>
        <w:t xml:space="preserve"> </w:t>
      </w:r>
      <w:r>
        <w:t xml:space="preserve">ayant un effet tronquant sur la protéine. Nous avons ainsi pu identifier les 4 gènes suivants :</w:t>
      </w:r>
      <w:r>
        <w:t xml:space="preserve"> </w:t>
      </w:r>
      <w:r>
        <w:rPr>
          <w:i/>
        </w:rPr>
        <w:t xml:space="preserve">ARMC2</w:t>
      </w:r>
      <w:r>
        <w:t xml:space="preserve">,</w:t>
      </w:r>
      <w:r>
        <w:t xml:space="preserve"> </w:t>
      </w:r>
      <w:r>
        <w:rPr>
          <w:i/>
        </w:rPr>
        <w:t xml:space="preserve">CCDC146</w:t>
      </w:r>
      <w:r>
        <w:t xml:space="preserve">,</w:t>
      </w:r>
      <w:r>
        <w:t xml:space="preserve"> </w:t>
      </w:r>
      <w:r>
        <w:rPr>
          <w:i/>
        </w:rPr>
        <w:t xml:space="preserve">CFAP44</w:t>
      </w:r>
      <w:r>
        <w:t xml:space="preserve"> </w:t>
      </w:r>
      <w:r>
        <w:t xml:space="preserve">et</w:t>
      </w:r>
      <w:r>
        <w:t xml:space="preserve"> </w:t>
      </w:r>
      <w:r>
        <w:rPr>
          <w:i/>
        </w:rPr>
        <w:t xml:space="preserve">TTC29</w:t>
      </w:r>
      <w:r>
        <w:t xml:space="preserve"> </w:t>
      </w:r>
      <w:r>
        <w:t xml:space="preserve">:</w:t>
      </w:r>
    </w:p>
    <w:p>
      <w:pPr>
        <w:numPr>
          <w:numId w:val="1017"/>
          <w:ilvl w:val="0"/>
        </w:numPr>
      </w:pPr>
      <w:r>
        <w:rPr>
          <w:i/>
          <w:b/>
        </w:rPr>
        <w:t xml:space="preserve">ARMC2</w:t>
      </w:r>
      <w:r>
        <w:t xml:space="preserve"> </w:t>
      </w:r>
      <w:r>
        <w:t xml:space="preserve">: Sur ce gène, 2 patients portent un variant homozygote tronquant :</w:t>
      </w:r>
      <w:r>
        <w:t xml:space="preserve"> </w:t>
      </w:r>
      <w:r>
        <w:rPr>
          <w:i/>
        </w:rPr>
        <w:t xml:space="preserve">Ghs37</w:t>
      </w:r>
      <w:r>
        <w:t xml:space="preserve"> </w:t>
      </w:r>
      <w:r>
        <w:t xml:space="preserve">et</w:t>
      </w:r>
      <w:r>
        <w:t xml:space="preserve"> </w:t>
      </w:r>
      <w:r>
        <w:rPr>
          <w:i/>
        </w:rPr>
        <w:t xml:space="preserve">Ghs93</w:t>
      </w:r>
      <w:r>
        <w:t xml:space="preserve">. Le patient et</w:t>
      </w:r>
      <w:r>
        <w:t xml:space="preserve"> </w:t>
      </w:r>
      <w:r>
        <w:rPr>
          <w:i/>
        </w:rPr>
        <w:t xml:space="preserve">Ghs37</w:t>
      </w:r>
      <w:r>
        <w:t xml:space="preserve"> </w:t>
      </w:r>
      <w:r>
        <w:t xml:space="preserve">portent un indel créant un décalage du cadre de lecture tandis que et</w:t>
      </w:r>
      <w:r>
        <w:t xml:space="preserve"> </w:t>
      </w:r>
      <w:r>
        <w:rPr>
          <w:i/>
        </w:rPr>
        <w:t xml:space="preserve">Ghs93</w:t>
      </w:r>
      <w:r>
        <w:t xml:space="preserve"> </w:t>
      </w:r>
      <w:r>
        <w:t xml:space="preserve">porte un variant créant un codon stop prématuré (</w:t>
      </w:r>
      <w:r>
        <w:rPr>
          <w:b/>
        </w:rPr>
        <w:t xml:space="preserve">Table :</w:t>
      </w:r>
      <w:r>
        <w:rPr>
          <w:b/>
        </w:rPr>
        <w:t xml:space="preserve"> </w:t>
      </w:r>
      <w:r>
        <w:t xml:space="preserve">??</w:t>
      </w:r>
      <w:r>
        <w:t xml:space="preserve">). Le patient et</w:t>
      </w:r>
      <w:r>
        <w:t xml:space="preserve"> </w:t>
      </w:r>
      <w:r>
        <w:rPr>
          <w:i/>
        </w:rPr>
        <w:t xml:space="preserve">Ghs107</w:t>
      </w:r>
      <w:r>
        <w:t xml:space="preserve"> </w:t>
      </w:r>
      <w:r>
        <w:t xml:space="preserve">porte quant à lui un variant faux-sens prédit comme</w:t>
      </w:r>
      <w:r>
        <w:t xml:space="preserve"> </w:t>
      </w:r>
      <w:r>
        <w:rPr>
          <w:i/>
        </w:rPr>
        <w:t xml:space="preserve">deleterious</w:t>
      </w:r>
      <w:r>
        <w:t xml:space="preserve"> </w:t>
      </w:r>
      <w:r>
        <w:t xml:space="preserve">par SIFT et</w:t>
      </w:r>
      <w:r>
        <w:t xml:space="preserve"> </w:t>
      </w:r>
      <w:r>
        <w:rPr>
          <w:i/>
        </w:rPr>
        <w:t xml:space="preserve">probably damaging</w:t>
      </w:r>
      <w:r>
        <w:t xml:space="preserve"> </w:t>
      </w:r>
      <w:r>
        <w:t xml:space="preserve">par PolyPhen. Nous pouvons également noter qu'aucun des variants portés par ces 3 sont absents des 3 bases de données. Les arguments génétiques mentionnés couplés à la forte expression testiculaire de ce gène (</w:t>
      </w:r>
      <w:r>
        <w:rPr>
          <w:b/>
        </w:rPr>
        <w:t xml:space="preserve">Figure :</w:t>
      </w:r>
      <w:r>
        <w:rPr>
          <w:b/>
        </w:rPr>
        <w:t xml:space="preserve"> </w:t>
      </w:r>
      <w:r>
        <w:t xml:space="preserve">18</w:t>
      </w:r>
      <w:r>
        <w:t xml:space="preserve"> </w:t>
      </w:r>
      <w:r>
        <w:t xml:space="preserve">-</w:t>
      </w:r>
      <w:r>
        <w:t xml:space="preserve"> </w:t>
      </w:r>
      <w:r>
        <w:rPr>
          <w:b/>
        </w:rPr>
        <w:t xml:space="preserve">B</w:t>
      </w:r>
      <w:r>
        <w:t xml:space="preserve">) font de celui-ci un très bon candidat pour expliquer le phénotype de ces 3 bien que des analyses fonctionnelles soient nécéssaires pour 1 d'entre eux.</w:t>
      </w:r>
    </w:p>
    <w:p>
      <w:pPr>
        <w:numPr>
          <w:numId w:val="1017"/>
          <w:ilvl w:val="0"/>
        </w:numPr>
      </w:pPr>
      <w:r>
        <w:rPr>
          <w:i/>
          <w:b/>
        </w:rPr>
        <w:t xml:space="preserve">CFAP44</w:t>
      </w:r>
      <w:r>
        <w:t xml:space="preserve"> </w:t>
      </w:r>
      <w:r>
        <w:t xml:space="preserve">: Comme</w:t>
      </w:r>
      <w:r>
        <w:t xml:space="preserve"> </w:t>
      </w:r>
      <w:r>
        <w:rPr>
          <w:i/>
        </w:rPr>
        <w:t xml:space="preserve">ARMC2</w:t>
      </w:r>
      <w:r>
        <w:t xml:space="preserve">, 2 patients portent un variant homozygote tronquant. et</w:t>
      </w:r>
      <w:r>
        <w:t xml:space="preserve"> </w:t>
      </w:r>
      <w:r>
        <w:rPr>
          <w:i/>
        </w:rPr>
        <w:t xml:space="preserve">Ghs22</w:t>
      </w:r>
      <w:r>
        <w:t xml:space="preserve"> </w:t>
      </w:r>
      <w:r>
        <w:t xml:space="preserve">porte un variant stop et et</w:t>
      </w:r>
      <w:r>
        <w:t xml:space="preserve"> </w:t>
      </w:r>
      <w:r>
        <w:rPr>
          <w:i/>
        </w:rPr>
        <w:t xml:space="preserve">Ghs34</w:t>
      </w:r>
      <w:r>
        <w:t xml:space="preserve"> </w:t>
      </w:r>
      <w:r>
        <w:t xml:space="preserve">un variant affectant un site donneur d'épissage. Le fait qu'aucun de ces variant ne soir répertorié dans aucune des bases de données laisse supposer qu'ils sont tous deux très rares. Le patient et</w:t>
      </w:r>
      <w:r>
        <w:t xml:space="preserve"> </w:t>
      </w:r>
      <w:r>
        <w:rPr>
          <w:i/>
        </w:rPr>
        <w:t xml:space="preserve">Ghs89</w:t>
      </w:r>
      <w:r>
        <w:t xml:space="preserve"> </w:t>
      </w:r>
      <w:r>
        <w:t xml:space="preserve">porte un variant faux-sens prédit comme</w:t>
      </w:r>
      <w:r>
        <w:t xml:space="preserve"> </w:t>
      </w:r>
      <w:r>
        <w:rPr>
          <w:i/>
        </w:rPr>
        <w:t xml:space="preserve">tolerated</w:t>
      </w:r>
      <w:r>
        <w:t xml:space="preserve"> </w:t>
      </w:r>
      <w:r>
        <w:t xml:space="preserve">par SIFT et</w:t>
      </w:r>
      <w:r>
        <w:t xml:space="preserve"> </w:t>
      </w:r>
      <w:r>
        <w:rPr>
          <w:i/>
        </w:rPr>
        <w:t xml:space="preserve">possibly damaging</w:t>
      </w:r>
      <w:r>
        <w:t xml:space="preserve"> </w:t>
      </w:r>
      <w:r>
        <w:t xml:space="preserve">par PolyPhen. Les preuves fortes impliquant ce gène dans le cilliome humain ainsi que les effets délétères retrouvé chez 2 des 3 portant des mutations sur ce gène font de</w:t>
      </w:r>
      <w:r>
        <w:t xml:space="preserve"> </w:t>
      </w:r>
      <w:r>
        <w:rPr>
          <w:i/>
        </w:rPr>
        <w:t xml:space="preserve">CFAP44</w:t>
      </w:r>
      <w:r>
        <w:t xml:space="preserve"> </w:t>
      </w:r>
      <w:r>
        <w:t xml:space="preserve">un autre très bon candidat malgré son expression non spécifique au testicule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18</w:t>
      </w:r>
      <w:r>
        <w:t xml:space="preserve"> </w:t>
      </w:r>
      <w:r>
        <w:t xml:space="preserve">-</w:t>
      </w:r>
      <w:r>
        <w:t xml:space="preserve"> </w:t>
      </w:r>
      <w:r>
        <w:rPr>
          <w:b/>
        </w:rPr>
        <w:t xml:space="preserve">B</w:t>
      </w:r>
      <w:r>
        <w:t xml:space="preserve">).</w:t>
      </w:r>
    </w:p>
    <w:p>
      <w:pPr>
        <w:numPr>
          <w:numId w:val="1017"/>
          <w:ilvl w:val="0"/>
        </w:numPr>
      </w:pPr>
      <w:r>
        <w:rPr>
          <w:i/>
          <w:b/>
        </w:rPr>
        <w:t xml:space="preserve">CCDC146</w:t>
      </w:r>
      <w:r>
        <w:t xml:space="preserve"> </w:t>
      </w:r>
      <w:r>
        <w:t xml:space="preserve">: Sur ce gène, seuls les patients</w:t>
      </w:r>
      <w:r>
        <w:t xml:space="preserve"> </w:t>
      </w:r>
      <w:r>
        <w:rPr>
          <w:i/>
        </w:rPr>
        <w:t xml:space="preserve">Ghs32</w:t>
      </w:r>
      <w:r>
        <w:t xml:space="preserve"> </w:t>
      </w:r>
      <w:r>
        <w:t xml:space="preserve">et</w:t>
      </w:r>
      <w:r>
        <w:t xml:space="preserve"> </w:t>
      </w:r>
      <w:r>
        <w:rPr>
          <w:i/>
        </w:rPr>
        <w:t xml:space="preserve">Ghs35</w:t>
      </w:r>
      <w:r>
        <w:t xml:space="preserve"> </w:t>
      </w:r>
      <w:r>
        <w:t xml:space="preserve">sont retrouvés mutés. Cependant, ces deux patients portent tous deux des variants homozygotes induisant respectivement un variant un codon stop prématuré et un décalage du cadre de lecture. Le premier de ces variants est retrouvé à une fréquence très faible à la fois dans ESP et ExAC, tandis que le second est totalement absent de l'ensemble des bases de données. On peut également ajouter que ce gène décrit comme faisant partie du cilliome humain avec de fortes preuves présente également une expression testiculaire relativement élevée. Pour finir, la protéine CCDC146 codée par le gène</w:t>
      </w:r>
      <w:r>
        <w:t xml:space="preserve"> </w:t>
      </w:r>
      <w:r>
        <w:rPr>
          <w:i/>
        </w:rPr>
        <w:t xml:space="preserve">CCDC146</w:t>
      </w:r>
      <w:r>
        <w:t xml:space="preserve"> </w:t>
      </w:r>
      <w:r>
        <w:t xml:space="preserve">avait déjà été décrite comme composant du centrosome spermatique, un organite ayant un rôle dans l'orientation des cellules et étant à l'origine des cils et des flagelles</w:t>
      </w:r>
      <w:r>
        <w:t xml:space="preserve"> </w:t>
      </w:r>
      <w:r>
        <w:t xml:space="preserve">(E. N. Firat-Karalar, Sante, Elliott, &amp; Stearns,</w:t>
      </w:r>
      <w:r>
        <w:t xml:space="preserve"> </w:t>
      </w:r>
      <w:hyperlink w:anchor="ref-Firat-Karalar2014">
        <w:r>
          <w:rPr>
            <w:rStyle w:val="Hyperlink"/>
          </w:rPr>
          <w:t xml:space="preserve">2014</w:t>
        </w:r>
      </w:hyperlink>
      <w:r>
        <w:t xml:space="preserve">)</w:t>
      </w:r>
      <w:r>
        <w:t xml:space="preserve"> </w:t>
      </w:r>
      <w:r>
        <w:t xml:space="preserve">renforçant ainsi les arguments de l'implication de ce gène dans le phénotype MMAF nous permettent ainsi d'affirmer que ces variants sont responsables du phénotype MMAF de ces 2 patients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18</w:t>
      </w:r>
      <w:r>
        <w:t xml:space="preserve"> </w:t>
      </w:r>
      <w:r>
        <w:t xml:space="preserve">-</w:t>
      </w:r>
      <w:r>
        <w:t xml:space="preserve"> </w:t>
      </w:r>
      <w:r>
        <w:rPr>
          <w:b/>
        </w:rPr>
        <w:t xml:space="preserve">B</w:t>
      </w:r>
      <w:r>
        <w:t xml:space="preserve">).</w:t>
      </w:r>
    </w:p>
    <w:p>
      <w:pPr>
        <w:numPr>
          <w:numId w:val="1017"/>
          <w:ilvl w:val="0"/>
        </w:numPr>
      </w:pPr>
      <w:r>
        <w:rPr>
          <w:i/>
          <w:b/>
        </w:rPr>
        <w:t xml:space="preserve">TTC29</w:t>
      </w:r>
      <w:r>
        <w:t xml:space="preserve"> </w:t>
      </w:r>
      <w:r>
        <w:t xml:space="preserve">: Sur ce gène, les patients</w:t>
      </w:r>
      <w:r>
        <w:t xml:space="preserve"> </w:t>
      </w:r>
      <w:r>
        <w:rPr>
          <w:i/>
        </w:rPr>
        <w:t xml:space="preserve">Ghs19</w:t>
      </w:r>
      <w:r>
        <w:t xml:space="preserve"> </w:t>
      </w:r>
      <w:r>
        <w:t xml:space="preserve">et</w:t>
      </w:r>
      <w:r>
        <w:t xml:space="preserve"> </w:t>
      </w:r>
      <w:r>
        <w:rPr>
          <w:i/>
        </w:rPr>
        <w:t xml:space="preserve">Ghs26</w:t>
      </w:r>
      <w:r>
        <w:t xml:space="preserve"> </w:t>
      </w:r>
      <w:r>
        <w:t xml:space="preserve">portent la même variation retrouvée à très faible fréquence dans les trois bases de données et impactant un site donneur d’épissage du transcrit induisant la production d’une protéine aberrante. Ce gène à très forte expression testiculaire avait déjà été décrit en 2014 comme localisant au niveau de l'axonème du flagelle et qu'un</w:t>
      </w:r>
      <w:r>
        <w:t xml:space="preserve"> </w:t>
      </w:r>
      <w:r>
        <w:rPr>
          <w:i/>
        </w:rPr>
        <w:t xml:space="preserve">knock-down</w:t>
      </w:r>
      <w:r>
        <w:t xml:space="preserve"> </w:t>
      </w:r>
      <w:r>
        <w:t xml:space="preserve">entrainait des défauts de la cilliogénèse</w:t>
      </w:r>
      <w:r>
        <w:t xml:space="preserve"> </w:t>
      </w:r>
      <w:r>
        <w:t xml:space="preserve">(Chung et al.,</w:t>
      </w:r>
      <w:r>
        <w:t xml:space="preserve"> </w:t>
      </w:r>
      <w:hyperlink w:anchor="ref-Chung2014">
        <w:r>
          <w:rPr>
            <w:rStyle w:val="Hyperlink"/>
          </w:rPr>
          <w:t xml:space="preserve">2014</w:t>
        </w:r>
      </w:hyperlink>
      <w:r>
        <w:t xml:space="preserve">)</w:t>
      </w:r>
      <w:r>
        <w:t xml:space="preserve"> </w:t>
      </w:r>
      <w:r>
        <w:t xml:space="preserve">faisant de celui-ci un bon candidat pour expliquer le phénotype de ces 2 patients (</w:t>
      </w:r>
      <w:r>
        <w:rPr>
          <w:b/>
        </w:rPr>
        <w:t xml:space="preserve">Table :</w:t>
      </w:r>
      <w:r>
        <w:rPr>
          <w:b/>
        </w:rPr>
        <w:t xml:space="preserve"> </w:t>
      </w:r>
      <w:r>
        <w:t xml:space="preserve">??</w:t>
      </w:r>
      <w:r>
        <w:t xml:space="preserve"> </w:t>
      </w:r>
      <w:r>
        <w:t xml:space="preserve">et</w:t>
      </w:r>
      <w:r>
        <w:t xml:space="preserve"> </w:t>
      </w:r>
      <w:r>
        <w:t xml:space="preserve">??</w:t>
      </w:r>
      <w:r>
        <w:t xml:space="preserve">,</w:t>
      </w:r>
      <w:r>
        <w:t xml:space="preserve"> </w:t>
      </w:r>
      <w:r>
        <w:rPr>
          <w:b/>
        </w:rPr>
        <w:t xml:space="preserve">Figure :</w:t>
      </w:r>
      <w:r>
        <w:rPr>
          <w:b/>
        </w:rPr>
        <w:t xml:space="preserve"> </w:t>
      </w:r>
      <w:r>
        <w:t xml:space="preserve">18</w:t>
      </w:r>
      <w:r>
        <w:t xml:space="preserve"> </w:t>
      </w:r>
      <w:r>
        <w:t xml:space="preserve">-</w:t>
      </w:r>
      <w:r>
        <w:t xml:space="preserve"> </w:t>
      </w:r>
      <w:r>
        <w:rPr>
          <w:b/>
        </w:rPr>
        <w:t xml:space="preserve">B</w:t>
      </w:r>
      <w:r>
        <w:t xml:space="preserve">).</w:t>
      </w:r>
    </w:p>
    <w:p>
      <w:pPr>
        <w:pStyle w:val="FirstParagraph"/>
      </w:pPr>
      <w:r>
        <w:t xml:space="preserve">Cette première analyse au cours de laquelle nous avons sélectionné les gènes retrouvés présents dans la liste cilliome et sur lesquels au moins deux de nos patients présentaient au moins 1 variant homozygote ayant un effet tronquant sur la protéine nous a permis de mettre en évidence 4 nouveaux gènes candidats :</w:t>
      </w:r>
      <w:r>
        <w:t xml:space="preserve"> </w:t>
      </w:r>
      <w:r>
        <w:rPr>
          <w:i/>
        </w:rPr>
        <w:t xml:space="preserve">ARMC2</w:t>
      </w:r>
      <w:r>
        <w:t xml:space="preserve">,</w:t>
      </w:r>
      <w:r>
        <w:t xml:space="preserve"> </w:t>
      </w:r>
      <w:r>
        <w:rPr>
          <w:i/>
        </w:rPr>
        <w:t xml:space="preserve">CCDC146</w:t>
      </w:r>
      <w:r>
        <w:t xml:space="preserve">,</w:t>
      </w:r>
      <w:r>
        <w:t xml:space="preserve"> </w:t>
      </w:r>
      <w:r>
        <w:rPr>
          <w:i/>
        </w:rPr>
        <w:t xml:space="preserve">CFAP44</w:t>
      </w:r>
      <w:r>
        <w:t xml:space="preserve"> </w:t>
      </w:r>
      <w:r>
        <w:t xml:space="preserve">et</w:t>
      </w:r>
      <w:r>
        <w:t xml:space="preserve"> </w:t>
      </w:r>
      <w:r>
        <w:rPr>
          <w:i/>
        </w:rPr>
        <w:t xml:space="preserve">TTC29</w:t>
      </w:r>
      <w:r>
        <w:t xml:space="preserve"> </w:t>
      </w:r>
      <w:r>
        <w:t xml:space="preserve">retrouvés mutés à l'état homozygote chez 10 de nos patients dont 8 avec des variants tronquants soit 13.1% des patients restant dans notre cohorte. Pour les 2 autres, des analyses fonctionnelles sont nécessaires afin de pouvoir être sûr ce leurs variants sont bien responsables de leur phénotype. La cause génétique responsable du phénotype des patients</w:t>
      </w:r>
      <w:r>
        <w:t xml:space="preserve"> </w:t>
      </w:r>
      <w:r>
        <w:rPr>
          <w:i/>
        </w:rPr>
        <w:t xml:space="preserve">Ghs19</w:t>
      </w:r>
      <w:r>
        <w:t xml:space="preserve">,</w:t>
      </w:r>
      <w:r>
        <w:t xml:space="preserve"> </w:t>
      </w:r>
      <w:r>
        <w:rPr>
          <w:i/>
        </w:rPr>
        <w:t xml:space="preserve">Ghs22</w:t>
      </w:r>
      <w:r>
        <w:t xml:space="preserve">,</w:t>
      </w:r>
      <w:r>
        <w:t xml:space="preserve"> </w:t>
      </w:r>
      <w:r>
        <w:rPr>
          <w:i/>
        </w:rPr>
        <w:t xml:space="preserve">Ghs26</w:t>
      </w:r>
      <w:r>
        <w:t xml:space="preserve">,</w:t>
      </w:r>
      <w:r>
        <w:t xml:space="preserve"> </w:t>
      </w:r>
      <w:r>
        <w:rPr>
          <w:i/>
        </w:rPr>
        <w:t xml:space="preserve">Ghs32</w:t>
      </w:r>
      <w:r>
        <w:t xml:space="preserve">,</w:t>
      </w:r>
      <w:r>
        <w:t xml:space="preserve"> </w:t>
      </w:r>
      <w:r>
        <w:rPr>
          <w:i/>
        </w:rPr>
        <w:t xml:space="preserve">Ghs34</w:t>
      </w:r>
      <w:r>
        <w:t xml:space="preserve">,</w:t>
      </w:r>
      <w:r>
        <w:t xml:space="preserve"> </w:t>
      </w:r>
      <w:r>
        <w:rPr>
          <w:i/>
        </w:rPr>
        <w:t xml:space="preserve">Ghs35</w:t>
      </w:r>
      <w:r>
        <w:t xml:space="preserve">,</w:t>
      </w:r>
      <w:r>
        <w:t xml:space="preserve"> </w:t>
      </w:r>
      <w:r>
        <w:rPr>
          <w:i/>
        </w:rPr>
        <w:t xml:space="preserve">Ghs37</w:t>
      </w:r>
      <w:r>
        <w:t xml:space="preserve"> </w:t>
      </w:r>
      <w:r>
        <w:t xml:space="preserve">et</w:t>
      </w:r>
      <w:r>
        <w:t xml:space="preserve"> </w:t>
      </w:r>
      <w:r>
        <w:rPr>
          <w:i/>
        </w:rPr>
        <w:t xml:space="preserve">Ghs93</w:t>
      </w:r>
      <w:r>
        <w:t xml:space="preserve"> </w:t>
      </w:r>
      <w:r>
        <w:t xml:space="preserve">ayant été identifiées avec certitude, l'ensemble de leurs données de variants sont retirées de nos liste réduisant ainsi celle-ci à 1331 chevauchant 1164 et répartis sur 53. Les données des patients</w:t>
      </w:r>
      <w:r>
        <w:t xml:space="preserve"> </w:t>
      </w:r>
      <w:r>
        <w:rPr>
          <w:i/>
        </w:rPr>
        <w:t xml:space="preserve">Ghs107</w:t>
      </w:r>
      <w:r>
        <w:t xml:space="preserve"> </w:t>
      </w:r>
      <w:r>
        <w:t xml:space="preserve">et</w:t>
      </w:r>
      <w:r>
        <w:t xml:space="preserve"> </w:t>
      </w:r>
      <w:r>
        <w:rPr>
          <w:i/>
        </w:rPr>
        <w:t xml:space="preserve">Ghs89</w:t>
      </w:r>
      <w:r>
        <w:t xml:space="preserve"> </w:t>
      </w:r>
      <w:r>
        <w:t xml:space="preserve">sont, elles, conservées afin de voir si un meilleur candidat pourrait expliquer le phénotype de ces patients.</w:t>
      </w:r>
    </w:p>
    <w:p>
      <w:pPr>
        <w:pStyle w:val="FigureWithCaption"/>
      </w:pPr>
      <w:r>
        <w:drawing>
          <wp:inline>
            <wp:extent cx="4620126" cy="6651056"/>
            <wp:effectExtent b="0" l="0" r="0" t="0"/>
            <wp:docPr descr="Figure 18 Analyse des gènes sélectionnés dans l'Analyse n°1 : Expression tissulaire des gènes retenus d'après les données du projet de transcriptome Illumina bodyMap. Résumé de l'Analyse 1,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1high-1.png" id="0" name="Picture"/>
                    <pic:cNvPicPr>
                      <a:picLocks noChangeArrowheads="1" noChangeAspect="1"/>
                    </pic:cNvPicPr>
                  </pic:nvPicPr>
                  <pic:blipFill>
                    <a:blip r:embed="rId58"/>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18 Analyse des gènes sélectionnés dans l'Analyse n°1 : Expression tissulaire des gènes retenus d'après les données du projet de transcriptome Illumina bodyMap. Résumé de l'Analyse 1, quantification du nombre de patients retrouvés mutés sur chacun des gènes retenus ainsi que du degré de confiance accordé à la cause génétique</w:t>
      </w:r>
    </w:p>
    <w:p>
      <w:pPr>
        <w:pStyle w:val="Heading5"/>
      </w:pPr>
      <w:bookmarkStart w:id="59" w:name="analyse-n3"/>
      <w:bookmarkEnd w:id="59"/>
      <w:r>
        <w:t xml:space="preserve">Analyse n°3</w:t>
      </w:r>
    </w:p>
    <w:p>
      <w:pPr>
        <w:pStyle w:val="FirstParagraph"/>
      </w:pPr>
      <w:r>
        <w:t xml:space="preserve">Pour rappel, au cours de cette analyse, nous avons étudié les gènes</w:t>
      </w:r>
      <w:r>
        <w:t xml:space="preserve"> </w:t>
      </w:r>
      <w:r>
        <w:rPr>
          <w:b/>
        </w:rPr>
        <w:t xml:space="preserve">absents dans la liste cilliome</w:t>
      </w:r>
      <w:r>
        <w:t xml:space="preserve"> </w:t>
      </w:r>
      <w:r>
        <w:t xml:space="preserve">mais sur lesquels on trouvait toujours</w:t>
      </w:r>
      <w:r>
        <w:t xml:space="preserve"> </w:t>
      </w:r>
      <w:r>
        <w:rPr>
          <w:b/>
        </w:rPr>
        <w:t xml:space="preserve">au moins deux</w:t>
      </w:r>
      <w:r>
        <w:t xml:space="preserve"> </w:t>
      </w:r>
      <w:r>
        <w:t xml:space="preserve">de nos patients présentant au moins 1 variant tronquant à l'état</w:t>
      </w:r>
      <w:r>
        <w:t xml:space="preserve"> </w:t>
      </w:r>
      <w:r>
        <w:rPr>
          <w:b/>
        </w:rPr>
        <w:t xml:space="preserve">homozygote</w:t>
      </w:r>
      <w:r>
        <w:t xml:space="preserve">. 17 patients différents portaient ainsi au moins un variant homozygote tronquant sur l'un des 8 gènes suivants :</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w:t>
      </w:r>
      <w:r>
        <w:t xml:space="preserve"> </w:t>
      </w:r>
      <w:r>
        <w:rPr>
          <w:i/>
        </w:rPr>
        <w:t xml:space="preserve">FSIP2</w:t>
      </w:r>
      <w:r>
        <w:t xml:space="preserve">,</w:t>
      </w:r>
      <w:r>
        <w:t xml:space="preserve"> </w:t>
      </w:r>
      <w:r>
        <w:rPr>
          <w:i/>
        </w:rPr>
        <w:t xml:space="preserve">ICA1</w:t>
      </w:r>
      <w:r>
        <w:t xml:space="preserve">,</w:t>
      </w:r>
      <w:r>
        <w:t xml:space="preserve"> </w:t>
      </w:r>
      <w:r>
        <w:rPr>
          <w:i/>
        </w:rPr>
        <w:t xml:space="preserve">NACA</w:t>
      </w:r>
      <w:r>
        <w:t xml:space="preserve">,</w:t>
      </w:r>
      <w:r>
        <w:t xml:space="preserve"> </w:t>
      </w:r>
      <w:r>
        <w:rPr>
          <w:i/>
        </w:rPr>
        <w:t xml:space="preserve">SART3</w:t>
      </w:r>
      <w:r>
        <w:t xml:space="preserve"> </w:t>
      </w:r>
      <w:r>
        <w:t xml:space="preserve">et</w:t>
      </w:r>
      <w:r>
        <w:t xml:space="preserve"> </w:t>
      </w:r>
      <w:r>
        <w:rPr>
          <w:i/>
        </w:rPr>
        <w:t xml:space="preserve">TRAV26-1</w:t>
      </w:r>
      <w:r>
        <w:t xml:space="preserve">.</w:t>
      </w:r>
    </w:p>
    <w:p>
      <w:pPr>
        <w:numPr>
          <w:numId w:val="1018"/>
          <w:ilvl w:val="0"/>
        </w:numPr>
      </w:pPr>
      <w:r>
        <w:rPr>
          <w:i/>
          <w:b/>
        </w:rPr>
        <w:t xml:space="preserve">CFAP43</w:t>
      </w:r>
      <w:r>
        <w:t xml:space="preserve"> </w:t>
      </w:r>
      <w:r>
        <w:t xml:space="preserve">: 7 patients portent au moins 1 variant sur le gène</w:t>
      </w:r>
      <w:r>
        <w:t xml:space="preserve"> </w:t>
      </w:r>
      <w:r>
        <w:rPr>
          <w:i/>
        </w:rPr>
        <w:t xml:space="preserve">CFAP43</w:t>
      </w:r>
      <w:r>
        <w:t xml:space="preserve">. Parmi ceux-ci, les patients</w:t>
      </w:r>
      <w:r>
        <w:t xml:space="preserve"> </w:t>
      </w:r>
      <w:r>
        <w:rPr>
          <w:i/>
        </w:rPr>
        <w:t xml:space="preserve">Ghs102</w:t>
      </w:r>
      <w:r>
        <w:t xml:space="preserve">,</w:t>
      </w:r>
      <w:r>
        <w:t xml:space="preserve"> </w:t>
      </w:r>
      <w:r>
        <w:rPr>
          <w:i/>
        </w:rPr>
        <w:t xml:space="preserve">Ghs105</w:t>
      </w:r>
      <w:r>
        <w:t xml:space="preserve">,</w:t>
      </w:r>
      <w:r>
        <w:t xml:space="preserve"> </w:t>
      </w:r>
      <w:r>
        <w:rPr>
          <w:i/>
        </w:rPr>
        <w:t xml:space="preserve">Ghs126</w:t>
      </w:r>
      <w:r>
        <w:t xml:space="preserve">,</w:t>
      </w:r>
      <w:r>
        <w:t xml:space="preserve"> </w:t>
      </w:r>
      <w:r>
        <w:rPr>
          <w:i/>
        </w:rPr>
        <w:t xml:space="preserve">Ghs17</w:t>
      </w:r>
      <w:r>
        <w:t xml:space="preserve"> </w:t>
      </w:r>
      <w:r>
        <w:t xml:space="preserve">et</w:t>
      </w:r>
      <w:r>
        <w:t xml:space="preserve"> </w:t>
      </w:r>
      <w:r>
        <w:rPr>
          <w:i/>
        </w:rPr>
        <w:t xml:space="preserve">Ghs41</w:t>
      </w:r>
      <w:r>
        <w:t xml:space="preserve"> </w:t>
      </w:r>
      <w:r>
        <w:t xml:space="preserve">portent une mutation tronquante à l'état homozygote soit absente des bases de données soit présentent avec une très faible fréquence. Le patient et</w:t>
      </w:r>
      <w:r>
        <w:t xml:space="preserve"> </w:t>
      </w:r>
      <w:r>
        <w:rPr>
          <w:i/>
        </w:rPr>
        <w:t xml:space="preserve">Ghs25</w:t>
      </w:r>
      <w:r>
        <w:t xml:space="preserve"> </w:t>
      </w:r>
      <w:r>
        <w:t xml:space="preserve">lui porte un variant homozygote intronique au situé au sein de la région d'épissage (et non sur un site donneur ou accepteur). Bien que ce type de variants puissent effectivement avoir un impact sur l'épissage, il pourrait également être sans effet, or, il est difficile de le prédire à ce stade. (TODO :: faire tourner un algo de prédiction). Le patient et</w:t>
      </w:r>
      <w:r>
        <w:t xml:space="preserve"> </w:t>
      </w:r>
      <w:r>
        <w:rPr>
          <w:i/>
        </w:rPr>
        <w:t xml:space="preserve">Ghs132</w:t>
      </w:r>
      <w:r>
        <w:t xml:space="preserve"> </w:t>
      </w:r>
      <w:r>
        <w:t xml:space="preserve">en revanche semble plus intéressant, puisque celui-ci porte deux variant hétérozygotes sur le gène</w:t>
      </w:r>
      <w:r>
        <w:t xml:space="preserve"> </w:t>
      </w:r>
      <w:r>
        <w:rPr>
          <w:i/>
        </w:rPr>
        <w:t xml:space="preserve">CFAP43</w:t>
      </w:r>
      <w:r>
        <w:t xml:space="preserve"> </w:t>
      </w:r>
      <w:r>
        <w:t xml:space="preserve">parmi lesquels un est un indel entrainant un décalage du cadre de lecture tandis que l'autre est un faux-sens prédit comme</w:t>
      </w:r>
      <w:r>
        <w:t xml:space="preserve"> </w:t>
      </w:r>
      <w:r>
        <w:rPr>
          <w:i/>
        </w:rPr>
        <w:t xml:space="preserve">possibly damaging</w:t>
      </w:r>
      <w:r>
        <w:t xml:space="preserve"> </w:t>
      </w:r>
      <w:r>
        <w:t xml:space="preserve">par Polyphen, bien qu'il soit annoté</w:t>
      </w:r>
      <w:r>
        <w:t xml:space="preserve"> </w:t>
      </w:r>
      <w:r>
        <w:rPr>
          <w:i/>
        </w:rPr>
        <w:t xml:space="preserve">tolerated</w:t>
      </w:r>
      <w:r>
        <w:t xml:space="preserve"> </w:t>
      </w:r>
      <w:r>
        <w:t xml:space="preserve">par SIFT. Malgré une expression ubiquitaire (</w:t>
      </w:r>
      <w:r>
        <w:rPr>
          <w:b/>
        </w:rPr>
        <w:t xml:space="preserve">Figure :</w:t>
      </w:r>
      <w:r>
        <w:rPr>
          <w:b/>
        </w:rPr>
        <w:t xml:space="preserve"> </w:t>
      </w:r>
      <w:r>
        <w:t xml:space="preserve">19</w:t>
      </w:r>
      <w:r>
        <w:t xml:space="preserve"> </w:t>
      </w:r>
      <w:r>
        <w:t xml:space="preserve">-</w:t>
      </w:r>
      <w:r>
        <w:t xml:space="preserve"> </w:t>
      </w:r>
      <w:r>
        <w:rPr>
          <w:b/>
        </w:rPr>
        <w:t xml:space="preserve">B</w:t>
      </w:r>
      <w:r>
        <w:t xml:space="preserve">), le nombre important de patients portant des variant sur celui-ci, notamment 5 portant des variants tronquants homozygote font de ce gène un bon candidat.</w:t>
      </w:r>
    </w:p>
    <w:p>
      <w:pPr>
        <w:numPr>
          <w:numId w:val="1018"/>
          <w:ilvl w:val="0"/>
        </w:numPr>
      </w:pPr>
      <w:r>
        <w:rPr>
          <w:i/>
          <w:b/>
        </w:rPr>
        <w:t xml:space="preserve">FSIP2</w:t>
      </w:r>
      <w:r>
        <w:t xml:space="preserve"> </w:t>
      </w:r>
      <w:r>
        <w:t xml:space="preserve">: Comme pour le gène</w:t>
      </w:r>
      <w:r>
        <w:t xml:space="preserve"> </w:t>
      </w:r>
      <w:r>
        <w:rPr>
          <w:i/>
        </w:rPr>
        <w:t xml:space="preserve">CFAP43</w:t>
      </w:r>
      <w:r>
        <w:t xml:space="preserve">, 7 de nos patients portaient 1 variant sur le gène</w:t>
      </w:r>
      <w:r>
        <w:t xml:space="preserve"> </w:t>
      </w:r>
      <w:r>
        <w:rPr>
          <w:i/>
        </w:rPr>
        <w:t xml:space="preserve">FSIP2</w:t>
      </w:r>
      <w:r>
        <w:t xml:space="preserve"> </w:t>
      </w:r>
      <w:r>
        <w:t xml:space="preserve">cependant pour seulement 2 d'entre eux ce variant était tronquant à l'état homozygote. En effet, les patients</w:t>
      </w:r>
      <w:r>
        <w:t xml:space="preserve"> </w:t>
      </w:r>
      <w:r>
        <w:rPr>
          <w:i/>
        </w:rPr>
        <w:t xml:space="preserve">Ghs20</w:t>
      </w:r>
      <w:r>
        <w:t xml:space="preserve"> </w:t>
      </w:r>
      <w:r>
        <w:t xml:space="preserve">et</w:t>
      </w:r>
      <w:r>
        <w:t xml:space="preserve"> </w:t>
      </w:r>
      <w:r>
        <w:rPr>
          <w:i/>
        </w:rPr>
        <w:t xml:space="preserve">Ghs21</w:t>
      </w:r>
      <w:r>
        <w:t xml:space="preserve"> </w:t>
      </w:r>
      <w:r>
        <w:t xml:space="preserve">portent tous deux un indel entrainant un décalage du cadre de lecture dont aucun n'est répertorié dans les bases de données. Le patient et</w:t>
      </w:r>
      <w:r>
        <w:t xml:space="preserve"> </w:t>
      </w:r>
      <w:r>
        <w:rPr>
          <w:i/>
        </w:rPr>
        <w:t xml:space="preserve">Ghs131</w:t>
      </w:r>
      <w:r>
        <w:t xml:space="preserve"> </w:t>
      </w:r>
      <w:r>
        <w:t xml:space="preserve">porte lui un faux-sens homozygote prédit comme</w:t>
      </w:r>
      <w:r>
        <w:t xml:space="preserve"> </w:t>
      </w:r>
      <w:r>
        <w:rPr>
          <w:i/>
        </w:rPr>
        <w:t xml:space="preserve">benign</w:t>
      </w:r>
      <w:r>
        <w:t xml:space="preserve"> </w:t>
      </w:r>
      <w:r>
        <w:t xml:space="preserve">par PolyPhen. 4 autres patients portent au moins deux variants hétérozygote sur ce gène, cependant la plupart sont des faux-sens prédit également comme</w:t>
      </w:r>
      <w:r>
        <w:t xml:space="preserve"> </w:t>
      </w:r>
      <w:r>
        <w:rPr>
          <w:i/>
        </w:rPr>
        <w:t xml:space="preserve">benign</w:t>
      </w:r>
      <w:r>
        <w:t xml:space="preserve"> </w:t>
      </w:r>
      <w:r>
        <w:t xml:space="preserve">par PolyPhen. Bien que l'effet sur la protéine des variants portés par 5 des 7 patients portant au moins un variant sur ce gène soit incertains, les variants tronquant portés par les patients</w:t>
      </w:r>
      <w:r>
        <w:t xml:space="preserve"> </w:t>
      </w:r>
      <w:r>
        <w:rPr>
          <w:i/>
        </w:rPr>
        <w:t xml:space="preserve">Ghs20</w:t>
      </w:r>
      <w:r>
        <w:t xml:space="preserve"> </w:t>
      </w:r>
      <w:r>
        <w:t xml:space="preserve">et</w:t>
      </w:r>
      <w:r>
        <w:t xml:space="preserve"> </w:t>
      </w:r>
      <w:r>
        <w:rPr>
          <w:i/>
        </w:rPr>
        <w:t xml:space="preserve">Ghs21</w:t>
      </w:r>
      <w:r>
        <w:t xml:space="preserve"> </w:t>
      </w:r>
      <w:r>
        <w:t xml:space="preserve">ainsi que sa forte expression testiculaire et le fait que son implication dans la structure de la gaine fibreuse du flagelle spermatique ait été montrée en 2003</w:t>
      </w:r>
      <w:r>
        <w:t xml:space="preserve"> </w:t>
      </w:r>
      <w:r>
        <w:t xml:space="preserve">(Brown, Miki, Harper, &amp; Eddy,</w:t>
      </w:r>
      <w:r>
        <w:t xml:space="preserve"> </w:t>
      </w:r>
      <w:hyperlink w:anchor="ref-Brown2003">
        <w:r>
          <w:rPr>
            <w:rStyle w:val="Hyperlink"/>
          </w:rPr>
          <w:t xml:space="preserve">2003</w:t>
        </w:r>
      </w:hyperlink>
      <w:r>
        <w:t xml:space="preserve">)</w:t>
      </w:r>
      <w:r>
        <w:t xml:space="preserve"> </w:t>
      </w:r>
      <w:r>
        <w:t xml:space="preserve">font de ce gène un excellent candidat pour expliquer le phénotype d'au moins 2 patients. Pour les autres, des analyses fonctionnelles seront nécessaires.</w:t>
      </w:r>
    </w:p>
    <w:p>
      <w:pPr>
        <w:numPr>
          <w:numId w:val="1018"/>
          <w:ilvl w:val="0"/>
        </w:numPr>
      </w:pPr>
      <w:r>
        <w:rPr>
          <w:i/>
          <w:b/>
        </w:rPr>
        <w:t xml:space="preserve">SART3</w:t>
      </w:r>
      <w:r>
        <w:t xml:space="preserve"> </w:t>
      </w:r>
      <w:r>
        <w:t xml:space="preserve">: Un total de 4 patients portait</w:t>
      </w:r>
      <w:r>
        <w:t xml:space="preserve"> </w:t>
      </w:r>
      <w:r>
        <w:rPr>
          <w:b/>
        </w:rPr>
        <w:t xml:space="preserve">le même</w:t>
      </w:r>
      <w:r>
        <w:t xml:space="preserve"> </w:t>
      </w:r>
      <w:r>
        <w:t xml:space="preserve">variants homozygote. Ces patients étant tous issus du même projet de séquençage (Strasbourg 2012) ce variant pourrait parfaitement être un artefact dû au protocole de séquençage. Cette hypothèse est d'autant plus probable que l'ensemble des patients séquencés dans ce projet présentaient un phénotype MMAF, ainsi, aucun des individus de notre cohorte contrôle n'a donc pu servir à filtrer les variants artefactuels issus de ce projet. De plus, on peut constater que l'expression tissulaire de ce gène est ubiquitaire. Pour ces différentes raisons, ce gène n'a pas été retenu comme candidat dans nos analyses.</w:t>
      </w:r>
    </w:p>
    <w:p>
      <w:pPr>
        <w:numPr>
          <w:numId w:val="1018"/>
          <w:ilvl w:val="0"/>
        </w:numPr>
      </w:pPr>
      <w:r>
        <w:rPr>
          <w:i/>
          <w:b/>
        </w:rPr>
        <w:t xml:space="preserve">ICA1</w:t>
      </w:r>
      <w:r>
        <w:rPr>
          <w:b/>
        </w:rPr>
        <w:t xml:space="preserve"> </w:t>
      </w:r>
      <w:r>
        <w:rPr>
          <w:b/>
        </w:rPr>
        <w:t xml:space="preserve">et</w:t>
      </w:r>
      <w:r>
        <w:rPr>
          <w:b/>
        </w:rPr>
        <w:t xml:space="preserve"> </w:t>
      </w:r>
      <w:r>
        <w:rPr>
          <w:i/>
          <w:b/>
        </w:rPr>
        <w:t xml:space="preserve">TRAV26-1</w:t>
      </w:r>
      <w:r>
        <w:t xml:space="preserve"> </w:t>
      </w:r>
      <w:r>
        <w:t xml:space="preserve">: Ces deux gènes sont chacun retrouvés présentant des variants homozygotes tronquant chez 6 de nos patients. Pour chaque gène on peut noter que c'est à chaque fois le même variant qui est partagé par les trois patients ce qui est asses étonnant étant donné le fait que ces patients ne sont pas apparentés et n'ont pas été séquencés lors du même projet de séquençage. De plus, on peut observer que le patient et</w:t>
      </w:r>
      <w:r>
        <w:t xml:space="preserve"> </w:t>
      </w:r>
      <w:r>
        <w:rPr>
          <w:i/>
        </w:rPr>
        <w:t xml:space="preserve">Ghs40</w:t>
      </w:r>
      <w:r>
        <w:t xml:space="preserve"> </w:t>
      </w:r>
      <w:r>
        <w:t xml:space="preserve">porte un variant sur chacun de ces deux gènes, de même qu'il en portait également un sur le gène</w:t>
      </w:r>
      <w:r>
        <w:t xml:space="preserve"> </w:t>
      </w:r>
      <w:r>
        <w:rPr>
          <w:i/>
        </w:rPr>
        <w:t xml:space="preserve">SART3</w:t>
      </w:r>
      <w:r>
        <w:t xml:space="preserve">. L'expression testiculaire de ces deux gènes apparait elle aussi très faible. De plus, la bibliographie du gène</w:t>
      </w:r>
      <w:r>
        <w:t xml:space="preserve"> </w:t>
      </w:r>
      <w:r>
        <w:rPr>
          <w:i/>
        </w:rPr>
        <w:t xml:space="preserve">ICA1</w:t>
      </w:r>
      <w:r>
        <w:t xml:space="preserve"> </w:t>
      </w:r>
      <w:r>
        <w:t xml:space="preserve">révèle que celui-ci est principalement exprimé dans le pancréas</w:t>
      </w:r>
      <w:r>
        <w:t xml:space="preserve"> </w:t>
      </w:r>
      <w:r>
        <w:t xml:space="preserve">(Mally, Cirulli, Hayek, &amp; Otonkoski,</w:t>
      </w:r>
      <w:r>
        <w:t xml:space="preserve"> </w:t>
      </w:r>
      <w:hyperlink w:anchor="ref-Mally1996">
        <w:r>
          <w:rPr>
            <w:rStyle w:val="Hyperlink"/>
          </w:rPr>
          <w:t xml:space="preserve">1996</w:t>
        </w:r>
      </w:hyperlink>
      <w:r>
        <w:t xml:space="preserve">,</w:t>
      </w:r>
      <w:r>
        <w:t xml:space="preserve"> </w:t>
      </w:r>
      <w:r>
        <w:t xml:space="preserve">Stassi, Schloot, &amp; Pietropaolo (</w:t>
      </w:r>
      <w:hyperlink w:anchor="ref-Stassi1997">
        <w:r>
          <w:rPr>
            <w:rStyle w:val="Hyperlink"/>
          </w:rPr>
          <w:t xml:space="preserve">1997</w:t>
        </w:r>
      </w:hyperlink>
      <w:r>
        <w:t xml:space="preserve">)</w:t>
      </w:r>
      <w:r>
        <w:t xml:space="preserve">)</w:t>
      </w:r>
      <w:r>
        <w:t xml:space="preserve"> </w:t>
      </w:r>
      <w:r>
        <w:t xml:space="preserve">et que celui-ci serait à la fois lié au diabète de type 1</w:t>
      </w:r>
      <w:r>
        <w:t xml:space="preserve"> </w:t>
      </w:r>
      <w:r>
        <w:t xml:space="preserve">(S. Martin et al.,</w:t>
      </w:r>
      <w:r>
        <w:t xml:space="preserve"> </w:t>
      </w:r>
      <w:hyperlink w:anchor="ref-Martin1995">
        <w:r>
          <w:rPr>
            <w:rStyle w:val="Hyperlink"/>
          </w:rPr>
          <w:t xml:space="preserve">1995</w:t>
        </w:r>
      </w:hyperlink>
      <w:r>
        <w:t xml:space="preserve">,</w:t>
      </w:r>
      <w:r>
        <w:t xml:space="preserve"> </w:t>
      </w:r>
      <w:r>
        <w:t xml:space="preserve">R. Gaedigk, Duncan, Miyazaki, Robinson, &amp; Dosch (</w:t>
      </w:r>
      <w:hyperlink w:anchor="ref-Gaedigk1994">
        <w:r>
          <w:rPr>
            <w:rStyle w:val="Hyperlink"/>
          </w:rPr>
          <w:t xml:space="preserve">1994</w:t>
        </w:r>
      </w:hyperlink>
      <w:r>
        <w:t xml:space="preserve">)</w:t>
      </w:r>
      <w:r>
        <w:t xml:space="preserve">,</w:t>
      </w:r>
      <w:r>
        <w:t xml:space="preserve"> </w:t>
      </w:r>
      <w:r>
        <w:t xml:space="preserve">S. Martin, Lampasona, Dosch, &amp; Pietropaolo (</w:t>
      </w:r>
      <w:hyperlink w:anchor="ref-Martin1996">
        <w:r>
          <w:rPr>
            <w:rStyle w:val="Hyperlink"/>
          </w:rPr>
          <w:t xml:space="preserve">1996</w:t>
        </w:r>
      </w:hyperlink>
      <w:r>
        <w:t xml:space="preserve">)</w:t>
      </w:r>
      <w:r>
        <w:t xml:space="preserve">)</w:t>
      </w:r>
      <w:r>
        <w:t xml:space="preserve"> </w:t>
      </w:r>
      <w:r>
        <w:t xml:space="preserve">et au syndrome de Gougerot-Sjögren</w:t>
      </w:r>
      <w:r>
        <w:t xml:space="preserve"> </w:t>
      </w:r>
      <w:r>
        <w:t xml:space="preserve">(S. Winer et al.,</w:t>
      </w:r>
      <w:r>
        <w:t xml:space="preserve"> </w:t>
      </w:r>
      <w:hyperlink w:anchor="ref-Winer2002">
        <w:r>
          <w:rPr>
            <w:rStyle w:val="Hyperlink"/>
          </w:rPr>
          <w:t xml:space="preserve">2002</w:t>
        </w:r>
      </w:hyperlink>
      <w:r>
        <w:t xml:space="preserve">)</w:t>
      </w:r>
      <w:r>
        <w:t xml:space="preserve">. Malgré le nombre important de patients présentant des variants homozygotes tronquant sur ces deux gènes, ceux-ci n'ont pas été retenus comme candidat pour expliquer le phénotype MMAF de ces 3 patients.</w:t>
      </w:r>
    </w:p>
    <w:p>
      <w:pPr>
        <w:numPr>
          <w:numId w:val="1018"/>
          <w:ilvl w:val="0"/>
        </w:numPr>
      </w:pPr>
      <w:r>
        <w:rPr>
          <w:i/>
          <w:b/>
        </w:rPr>
        <w:t xml:space="preserve">BAZ1A</w:t>
      </w:r>
      <w:r>
        <w:t xml:space="preserve"> </w:t>
      </w:r>
      <w:r>
        <w:t xml:space="preserve">: Sur ce gène, les patient</w:t>
      </w:r>
      <w:r>
        <w:t xml:space="preserve"> </w:t>
      </w:r>
      <w:r>
        <w:rPr>
          <w:i/>
        </w:rPr>
        <w:t xml:space="preserve">Ghs18</w:t>
      </w:r>
      <w:r>
        <w:t xml:space="preserve"> </w:t>
      </w:r>
      <w:r>
        <w:t xml:space="preserve">et</w:t>
      </w:r>
      <w:r>
        <w:t xml:space="preserve"> </w:t>
      </w:r>
      <w:r>
        <w:rPr>
          <w:i/>
        </w:rPr>
        <w:t xml:space="preserve">Ghs94</w:t>
      </w:r>
      <w:r>
        <w:t xml:space="preserve"> </w:t>
      </w:r>
      <w:r>
        <w:t xml:space="preserve">portent tous deux le même indel à l'état homozygote. Celui-ci entrainant un décalage du cadre de lecture induit la formation d'une protéine aberrente. L'absence de cette indel dans les trois bases de données laisse supposer une faible fréquence de ce variant dans la population générale. Bien que ce gène présente une faible expression testiculaire, une étude de 2013 effectuée chez la souris a démontré son rôle majeur dans la spermatogénèse, les souris</w:t>
      </w:r>
      <w:r>
        <w:t xml:space="preserve"> </w:t>
      </w:r>
      <w:r>
        <w:rPr>
          <w:i/>
        </w:rPr>
        <w:t xml:space="preserve">KO</w:t>
      </w:r>
      <w:r>
        <w:t xml:space="preserve"> </w:t>
      </w:r>
      <w:r>
        <w:rPr>
          <w:i/>
        </w:rPr>
        <w:t xml:space="preserve">Baz1a</w:t>
      </w:r>
      <w:r>
        <w:t xml:space="preserve">^{-/-} présentaient de nombreux défauts tel que des spermatozoïdes non motiles, présentant une morphologie de la tête et du flagelle aberrante</w:t>
      </w:r>
      <w:r>
        <w:t xml:space="preserve"> </w:t>
      </w:r>
      <w:r>
        <w:t xml:space="preserve">(Dowdle et al.,</w:t>
      </w:r>
      <w:r>
        <w:t xml:space="preserve"> </w:t>
      </w:r>
      <w:hyperlink w:anchor="ref-Dowdle2013">
        <w:r>
          <w:rPr>
            <w:rStyle w:val="Hyperlink"/>
          </w:rPr>
          <w:t xml:space="preserve">2013</w:t>
        </w:r>
      </w:hyperlink>
      <w:r>
        <w:t xml:space="preserve">)</w:t>
      </w:r>
      <w:r>
        <w:t xml:space="preserve"> </w:t>
      </w:r>
      <w:r>
        <w:t xml:space="preserve">faisant ainsi de ce gène un bon candidat pour expliquer le phénotype de ces 2 patients.</w:t>
      </w:r>
    </w:p>
    <w:p>
      <w:pPr>
        <w:numPr>
          <w:numId w:val="1018"/>
          <w:ilvl w:val="0"/>
        </w:numPr>
      </w:pPr>
      <w:r>
        <w:rPr>
          <w:i/>
          <w:b/>
        </w:rPr>
        <w:t xml:space="preserve">CCDC129</w:t>
      </w:r>
      <w:r>
        <w:t xml:space="preserve"> </w:t>
      </w:r>
      <w:r>
        <w:t xml:space="preserve">: Ce gène est retrouvé muté à l'état homozygote chez 2 patients porteur du même indel, non répertorié dans les bases de données, causant un décalage du cadre de lecture. On peut également constate que ce gène possède une expression testiculaire forte et exclusive faisant ainsi de ce gène un bon candidat malgré une littérature pauvre à son sujet.</w:t>
      </w:r>
    </w:p>
    <w:p>
      <w:pPr>
        <w:numPr>
          <w:numId w:val="1018"/>
          <w:ilvl w:val="0"/>
        </w:numPr>
      </w:pPr>
      <w:r>
        <w:rPr>
          <w:i/>
          <w:b/>
        </w:rPr>
        <w:t xml:space="preserve">NACA</w:t>
      </w:r>
      <w:r>
        <w:t xml:space="preserve"> </w:t>
      </w:r>
      <w:r>
        <w:t xml:space="preserve">: 2 patients partagent le même variant homozygote causant un décalage du cadre de lecture sur le gène</w:t>
      </w:r>
      <w:r>
        <w:t xml:space="preserve"> </w:t>
      </w:r>
      <w:r>
        <w:rPr>
          <w:i/>
        </w:rPr>
        <w:t xml:space="preserve">NACA</w:t>
      </w:r>
      <w:r>
        <w:t xml:space="preserve">. On peut noter que les patient</w:t>
      </w:r>
      <w:r>
        <w:t xml:space="preserve"> </w:t>
      </w:r>
      <w:r>
        <w:rPr>
          <w:i/>
        </w:rPr>
        <w:t xml:space="preserve">Ghs37</w:t>
      </w:r>
      <w:r>
        <w:t xml:space="preserve"> </w:t>
      </w:r>
      <w:r>
        <w:t xml:space="preserve">et</w:t>
      </w:r>
      <w:r>
        <w:t xml:space="preserve"> </w:t>
      </w:r>
      <w:r>
        <w:rPr>
          <w:i/>
        </w:rPr>
        <w:t xml:space="preserve">Ghs37</w:t>
      </w:r>
      <w:r>
        <w:t xml:space="preserve"> </w:t>
      </w:r>
      <w:r>
        <w:t xml:space="preserve">portaient porteurs respectifs de variant homozygote tronquant sur les gène</w:t>
      </w:r>
      <w:r>
        <w:t xml:space="preserve"> </w:t>
      </w:r>
      <w:r>
        <w:rPr>
          <w:i/>
        </w:rPr>
        <w:t xml:space="preserve">CCDC146</w:t>
      </w:r>
      <w:r>
        <w:t xml:space="preserve"> </w:t>
      </w:r>
      <w:r>
        <w:t xml:space="preserve">et</w:t>
      </w:r>
      <w:r>
        <w:t xml:space="preserve"> </w:t>
      </w:r>
      <w:r>
        <w:rPr>
          <w:i/>
        </w:rPr>
        <w:t xml:space="preserve">ARMC2</w:t>
      </w:r>
      <w:r>
        <w:t xml:space="preserve"> </w:t>
      </w:r>
      <w:r>
        <w:t xml:space="preserve">portaient également ce même variant. L'ensemble de ces patients provenant du même projet de séquençage (Strasbourg 2012), cela laisse supposer que comme pour</w:t>
      </w:r>
      <w:r>
        <w:t xml:space="preserve"> </w:t>
      </w:r>
      <w:r>
        <w:rPr>
          <w:i/>
        </w:rPr>
        <w:t xml:space="preserve">SART3</w:t>
      </w:r>
      <w:r>
        <w:t xml:space="preserve">, ce variant est artefactuel. On peut d'ailleurs noter que le patient</w:t>
      </w:r>
      <w:r>
        <w:t xml:space="preserve"> </w:t>
      </w:r>
      <w:r>
        <w:rPr>
          <w:i/>
        </w:rPr>
        <w:t xml:space="preserve">Ghs41</w:t>
      </w:r>
      <w:r>
        <w:t xml:space="preserve"> </w:t>
      </w:r>
      <w:r>
        <w:t xml:space="preserve">était lui aussi porteur du variant sur</w:t>
      </w:r>
      <w:r>
        <w:t xml:space="preserve"> </w:t>
      </w:r>
      <w:r>
        <w:rPr>
          <w:i/>
        </w:rPr>
        <w:t xml:space="preserve">SART3</w:t>
      </w:r>
      <w:r>
        <w:t xml:space="preserve"> </w:t>
      </w:r>
      <w:r>
        <w:t xml:space="preserve">renforçant ainsi l'hypothèse de l'erreur de séquençage. Pour ces raisons, ce gène n'a pas été retenu en tant que candidat.</w:t>
      </w:r>
    </w:p>
    <w:p>
      <w:pPr>
        <w:pStyle w:val="FirstParagraph"/>
      </w:pPr>
      <w:r>
        <w:t xml:space="preserve">Dans cette analyse, 8 gène ont dans un premier temps été identifiés. Cependant, une analyse plus approfondie a fait que seuls les gènes</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 </w:t>
      </w:r>
      <w:r>
        <w:t xml:space="preserve">et</w:t>
      </w:r>
      <w:r>
        <w:t xml:space="preserve"> </w:t>
      </w:r>
      <w:r>
        <w:rPr>
          <w:i/>
        </w:rPr>
        <w:t xml:space="preserve">FSIP2</w:t>
      </w:r>
      <w:r>
        <w:t xml:space="preserve"> </w:t>
      </w:r>
      <w:r>
        <w:t xml:space="preserve">ont été retenus. Les variants présent sur les gènes</w:t>
      </w:r>
      <w:r>
        <w:t xml:space="preserve"> </w:t>
      </w:r>
      <w:r>
        <w:rPr>
          <w:i/>
        </w:rPr>
        <w:t xml:space="preserve">SART3</w:t>
      </w:r>
      <w:r>
        <w:t xml:space="preserve"> </w:t>
      </w:r>
      <w:r>
        <w:t xml:space="preserve">et</w:t>
      </w:r>
      <w:r>
        <w:t xml:space="preserve"> </w:t>
      </w:r>
      <w:r>
        <w:rPr>
          <w:i/>
        </w:rPr>
        <w:t xml:space="preserve">NACA</w:t>
      </w:r>
      <w:r>
        <w:t xml:space="preserve"> </w:t>
      </w:r>
      <w:r>
        <w:t xml:space="preserve">étant probablement des artefacts dus aux erreurs de séquençage. Dès lors, seuls 4 des 8 gènes identifiés présentaient des arguments suffisamment convainquant pour être considéré comme responsable du phénotype MMAF. Ainsi, 18 de nos patients sont porteurs de variants sur l'un de ces gènes dont 13 à l'état homozygote avec notamment les patients</w:t>
      </w:r>
      <w:r>
        <w:t xml:space="preserve"> </w:t>
      </w:r>
      <w:r>
        <w:rPr>
          <w:i/>
        </w:rPr>
        <w:t xml:space="preserve">Ghs102</w:t>
      </w:r>
      <w:r>
        <w:t xml:space="preserve">,</w:t>
      </w:r>
      <w:r>
        <w:t xml:space="preserve"> </w:t>
      </w:r>
      <w:r>
        <w:rPr>
          <w:i/>
        </w:rPr>
        <w:t xml:space="preserve">Ghs105</w:t>
      </w:r>
      <w:r>
        <w:t xml:space="preserve">,</w:t>
      </w:r>
      <w:r>
        <w:t xml:space="preserve"> </w:t>
      </w:r>
      <w:r>
        <w:rPr>
          <w:i/>
        </w:rPr>
        <w:t xml:space="preserve">Ghs126</w:t>
      </w:r>
      <w:r>
        <w:t xml:space="preserve">,</w:t>
      </w:r>
      <w:r>
        <w:t xml:space="preserve"> </w:t>
      </w:r>
      <w:r>
        <w:rPr>
          <w:i/>
        </w:rPr>
        <w:t xml:space="preserve">Ghs132</w:t>
      </w:r>
      <w:r>
        <w:t xml:space="preserve">,</w:t>
      </w:r>
      <w:r>
        <w:t xml:space="preserve"> </w:t>
      </w:r>
      <w:r>
        <w:rPr>
          <w:i/>
        </w:rPr>
        <w:t xml:space="preserve">Ghs17</w:t>
      </w:r>
      <w:r>
        <w:t xml:space="preserve">,</w:t>
      </w:r>
      <w:r>
        <w:t xml:space="preserve"> </w:t>
      </w:r>
      <w:r>
        <w:rPr>
          <w:i/>
        </w:rPr>
        <w:t xml:space="preserve">Ghs18</w:t>
      </w:r>
      <w:r>
        <w:t xml:space="preserve">,</w:t>
      </w:r>
      <w:r>
        <w:t xml:space="preserve"> </w:t>
      </w:r>
      <w:r>
        <w:rPr>
          <w:i/>
        </w:rPr>
        <w:t xml:space="preserve">Ghs20</w:t>
      </w:r>
      <w:r>
        <w:t xml:space="preserve">,</w:t>
      </w:r>
      <w:r>
        <w:t xml:space="preserve"> </w:t>
      </w:r>
      <w:r>
        <w:rPr>
          <w:i/>
        </w:rPr>
        <w:t xml:space="preserve">Ghs21</w:t>
      </w:r>
      <w:r>
        <w:t xml:space="preserve">,</w:t>
      </w:r>
      <w:r>
        <w:t xml:space="preserve"> </w:t>
      </w:r>
      <w:r>
        <w:rPr>
          <w:i/>
        </w:rPr>
        <w:t xml:space="preserve">Ghs41</w:t>
      </w:r>
      <w:r>
        <w:t xml:space="preserve">,</w:t>
      </w:r>
      <w:r>
        <w:t xml:space="preserve"> </w:t>
      </w:r>
      <w:r>
        <w:rPr>
          <w:i/>
        </w:rPr>
        <w:t xml:space="preserve">Ghs91</w:t>
      </w:r>
      <w:r>
        <w:t xml:space="preserve"> </w:t>
      </w:r>
      <w:r>
        <w:t xml:space="preserve">et</w:t>
      </w:r>
      <w:r>
        <w:t xml:space="preserve"> </w:t>
      </w:r>
      <w:r>
        <w:rPr>
          <w:i/>
        </w:rPr>
        <w:t xml:space="preserve">Ghs94</w:t>
      </w:r>
      <w:r>
        <w:t xml:space="preserve"> </w:t>
      </w:r>
      <w:r>
        <w:t xml:space="preserve">porteur de variants homozygotes tronquants. Les gènes</w:t>
      </w:r>
      <w:r>
        <w:t xml:space="preserve"> </w:t>
      </w:r>
      <w:r>
        <w:rPr>
          <w:i/>
        </w:rPr>
        <w:t xml:space="preserve">BAZ1A</w:t>
      </w:r>
      <w:r>
        <w:t xml:space="preserve">,</w:t>
      </w:r>
      <w:r>
        <w:t xml:space="preserve"> </w:t>
      </w:r>
      <w:r>
        <w:rPr>
          <w:i/>
        </w:rPr>
        <w:t xml:space="preserve">CCDC129</w:t>
      </w:r>
      <w:r>
        <w:t xml:space="preserve">,</w:t>
      </w:r>
      <w:r>
        <w:t xml:space="preserve"> </w:t>
      </w:r>
      <w:r>
        <w:rPr>
          <w:i/>
        </w:rPr>
        <w:t xml:space="preserve">CFAP43</w:t>
      </w:r>
      <w:r>
        <w:t xml:space="preserve"> </w:t>
      </w:r>
      <w:r>
        <w:t xml:space="preserve">et</w:t>
      </w:r>
      <w:r>
        <w:t xml:space="preserve"> </w:t>
      </w:r>
      <w:r>
        <w:rPr>
          <w:i/>
        </w:rPr>
        <w:t xml:space="preserve">FSIP2</w:t>
      </w:r>
      <w:r>
        <w:t xml:space="preserve"> </w:t>
      </w:r>
      <w:r>
        <w:t xml:space="preserve">étant de bons candidats et les données génétiques des 11 patients précédemment cités étant suffisamment fortes, l'ensemble de leurs variant furent ainsi retirés de notre liste contenant désormais 1093 variants et 962 gènes différents.</w:t>
      </w:r>
    </w:p>
    <w:p>
      <w:pPr>
        <w:pStyle w:val="FigureWithCaption"/>
      </w:pPr>
      <w:r>
        <w:drawing>
          <wp:inline>
            <wp:extent cx="4620126" cy="6651056"/>
            <wp:effectExtent b="0" l="0" r="0" t="0"/>
            <wp:docPr descr="Figure 19 Analyse des gènes sélectionnés dans l'Analyse n°2 : Expression tissulaire des gènes retenus d'après les données du projet de transcriptome Illumina bodyMap. Résumé de l'Analyse 2,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2-1.png" id="0" name="Picture"/>
                    <pic:cNvPicPr>
                      <a:picLocks noChangeArrowheads="1" noChangeAspect="1"/>
                    </pic:cNvPicPr>
                  </pic:nvPicPr>
                  <pic:blipFill>
                    <a:blip r:embed="rId60"/>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19 Analyse des gènes sélectionnés dans l'Analyse n°2 : Expression tissulaire des gènes retenus d'après les données du projet de transcriptome Illumina bodyMap. Résumé de l'Analyse 2, quantification du nombre de patients retrouvés mutés sur chacun des gènes retenus ainsi que du degré de confiance accordé à la cause génétique</w:t>
      </w:r>
    </w:p>
    <w:p>
      <w:pPr>
        <w:pStyle w:val="Heading5"/>
      </w:pPr>
      <w:bookmarkStart w:id="61" w:name="analyse-n4"/>
      <w:bookmarkEnd w:id="61"/>
      <w:r>
        <w:t xml:space="preserve">Analyse n°4</w:t>
      </w:r>
    </w:p>
    <w:p>
      <w:pPr>
        <w:pStyle w:val="FirstParagraph"/>
      </w:pPr>
      <w:r>
        <w:t xml:space="preserve">Dans cette troisième analyse, nous avons sélectionné à nouveau les gènes</w:t>
      </w:r>
      <w:r>
        <w:t xml:space="preserve"> </w:t>
      </w:r>
      <w:r>
        <w:rPr>
          <w:b/>
        </w:rPr>
        <w:t xml:space="preserve">présents dans la liste cilliome</w:t>
      </w:r>
      <w:r>
        <w:t xml:space="preserve"> </w:t>
      </w:r>
      <w:r>
        <w:t xml:space="preserve">en conservant cette fois-ci ceux 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 Les 4 gènes suivant correspondaient à ces critères :</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CCDC65</w:t>
      </w:r>
      <w:r>
        <w:t xml:space="preserve"> </w:t>
      </w:r>
      <w:r>
        <w:t xml:space="preserve">et</w:t>
      </w:r>
      <w:r>
        <w:t xml:space="preserve"> </w:t>
      </w:r>
      <w:r>
        <w:rPr>
          <w:i/>
        </w:rPr>
        <w:t xml:space="preserve">SPEF2</w:t>
      </w:r>
      <w:r>
        <w:t xml:space="preserve"> </w:t>
      </w:r>
      <w:r>
        <w:t xml:space="preserve">tous présentant de fortes preuves indiquant leur appartenance au ciliome humain.</w:t>
      </w:r>
    </w:p>
    <w:p>
      <w:pPr>
        <w:numPr>
          <w:numId w:val="1019"/>
          <w:ilvl w:val="0"/>
        </w:numPr>
      </w:pPr>
      <w:r>
        <w:rPr>
          <w:i/>
          <w:b/>
        </w:rPr>
        <w:t xml:space="preserve">C6orf118</w:t>
      </w:r>
      <w:r>
        <w:t xml:space="preserve"> </w:t>
      </w:r>
      <w:r>
        <w:t xml:space="preserve">: Ce gène a été retrouvé muté à l'état homozygote chez le patient et</w:t>
      </w:r>
      <w:r>
        <w:t xml:space="preserve"> </w:t>
      </w:r>
      <w:r>
        <w:rPr>
          <w:i/>
        </w:rPr>
        <w:t xml:space="preserve">Ghs40</w:t>
      </w:r>
      <w:r>
        <w:t xml:space="preserve"> </w:t>
      </w:r>
      <w:r>
        <w:t xml:space="preserve">qui portait une substitution entrainant la formation d'un codon stop prématuré. Il faut noter que ce même patient portait également des variants homozygotes tronquant sur les gènes</w:t>
      </w:r>
      <w:r>
        <w:t xml:space="preserve"> </w:t>
      </w:r>
      <w:r>
        <w:rPr>
          <w:i/>
        </w:rPr>
        <w:t xml:space="preserve">SART3</w:t>
      </w:r>
      <w:r>
        <w:t xml:space="preserve">,</w:t>
      </w:r>
      <w:r>
        <w:t xml:space="preserve"> </w:t>
      </w:r>
      <w:r>
        <w:rPr>
          <w:i/>
        </w:rPr>
        <w:t xml:space="preserve">TRAV26-1</w:t>
      </w:r>
      <w:r>
        <w:t xml:space="preserve">, et</w:t>
      </w:r>
      <w:r>
        <w:t xml:space="preserve"> </w:t>
      </w:r>
      <w:r>
        <w:rPr>
          <w:i/>
        </w:rPr>
        <w:t xml:space="preserve">ICA1</w:t>
      </w:r>
      <w:r>
        <w:t xml:space="preserve"> </w:t>
      </w:r>
      <w:r>
        <w:t xml:space="preserve">cependant la forte expression testiculaire de ce gène en fait un meilleur candidat. Le patient et</w:t>
      </w:r>
      <w:r>
        <w:t xml:space="preserve"> </w:t>
      </w:r>
      <w:r>
        <w:rPr>
          <w:i/>
        </w:rPr>
        <w:t xml:space="preserve">Ghs27</w:t>
      </w:r>
      <w:r>
        <w:t xml:space="preserve"> </w:t>
      </w:r>
      <w:r>
        <w:t xml:space="preserve">quant à lui porte deux variants faux-sens hétérozygote Le premier étant prédit probably</w:t>
      </w:r>
      <w:r>
        <w:t xml:space="preserve"> </w:t>
      </w:r>
      <w:r>
        <w:rPr>
          <w:i/>
        </w:rPr>
        <w:t xml:space="preserve">damaging</w:t>
      </w:r>
      <w:r>
        <w:t xml:space="preserve"> </w:t>
      </w:r>
      <w:r>
        <w:t xml:space="preserve">par PolyPhen et</w:t>
      </w:r>
      <w:r>
        <w:t xml:space="preserve"> </w:t>
      </w:r>
      <w:r>
        <w:rPr>
          <w:i/>
        </w:rPr>
        <w:t xml:space="preserve">tolerated low confidence</w:t>
      </w:r>
      <w:r>
        <w:t xml:space="preserve"> </w:t>
      </w:r>
      <w:r>
        <w:t xml:space="preserve">par SIFT tandis que le second est prédit</w:t>
      </w:r>
      <w:r>
        <w:t xml:space="preserve"> </w:t>
      </w:r>
      <w:r>
        <w:rPr>
          <w:i/>
        </w:rPr>
        <w:t xml:space="preserve">possibly damaging</w:t>
      </w:r>
      <w:r>
        <w:t xml:space="preserve"> </w:t>
      </w:r>
      <w:r>
        <w:t xml:space="preserve">et</w:t>
      </w:r>
      <w:r>
        <w:t xml:space="preserve"> </w:t>
      </w:r>
      <w:r>
        <w:rPr>
          <w:i/>
        </w:rPr>
        <w:t xml:space="preserve">tolerated</w:t>
      </w:r>
      <w:r>
        <w:t xml:space="preserve">, il est difficile de se prononcer quant à l’effet délétère de ces deux variants sans effectuer d'analyses fonctionnelles. Il faut noter que</w:t>
      </w:r>
      <w:r>
        <w:t xml:space="preserve"> </w:t>
      </w:r>
      <w:r>
        <w:rPr>
          <w:i/>
        </w:rPr>
        <w:t xml:space="preserve">C6orf118</w:t>
      </w:r>
      <w:r>
        <w:t xml:space="preserve"> </w:t>
      </w:r>
      <w:r>
        <w:t xml:space="preserve">présente une forte expression dans le poumon. De plus, ce gène a récemment été décrit comme étant associé au phénotype de tuberculose pulmonaire</w:t>
      </w:r>
      <w:r>
        <w:t xml:space="preserve"> </w:t>
      </w:r>
      <w:r>
        <w:t xml:space="preserve">(E. P. Hong, Go, Kim, &amp; Park,</w:t>
      </w:r>
      <w:r>
        <w:t xml:space="preserve"> </w:t>
      </w:r>
      <w:hyperlink w:anchor="ref-Hong2017">
        <w:r>
          <w:rPr>
            <w:rStyle w:val="Hyperlink"/>
          </w:rPr>
          <w:t xml:space="preserve">2017</w:t>
        </w:r>
      </w:hyperlink>
      <w:r>
        <w:t xml:space="preserve">)</w:t>
      </w:r>
      <w:r>
        <w:t xml:space="preserve">. Cependant cela n'est en rien contradictoire avec le phénotype MMAF de ces 2 patients, le poumon comprenant de nombreuses cellules ciliées, notamment au niveau de l'épithélium respiratoire, il n'est donc pas surprenant que des gènes du flagelle aient également une fonction au sein d'autres organes ciliés.</w:t>
      </w:r>
    </w:p>
    <w:p>
      <w:pPr>
        <w:numPr>
          <w:numId w:val="1019"/>
          <w:ilvl w:val="0"/>
        </w:numPr>
      </w:pPr>
      <w:r>
        <w:rPr>
          <w:i/>
          <w:b/>
        </w:rPr>
        <w:t xml:space="preserve">C21orf59</w:t>
      </w:r>
      <w:r>
        <w:rPr>
          <w:b/>
        </w:rPr>
        <w:t xml:space="preserve"> </w:t>
      </w:r>
      <w:r>
        <w:rPr>
          <w:b/>
        </w:rPr>
        <w:t xml:space="preserve">et</w:t>
      </w:r>
      <w:r>
        <w:rPr>
          <w:b/>
        </w:rPr>
        <w:t xml:space="preserve"> </w:t>
      </w:r>
      <w:r>
        <w:rPr>
          <w:i/>
          <w:b/>
        </w:rPr>
        <w:t xml:space="preserve">CCDC65</w:t>
      </w:r>
      <w:r>
        <w:t xml:space="preserve"> </w:t>
      </w:r>
      <w:r>
        <w:t xml:space="preserve">: Les patients</w:t>
      </w:r>
      <w:r>
        <w:t xml:space="preserve"> </w:t>
      </w:r>
      <w:r>
        <w:rPr>
          <w:i/>
        </w:rPr>
        <w:t xml:space="preserve">Ghs127</w:t>
      </w:r>
      <w:r>
        <w:t xml:space="preserve"> </w:t>
      </w:r>
      <w:r>
        <w:t xml:space="preserve">et</w:t>
      </w:r>
      <w:r>
        <w:t xml:space="preserve"> </w:t>
      </w:r>
      <w:r>
        <w:rPr>
          <w:i/>
        </w:rPr>
        <w:t xml:space="preserve">Ghs88</w:t>
      </w:r>
      <w:r>
        <w:t xml:space="preserve"> </w:t>
      </w:r>
      <w:r>
        <w:t xml:space="preserve">porte tout deux des indels induisant un décalage du cadre de lecture, le premier sur le gène</w:t>
      </w:r>
      <w:r>
        <w:t xml:space="preserve"> </w:t>
      </w:r>
      <w:r>
        <w:rPr>
          <w:i/>
        </w:rPr>
        <w:t xml:space="preserve">C21orf59</w:t>
      </w:r>
      <w:r>
        <w:t xml:space="preserve">, le second sur</w:t>
      </w:r>
      <w:r>
        <w:t xml:space="preserve"> </w:t>
      </w:r>
      <w:r>
        <w:rPr>
          <w:i/>
        </w:rPr>
        <w:t xml:space="preserve">CCDC65</w:t>
      </w:r>
      <w:r>
        <w:t xml:space="preserve"> </w:t>
      </w:r>
      <w:r>
        <w:t xml:space="preserve">deux gènes déjà connu pour être impliqué dans la formations des cils. En effet, la protéine NYD-SP28 (ancien nom de CCDC65) avait déjà caractérisé comme faisant partie du flagelle spermatique</w:t>
      </w:r>
      <w:r>
        <w:t xml:space="preserve"> </w:t>
      </w:r>
      <w:r>
        <w:t xml:space="preserve">(Y. Zheng et al.,</w:t>
      </w:r>
      <w:r>
        <w:t xml:space="preserve"> </w:t>
      </w:r>
      <w:hyperlink w:anchor="ref-Zheng2006">
        <w:r>
          <w:rPr>
            <w:rStyle w:val="Hyperlink"/>
          </w:rPr>
          <w:t xml:space="preserve">2006</w:t>
        </w:r>
      </w:hyperlink>
      <w:r>
        <w:t xml:space="preserve">)</w:t>
      </w:r>
      <w:r>
        <w:t xml:space="preserve"> </w:t>
      </w:r>
      <w:r>
        <w:t xml:space="preserve">alors que</w:t>
      </w:r>
      <w:r>
        <w:t xml:space="preserve"> </w:t>
      </w:r>
      <w:r>
        <w:rPr>
          <w:i/>
        </w:rPr>
        <w:t xml:space="preserve">C21orf59</w:t>
      </w:r>
      <w:r>
        <w:t xml:space="preserve"> </w:t>
      </w:r>
      <w:r>
        <w:t xml:space="preserve">contrôlerait à la fois la mobilité et la polarisation des cils chez</w:t>
      </w:r>
      <w:r>
        <w:t xml:space="preserve"> </w:t>
      </w:r>
      <w:r>
        <w:rPr>
          <w:i/>
        </w:rPr>
        <w:t xml:space="preserve">zebrafish</w:t>
      </w:r>
      <w:r>
        <w:t xml:space="preserve"> </w:t>
      </w:r>
      <w:r>
        <w:t xml:space="preserve">(Jaffe et al.,</w:t>
      </w:r>
      <w:r>
        <w:t xml:space="preserve"> </w:t>
      </w:r>
      <w:hyperlink w:anchor="ref-Jaffe2016">
        <w:r>
          <w:rPr>
            <w:rStyle w:val="Hyperlink"/>
          </w:rPr>
          <w:t xml:space="preserve">2016</w:t>
        </w:r>
      </w:hyperlink>
      <w:r>
        <w:t xml:space="preserve">)</w:t>
      </w:r>
      <w:r>
        <w:t xml:space="preserve">. On note aussi que ces deux gènes ont été associés à des pathologies ciliaires chez le</w:t>
      </w:r>
      <w:r>
        <w:t xml:space="preserve"> </w:t>
      </w:r>
      <w:r>
        <w:rPr>
          <w:i/>
        </w:rPr>
        <w:t xml:space="preserve">zebrafish</w:t>
      </w:r>
      <w:r>
        <w:t xml:space="preserve">,</w:t>
      </w:r>
      <w:r>
        <w:t xml:space="preserve"> </w:t>
      </w:r>
      <w:r>
        <w:rPr>
          <w:i/>
        </w:rPr>
        <w:t xml:space="preserve">Chlamydomonas</w:t>
      </w:r>
      <w:r>
        <w:t xml:space="preserve"> </w:t>
      </w:r>
      <w:r>
        <w:t xml:space="preserve">ainsi que chez l'humain, pouvant entrainer un phénotype de dyskinésie ciliaire primaire, de même, la protéine FBB18 du gène orthologue de C21orf59 régulerait la motilité du flagelle chez</w:t>
      </w:r>
      <w:r>
        <w:t xml:space="preserve"> </w:t>
      </w:r>
      <w:r>
        <w:rPr>
          <w:i/>
        </w:rPr>
        <w:t xml:space="preserve">Chlamydomonas</w:t>
      </w:r>
      <w:r>
        <w:t xml:space="preserve"> </w:t>
      </w:r>
      <w:r>
        <w:t xml:space="preserve">(Austin-Tse et al.,</w:t>
      </w:r>
      <w:r>
        <w:t xml:space="preserve"> </w:t>
      </w:r>
      <w:hyperlink w:anchor="ref-Austin-Tse2013">
        <w:r>
          <w:rPr>
            <w:rStyle w:val="Hyperlink"/>
          </w:rPr>
          <w:t xml:space="preserve">2013</w:t>
        </w:r>
      </w:hyperlink>
      <w:r>
        <w:t xml:space="preserve">)</w:t>
      </w:r>
      <w:r>
        <w:t xml:space="preserve">. Ainsi, les arguments génétiques associés aux implications déjà avérées de ces 2 gènes dans la ciliogénèse font de</w:t>
      </w:r>
      <w:r>
        <w:t xml:space="preserve"> </w:t>
      </w:r>
      <w:r>
        <w:rPr>
          <w:i/>
        </w:rPr>
        <w:t xml:space="preserve">CCDC65</w:t>
      </w:r>
      <w:r>
        <w:t xml:space="preserve"> </w:t>
      </w:r>
      <w:r>
        <w:t xml:space="preserve">et</w:t>
      </w:r>
      <w:r>
        <w:t xml:space="preserve"> </w:t>
      </w:r>
      <w:r>
        <w:rPr>
          <w:i/>
        </w:rPr>
        <w:t xml:space="preserve">c21orf59</w:t>
      </w:r>
      <w:r>
        <w:t xml:space="preserve"> </w:t>
      </w:r>
      <w:r>
        <w:t xml:space="preserve">des excellents candidats pour expliquer les phénotype MMAF de nos 2 patients malgré l'expression non spécifique au testicule du gène</w:t>
      </w:r>
      <w:r>
        <w:t xml:space="preserve"> </w:t>
      </w:r>
      <w:r>
        <w:rPr>
          <w:i/>
        </w:rPr>
        <w:t xml:space="preserve">C21orf59</w:t>
      </w:r>
      <w:r>
        <w:t xml:space="preserve">.</w:t>
      </w:r>
    </w:p>
    <w:p>
      <w:pPr>
        <w:numPr>
          <w:numId w:val="1019"/>
          <w:ilvl w:val="0"/>
        </w:numPr>
      </w:pPr>
      <w:r>
        <w:rPr>
          <w:i/>
          <w:b/>
        </w:rPr>
        <w:t xml:space="preserve">SPEF2</w:t>
      </w:r>
      <w:r>
        <w:t xml:space="preserve"> </w:t>
      </w:r>
      <w:r>
        <w:t xml:space="preserve">: Ce gène est retrouvé muté à l'état homozygote chez le patient et</w:t>
      </w:r>
      <w:r>
        <w:t xml:space="preserve"> </w:t>
      </w:r>
      <w:r>
        <w:rPr>
          <w:i/>
        </w:rPr>
        <w:t xml:space="preserve">Ghs131</w:t>
      </w:r>
      <w:r>
        <w:t xml:space="preserve"> </w:t>
      </w:r>
      <w:r>
        <w:t xml:space="preserve">qui porte un indel créant un décalage du cadre de lecture. Malgré son expression non spécifique au testicule, plusieurs études ont démontré le rôle important de la protéine SPEF2 chez la souris dans la formation et la structure du flagelle spermatique de même que l'absence de cette protéine entrainait la formation d'un flagelle court et désorganisé</w:t>
      </w:r>
      <w:r>
        <w:t xml:space="preserve"> </w:t>
      </w:r>
      <w:r>
        <w:t xml:space="preserve">(Sironen et al.,</w:t>
      </w:r>
      <w:r>
        <w:t xml:space="preserve"> </w:t>
      </w:r>
      <w:hyperlink w:anchor="ref-Sironen2010">
        <w:r>
          <w:rPr>
            <w:rStyle w:val="Hyperlink"/>
          </w:rPr>
          <w:t xml:space="preserve">2010</w:t>
        </w:r>
      </w:hyperlink>
      <w:r>
        <w:t xml:space="preserve">,</w:t>
      </w:r>
      <w:r>
        <w:t xml:space="preserve"> </w:t>
      </w:r>
      <w:r>
        <w:t xml:space="preserve">Sironen et al. (</w:t>
      </w:r>
      <w:hyperlink w:anchor="ref-Sironen2011">
        <w:r>
          <w:rPr>
            <w:rStyle w:val="Hyperlink"/>
          </w:rPr>
          <w:t xml:space="preserve">2011</w:t>
        </w:r>
      </w:hyperlink>
      <w:r>
        <w:t xml:space="preserve">)</w:t>
      </w:r>
      <w:r>
        <w:t xml:space="preserve">)</w:t>
      </w:r>
      <w:r>
        <w:t xml:space="preserve"> </w:t>
      </w:r>
      <w:r>
        <w:t xml:space="preserve">faisant ainsi de ce gène un excellent candidat pour le phénotype MMAF du patient et</w:t>
      </w:r>
      <w:r>
        <w:t xml:space="preserve"> </w:t>
      </w:r>
      <w:r>
        <w:rPr>
          <w:i/>
        </w:rPr>
        <w:t xml:space="preserve">Ghs131</w:t>
      </w:r>
      <w:r>
        <w:t xml:space="preserve">.</w:t>
      </w:r>
    </w:p>
    <w:p>
      <w:pPr>
        <w:pStyle w:val="FirstParagraph"/>
      </w:pPr>
      <w:r>
        <w:t xml:space="preserve">Analyser les gènes de la liste ciliome sur lesquels</w:t>
      </w:r>
      <w:r>
        <w:t xml:space="preserve"> </w:t>
      </w:r>
      <w:r>
        <w:rPr>
          <w:b/>
        </w:rPr>
        <w:t xml:space="preserve">un seul</w:t>
      </w:r>
      <w:r>
        <w:t xml:space="preserve"> </w:t>
      </w:r>
      <w:r>
        <w:t xml:space="preserve">patient portait un variant tronquant à l'état homozygote nous a permis d'identifier 4 nouveaux gènes :</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CCDC65</w:t>
      </w:r>
      <w:r>
        <w:t xml:space="preserve"> </w:t>
      </w:r>
      <w:r>
        <w:t xml:space="preserve">et</w:t>
      </w:r>
      <w:r>
        <w:t xml:space="preserve"> </w:t>
      </w:r>
      <w:r>
        <w:rPr>
          <w:i/>
        </w:rPr>
        <w:t xml:space="preserve">SPEF2</w:t>
      </w:r>
      <w:r>
        <w:t xml:space="preserve">. Ainsi, 4 patients portaient un variant homozygote tronquant sur l'un d'eux tandis qu'un autre patient portait deux variant faux-sens hétérozygotes sur le gène</w:t>
      </w:r>
      <w:r>
        <w:t xml:space="preserve"> </w:t>
      </w:r>
      <w:r>
        <w:rPr>
          <w:i/>
        </w:rPr>
        <w:t xml:space="preserve">C6orf118</w:t>
      </w:r>
      <w:r>
        <w:t xml:space="preserve">. Parmi ces 4, seuls</w:t>
      </w:r>
      <w:r>
        <w:t xml:space="preserve"> </w:t>
      </w:r>
      <w:r>
        <w:rPr>
          <w:i/>
        </w:rPr>
        <w:t xml:space="preserve">CCDC65</w:t>
      </w:r>
      <w:r>
        <w:t xml:space="preserve"> </w:t>
      </w:r>
      <w:r>
        <w:t xml:space="preserve">et</w:t>
      </w:r>
      <w:r>
        <w:t xml:space="preserve"> </w:t>
      </w:r>
      <w:r>
        <w:rPr>
          <w:i/>
        </w:rPr>
        <w:t xml:space="preserve">C6orf118</w:t>
      </w:r>
      <w:r>
        <w:t xml:space="preserve"> </w:t>
      </w:r>
      <w:r>
        <w:t xml:space="preserve">présentaient une forte expression testiculaire, cependant tous avaient déjà été associés à la formation du cil chez l'humain ou chez une autre espèce animale. Bien que des analyses supplémentaires soient nécessaires afin de pouvoir affirmer que les deux variants hétérozygotes portés par le patients et</w:t>
      </w:r>
      <w:r>
        <w:t xml:space="preserve"> </w:t>
      </w:r>
      <w:r>
        <w:rPr>
          <w:i/>
        </w:rPr>
        <w:t xml:space="preserve">Ghs27</w:t>
      </w:r>
      <w:r>
        <w:t xml:space="preserve"> </w:t>
      </w:r>
      <w:r>
        <w:t xml:space="preserve">sont bien responsables de son phénotype, les arguments génétiques ainsi que les informations fournies par la littérature nous ont permis d'affirmer que ces gènes sont responsables des phénotypes des patients</w:t>
      </w:r>
      <w:r>
        <w:t xml:space="preserve"> </w:t>
      </w:r>
      <w:r>
        <w:rPr>
          <w:i/>
        </w:rPr>
        <w:t xml:space="preserve">Ghs127</w:t>
      </w:r>
      <w:r>
        <w:t xml:space="preserve">,</w:t>
      </w:r>
      <w:r>
        <w:t xml:space="preserve"> </w:t>
      </w:r>
      <w:r>
        <w:rPr>
          <w:i/>
        </w:rPr>
        <w:t xml:space="preserve">Ghs131</w:t>
      </w:r>
      <w:r>
        <w:t xml:space="preserve">,</w:t>
      </w:r>
      <w:r>
        <w:t xml:space="preserve"> </w:t>
      </w:r>
      <w:r>
        <w:rPr>
          <w:i/>
        </w:rPr>
        <w:t xml:space="preserve">Ghs40</w:t>
      </w:r>
      <w:r>
        <w:t xml:space="preserve"> </w:t>
      </w:r>
      <w:r>
        <w:t xml:space="preserve">et</w:t>
      </w:r>
      <w:r>
        <w:t xml:space="preserve"> </w:t>
      </w:r>
      <w:r>
        <w:rPr>
          <w:i/>
        </w:rPr>
        <w:t xml:space="preserve">Ghs88</w:t>
      </w:r>
      <w:r>
        <w:t xml:space="preserve">. Les données de variants de ces derniers ont ainsi été retirés réduisant à nouveau notre liste à 934 variants et 821 gènes différents.</w:t>
      </w:r>
    </w:p>
    <w:p>
      <w:pPr>
        <w:pStyle w:val="FigureWithCaption"/>
      </w:pPr>
      <w:r>
        <w:drawing>
          <wp:inline>
            <wp:extent cx="4620126" cy="6651056"/>
            <wp:effectExtent b="0" l="0" r="0" t="0"/>
            <wp:docPr descr="Figure 20 Analyse des gènes sélectionnés dans l'Analyse n°4 : A : Expression tissulaire des gènes retenus dans cette analyse d'après les données du projet de transcriptome Illumina bodyMap. B : Résumé de l'Analyse 3, quantification du nombre de patients retrouvés mutés sur chacun des gènes retenus ainsi que du degré de confiance accordé à la cause génétique" id="1" name="Picture"/>
            <a:graphic>
              <a:graphicData uri="http://schemas.openxmlformats.org/drawingml/2006/picture">
                <pic:pic>
                  <pic:nvPicPr>
                    <pic:cNvPr descr="thesis_files/figure-docx/plotgrp3-1.png" id="0" name="Picture"/>
                    <pic:cNvPicPr>
                      <a:picLocks noChangeArrowheads="1" noChangeAspect="1"/>
                    </pic:cNvPicPr>
                  </pic:nvPicPr>
                  <pic:blipFill>
                    <a:blip r:embed="rId62"/>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20 Analyse des gènes sélectionnés dans l'Analyse n°4 :</w:t>
      </w:r>
      <w:r>
        <w:t xml:space="preserve"> </w:t>
      </w:r>
      <w:r>
        <w:rPr>
          <w:b/>
        </w:rPr>
        <w:t xml:space="preserve">A</w:t>
      </w:r>
      <w:r>
        <w:t xml:space="preserve"> </w:t>
      </w:r>
      <w:r>
        <w:t xml:space="preserve">: Expression tissulaire des gènes retenus dans cette analyse d'après les données du projet de transcriptome Illumina bodyMap.</w:t>
      </w:r>
      <w:r>
        <w:t xml:space="preserve"> </w:t>
      </w:r>
      <w:r>
        <w:rPr>
          <w:b/>
        </w:rPr>
        <w:t xml:space="preserve">B</w:t>
      </w:r>
      <w:r>
        <w:t xml:space="preserve"> </w:t>
      </w:r>
      <w:r>
        <w:t xml:space="preserve">: Résumé de l'Analyse 3, quantification du nombre de patients retrouvés mutés sur chacun des gènes retenus ainsi que du degré de confiance accordé à la cause génétique</w:t>
      </w:r>
    </w:p>
    <w:p>
      <w:pPr>
        <w:pStyle w:val="Heading5"/>
      </w:pPr>
      <w:bookmarkStart w:id="63" w:name="analyse-n5"/>
      <w:bookmarkEnd w:id="63"/>
      <w:r>
        <w:t xml:space="preserve">Analyse n°5</w:t>
      </w:r>
    </w:p>
    <w:p>
      <w:pPr>
        <w:pStyle w:val="FirstParagraph"/>
      </w:pPr>
      <w:r>
        <w:t xml:space="preserve">Pour finir nous avons dans cette analyse sélectionné l'ensemble des variants chevauchant des gènes</w:t>
      </w:r>
      <w:r>
        <w:t xml:space="preserve"> </w:t>
      </w:r>
      <w:r>
        <w:rPr>
          <w:b/>
        </w:rPr>
        <w:t xml:space="preserve">absents dans la liste cilliome</w:t>
      </w:r>
      <w:r>
        <w:t xml:space="preserve"> </w:t>
      </w:r>
      <w:r>
        <w:t xml:space="preserve">sur lesquels</w:t>
      </w:r>
      <w:r>
        <w:t xml:space="preserve"> </w:t>
      </w:r>
      <w:r>
        <w:rPr>
          <w:b/>
        </w:rPr>
        <w:t xml:space="preserve">un seul</w:t>
      </w:r>
      <w:r>
        <w:t xml:space="preserve"> </w:t>
      </w:r>
      <w:r>
        <w:t xml:space="preserve">de nos patients présentaient au moins 1 variant tronquant à l'état</w:t>
      </w:r>
      <w:r>
        <w:t xml:space="preserve"> </w:t>
      </w:r>
      <w:r>
        <w:rPr>
          <w:b/>
        </w:rPr>
        <w:t xml:space="preserve">homozygote</w:t>
      </w:r>
      <w:r>
        <w:t xml:space="preserve">. Cela nous a permis d'obtenir une liste de 59 gènes différents retrouvés mutés chez 30 de nos patients.</w:t>
      </w:r>
    </w:p>
    <w:p>
      <w:pPr>
        <w:pStyle w:val="BodyText"/>
      </w:pPr>
      <w:r>
        <w:t xml:space="preserve">En raison de la grande quantité de gène, nous nous sommes tout d'abord concentré sur ceux retrouvés mutés à l'état homozygote chez au moins deux patients. Ainsi nous avons obtenus une liste de 6 gènes :</w:t>
      </w:r>
      <w:r>
        <w:t xml:space="preserve"> </w:t>
      </w:r>
      <w:r>
        <w:rPr>
          <w:i/>
        </w:rPr>
        <w:t xml:space="preserve">CCDC66</w:t>
      </w:r>
      <w:r>
        <w:t xml:space="preserve">,</w:t>
      </w:r>
      <w:r>
        <w:t xml:space="preserve"> </w:t>
      </w:r>
      <w:r>
        <w:rPr>
          <w:i/>
        </w:rPr>
        <w:t xml:space="preserve">CCL3L3</w:t>
      </w:r>
      <w:r>
        <w:t xml:space="preserve">,</w:t>
      </w:r>
      <w:r>
        <w:t xml:space="preserve"> </w:t>
      </w:r>
      <w:r>
        <w:rPr>
          <w:i/>
        </w:rPr>
        <w:t xml:space="preserve">CFHR1</w:t>
      </w:r>
      <w:r>
        <w:t xml:space="preserve">,</w:t>
      </w:r>
      <w:r>
        <w:t xml:space="preserve"> </w:t>
      </w:r>
      <w:r>
        <w:rPr>
          <w:i/>
        </w:rPr>
        <w:t xml:space="preserve">DPY19L2P2</w:t>
      </w:r>
      <w:r>
        <w:t xml:space="preserve">,</w:t>
      </w:r>
      <w:r>
        <w:t xml:space="preserve"> </w:t>
      </w:r>
      <w:r>
        <w:rPr>
          <w:i/>
        </w:rPr>
        <w:t xml:space="preserve">RNFT2</w:t>
      </w:r>
      <w:r>
        <w:t xml:space="preserve"> </w:t>
      </w:r>
      <w:r>
        <w:t xml:space="preserve">et</w:t>
      </w:r>
      <w:r>
        <w:t xml:space="preserve"> </w:t>
      </w:r>
      <w:r>
        <w:rPr>
          <w:i/>
        </w:rPr>
        <w:t xml:space="preserve">RP6-206I17.1</w:t>
      </w:r>
    </w:p>
    <w:p>
      <w:pPr>
        <w:pStyle w:val="Compact"/>
        <w:numPr>
          <w:numId w:val="1020"/>
          <w:ilvl w:val="0"/>
        </w:numPr>
      </w:pPr>
      <w:r>
        <w:rPr>
          <w:i/>
          <w:b/>
        </w:rPr>
        <w:t xml:space="preserve">CCDC66</w:t>
      </w:r>
      <w:r>
        <w:t xml:space="preserve"> </w:t>
      </w:r>
      <w:r>
        <w:t xml:space="preserve">: Le gène</w:t>
      </w:r>
      <w:r>
        <w:t xml:space="preserve"> </w:t>
      </w:r>
      <w:r>
        <w:rPr>
          <w:i/>
        </w:rPr>
        <w:t xml:space="preserve">CCDC66</w:t>
      </w:r>
      <w:r>
        <w:t xml:space="preserve"> </w:t>
      </w:r>
      <w:r>
        <w:t xml:space="preserve">a été retrouvé muté à l'état homozygote chez ... patients parmi lesquels ... portait un variant tronquant entrainant un décalage du cadre de lecture et retrouvé dans aucune des bases de données. Malgré une expression testiculaire faible, l'implication récente de ce gène dans la ciliogénèse</w:t>
      </w:r>
      <w:r>
        <w:t xml:space="preserve"> </w:t>
      </w:r>
      <w:r>
        <w:t xml:space="preserve">(Conkar et al.,</w:t>
      </w:r>
      <w:r>
        <w:t xml:space="preserve"> </w:t>
      </w:r>
      <w:hyperlink w:anchor="ref-Conkar2017">
        <w:r>
          <w:rPr>
            <w:rStyle w:val="Hyperlink"/>
          </w:rPr>
          <w:t xml:space="preserve">2017</w:t>
        </w:r>
      </w:hyperlink>
      <w:r>
        <w:t xml:space="preserve">)</w:t>
      </w:r>
      <w:r>
        <w:t xml:space="preserve"> </w:t>
      </w:r>
      <w:r>
        <w:t xml:space="preserve">fait de ce gène un bon candidat bien que certaines études aient déjà démontré l'implication de celui-ci dans des pathologies rétiniennes à la fois chez le chien</w:t>
      </w:r>
      <w:r>
        <w:t xml:space="preserve"> </w:t>
      </w:r>
      <w:r>
        <w:t xml:space="preserve">(Dekomien et al.,</w:t>
      </w:r>
      <w:r>
        <w:t xml:space="preserve"> </w:t>
      </w:r>
      <w:hyperlink w:anchor="ref-Dekomien2010">
        <w:r>
          <w:rPr>
            <w:rStyle w:val="Hyperlink"/>
          </w:rPr>
          <w:t xml:space="preserve">2010</w:t>
        </w:r>
      </w:hyperlink>
      <w:r>
        <w:t xml:space="preserve">)</w:t>
      </w:r>
      <w:r>
        <w:t xml:space="preserve"> </w:t>
      </w:r>
      <w:r>
        <w:t xml:space="preserve">mais aussi chez l'humain</w:t>
      </w:r>
      <w:r>
        <w:t xml:space="preserve"> </w:t>
      </w:r>
      <w:r>
        <w:t xml:space="preserve">(Gerding et al.,</w:t>
      </w:r>
      <w:r>
        <w:t xml:space="preserve"> </w:t>
      </w:r>
      <w:hyperlink w:anchor="ref-Gerding2011">
        <w:r>
          <w:rPr>
            <w:rStyle w:val="Hyperlink"/>
          </w:rPr>
          <w:t xml:space="preserve">2011</w:t>
        </w:r>
      </w:hyperlink>
      <w:r>
        <w:t xml:space="preserve">,</w:t>
      </w:r>
      <w:r>
        <w:t xml:space="preserve"> </w:t>
      </w:r>
      <w:r>
        <w:t xml:space="preserve">Khan et al. (</w:t>
      </w:r>
      <w:hyperlink w:anchor="ref-Khan2017">
        <w:r>
          <w:rPr>
            <w:rStyle w:val="Hyperlink"/>
          </w:rPr>
          <w:t xml:space="preserve">2017</w:t>
        </w:r>
      </w:hyperlink>
      <w:r>
        <w:t xml:space="preserve">)</w:t>
      </w:r>
      <w:r>
        <w:t xml:space="preserve">)</w:t>
      </w:r>
      <w:r>
        <w:t xml:space="preserve">. En effet, ces anomalies rétiniennes.</w:t>
      </w:r>
    </w:p>
    <w:p>
      <w:pPr>
        <w:pStyle w:val="FirstParagraph"/>
      </w:pPr>
      <w:r>
        <w:drawing>
          <wp:inline>
            <wp:extent cx="4620126" cy="6930189"/>
            <wp:effectExtent b="0" l="0" r="0" t="0"/>
            <wp:docPr descr=""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64"/>
                    <a:stretch>
                      <a:fillRect/>
                    </a:stretch>
                  </pic:blipFill>
                  <pic:spPr bwMode="auto">
                    <a:xfrm>
                      <a:off x="0" y="0"/>
                      <a:ext cx="4620126" cy="6930189"/>
                    </a:xfrm>
                    <a:prstGeom prst="rect">
                      <a:avLst/>
                    </a:prstGeom>
                    <a:noFill/>
                    <a:ln w="9525">
                      <a:noFill/>
                      <a:headEnd/>
                      <a:tailEnd/>
                    </a:ln>
                  </pic:spPr>
                </pic:pic>
              </a:graphicData>
            </a:graphic>
          </wp:inline>
        </w:drawing>
      </w:r>
    </w:p>
    <w:p>
      <w:pPr>
        <w:pStyle w:val="BodyText"/>
      </w:pPr>
      <w:r>
        <w:drawing>
          <wp:inline>
            <wp:extent cx="4620126" cy="6930189"/>
            <wp:effectExtent b="0" l="0" r="0" t="0"/>
            <wp:docPr descr=""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65"/>
                    <a:stretch>
                      <a:fillRect/>
                    </a:stretch>
                  </pic:blipFill>
                  <pic:spPr bwMode="auto">
                    <a:xfrm>
                      <a:off x="0" y="0"/>
                      <a:ext cx="4620126" cy="6930189"/>
                    </a:xfrm>
                    <a:prstGeom prst="rect">
                      <a:avLst/>
                    </a:prstGeom>
                    <a:noFill/>
                    <a:ln w="9525">
                      <a:noFill/>
                      <a:headEnd/>
                      <a:tailEnd/>
                    </a:ln>
                  </pic:spPr>
                </pic:pic>
              </a:graphicData>
            </a:graphic>
          </wp:inline>
        </w:drawing>
      </w:r>
    </w:p>
    <w:p>
      <w:pPr>
        <w:pStyle w:val="Heading4"/>
      </w:pPr>
      <w:bookmarkStart w:id="66" w:name="discussion-1"/>
      <w:bookmarkEnd w:id="66"/>
      <w:r>
        <w:t xml:space="preserve">Discussion</w:t>
      </w:r>
    </w:p>
    <w:p>
      <w:pPr>
        <w:pStyle w:val="FirstParagraph"/>
      </w:pPr>
      <w:r>
        <w:t xml:space="preserve">L'analyse de cette cohorte de 62 patients MMAF nous dans un premier temps permis de confirmer l'importance de l'implication du gène</w:t>
      </w:r>
      <w:r>
        <w:t xml:space="preserve"> </w:t>
      </w:r>
      <w:r>
        <w:rPr>
          <w:i/>
        </w:rPr>
        <w:t xml:space="preserve">DNAH1</w:t>
      </w:r>
      <w:r>
        <w:t xml:space="preserve"> </w:t>
      </w:r>
      <w:r>
        <w:t xml:space="preserve">dans ce phénotype grâce à 9 patients présentant des variants sur ce gène dont 3 à l'état homozygote (dont 1 tronquant). Elle nous a également permis d'identifier 12 nouveaux gène candidats :</w:t>
      </w:r>
      <w:r>
        <w:t xml:space="preserve"> </w:t>
      </w:r>
      <w:r>
        <w:rPr>
          <w:i/>
        </w:rPr>
        <w:t xml:space="preserve">ARMC2</w:t>
      </w:r>
      <w:r>
        <w:t xml:space="preserve">,</w:t>
      </w:r>
      <w:r>
        <w:t xml:space="preserve"> </w:t>
      </w:r>
      <w:r>
        <w:rPr>
          <w:i/>
        </w:rPr>
        <w:t xml:space="preserve">BAZ1A</w:t>
      </w:r>
      <w:r>
        <w:t xml:space="preserve">,</w:t>
      </w:r>
      <w:r>
        <w:t xml:space="preserve"> </w:t>
      </w:r>
      <w:r>
        <w:rPr>
          <w:i/>
        </w:rPr>
        <w:t xml:space="preserve">C21orf59</w:t>
      </w:r>
      <w:r>
        <w:t xml:space="preserve">,</w:t>
      </w:r>
      <w:r>
        <w:t xml:space="preserve"> </w:t>
      </w:r>
      <w:r>
        <w:rPr>
          <w:i/>
        </w:rPr>
        <w:t xml:space="preserve">C6orf118</w:t>
      </w:r>
      <w:r>
        <w:t xml:space="preserve">,</w:t>
      </w:r>
      <w:r>
        <w:t xml:space="preserve"> </w:t>
      </w:r>
      <w:r>
        <w:rPr>
          <w:i/>
        </w:rPr>
        <w:t xml:space="preserve">CCDC129</w:t>
      </w:r>
      <w:r>
        <w:t xml:space="preserve">,</w:t>
      </w:r>
      <w:r>
        <w:t xml:space="preserve"> </w:t>
      </w:r>
      <w:r>
        <w:rPr>
          <w:i/>
        </w:rPr>
        <w:t xml:space="preserve">CCDC146</w:t>
      </w:r>
      <w:r>
        <w:t xml:space="preserve">,</w:t>
      </w:r>
      <w:r>
        <w:t xml:space="preserve"> </w:t>
      </w:r>
      <w:r>
        <w:rPr>
          <w:i/>
        </w:rPr>
        <w:t xml:space="preserve">CCDC65</w:t>
      </w:r>
      <w:r>
        <w:t xml:space="preserve">,</w:t>
      </w:r>
      <w:r>
        <w:t xml:space="preserve"> </w:t>
      </w:r>
      <w:r>
        <w:rPr>
          <w:i/>
        </w:rPr>
        <w:t xml:space="preserve">CFAP43</w:t>
      </w:r>
      <w:r>
        <w:t xml:space="preserve">,</w:t>
      </w:r>
      <w:r>
        <w:t xml:space="preserve"> </w:t>
      </w:r>
      <w:r>
        <w:rPr>
          <w:i/>
        </w:rPr>
        <w:t xml:space="preserve">CFAP44</w:t>
      </w:r>
      <w:r>
        <w:t xml:space="preserve">,</w:t>
      </w:r>
      <w:r>
        <w:t xml:space="preserve"> </w:t>
      </w:r>
      <w:r>
        <w:rPr>
          <w:i/>
        </w:rPr>
        <w:t xml:space="preserve">FSIP2</w:t>
      </w:r>
      <w:r>
        <w:t xml:space="preserve">,</w:t>
      </w:r>
      <w:r>
        <w:t xml:space="preserve"> </w:t>
      </w:r>
      <w:r>
        <w:rPr>
          <w:i/>
        </w:rPr>
        <w:t xml:space="preserve">SPEF2</w:t>
      </w:r>
      <w:r>
        <w:t xml:space="preserve"> </w:t>
      </w:r>
      <w:r>
        <w:t xml:space="preserve">et</w:t>
      </w:r>
      <w:r>
        <w:t xml:space="preserve"> </w:t>
      </w:r>
      <w:r>
        <w:rPr>
          <w:i/>
        </w:rPr>
        <w:t xml:space="preserve">TTC29</w:t>
      </w:r>
      <w:r>
        <w:t xml:space="preserve">. Ainsi, 27 de nos patients soit 43.5% de la cohorte présentaient au moins 1 variant homozygote sur l'un de ces gènes, et, chez 23 d'entre eux, ce variant induisaient un effet tronquant sur la séquence protéique. Les 4 autres portaint tous au moins deux variants hétérozygotes, tronquants ou non, sur un de ces gènes (</w:t>
      </w:r>
      <w:r>
        <w:rPr>
          <w:b/>
        </w:rPr>
        <w:t xml:space="preserve">Figure :</w:t>
      </w:r>
      <w:r>
        <w:rPr>
          <w:b/>
        </w:rPr>
        <w:t xml:space="preserve"> </w:t>
      </w:r>
      <w:r>
        <w:t xml:space="preserve">21</w:t>
      </w:r>
      <w:r>
        <w:t xml:space="preserve"> </w:t>
      </w:r>
      <w:r>
        <w:t xml:space="preserve">-</w:t>
      </w:r>
      <w:r>
        <w:t xml:space="preserve"> </w:t>
      </w:r>
      <w:r>
        <w:rPr>
          <w:b/>
        </w:rPr>
        <w:t xml:space="preserve">A</w:t>
      </w:r>
      <w:r>
        <w:t xml:space="preserve">).</w:t>
      </w:r>
    </w:p>
    <w:p>
      <w:pPr>
        <w:pStyle w:val="BodyText"/>
      </w:pPr>
      <w:r>
        <w:t xml:space="preserve">Parmi cet ensemble de patients, il faut noter que 5 d'entre eux porte des variants sur plusieurs des gènes candidats que nous avons identifiés (</w:t>
      </w:r>
      <w:r>
        <w:rPr>
          <w:b/>
        </w:rPr>
        <w:t xml:space="preserve">Table :</w:t>
      </w:r>
      <w:r>
        <w:t xml:space="preserve"> </w:t>
      </w:r>
      <w:r>
        <w:t xml:space="preserve">3</w:t>
      </w:r>
      <w:r>
        <w:t xml:space="preserve">,</w:t>
      </w:r>
      <w:r>
        <w:t xml:space="preserve"> </w:t>
      </w:r>
      <w:r>
        <w:rPr>
          <w:b/>
        </w:rPr>
        <w:t xml:space="preserve">Figure :</w:t>
      </w:r>
      <w:r>
        <w:rPr>
          <w:b/>
        </w:rPr>
        <w:t xml:space="preserve"> </w:t>
      </w:r>
      <w:r>
        <w:t xml:space="preserve">21</w:t>
      </w:r>
      <w:r>
        <w:t xml:space="preserve"> </w:t>
      </w:r>
      <w:r>
        <w:t xml:space="preserve">-</w:t>
      </w:r>
      <w:r>
        <w:t xml:space="preserve"> </w:t>
      </w:r>
      <w:r>
        <w:rPr>
          <w:b/>
        </w:rPr>
        <w:t xml:space="preserve">B</w:t>
      </w:r>
      <w:r>
        <w:t xml:space="preserve">).</w:t>
      </w:r>
    </w:p>
    <w:p>
      <w:pPr>
        <w:pStyle w:val="BodyText"/>
      </w:pPr>
      <w:r>
        <w:t xml:space="preserve">Cependant, parmi ces différents variants certains semblent plus probables pour expliquer le phénotype :</w:t>
      </w:r>
    </w:p>
    <w:p>
      <w:pPr>
        <w:pStyle w:val="Compact"/>
        <w:numPr>
          <w:numId w:val="1021"/>
          <w:ilvl w:val="0"/>
        </w:numPr>
      </w:pPr>
      <w:r>
        <w:rPr>
          <w:b/>
        </w:rPr>
        <w:t xml:space="preserve">Patient</w:t>
      </w:r>
      <w:r>
        <w:rPr>
          <w:b/>
        </w:rPr>
        <w:t xml:space="preserve"> </w:t>
      </w:r>
      <w:r>
        <w:rPr>
          <w:i/>
          <w:b/>
        </w:rPr>
        <w:t xml:space="preserve">Ghs131</w:t>
      </w:r>
      <w:r>
        <w:rPr>
          <w:b/>
        </w:rPr>
        <w:t xml:space="preserve"> </w:t>
      </w:r>
      <w:r>
        <w:rPr>
          <w:b/>
        </w:rPr>
        <w:t xml:space="preserve">:</w:t>
      </w:r>
      <w:r>
        <w:t xml:space="preserve"> </w:t>
      </w:r>
      <w:r>
        <w:t xml:space="preserve">Ce patient porte à la fois un variant homozygote sur le gène</w:t>
      </w:r>
      <w:r>
        <w:t xml:space="preserve"> </w:t>
      </w:r>
      <w:r>
        <w:rPr>
          <w:i/>
        </w:rPr>
        <w:t xml:space="preserve">FSIP2</w:t>
      </w:r>
      <w:r>
        <w:t xml:space="preserve"> </w:t>
      </w:r>
      <w:r>
        <w:t xml:space="preserve">et un autre sur le gène</w:t>
      </w:r>
      <w:r>
        <w:t xml:space="preserve"> </w:t>
      </w:r>
      <w:r>
        <w:rPr>
          <w:i/>
        </w:rPr>
        <w:t xml:space="preserve">SPEF2</w:t>
      </w:r>
      <w:r>
        <w:t xml:space="preserve">. Cependant, au vu de l'effet tronquant de celui présent sur le gène</w:t>
      </w:r>
      <w:r>
        <w:t xml:space="preserve"> </w:t>
      </w:r>
      <w:r>
        <w:rPr>
          <w:i/>
        </w:rPr>
        <w:t xml:space="preserve">SPEF2</w:t>
      </w:r>
      <w:r>
        <w:t xml:space="preserve">, il est plus probable que ce soit celui-ci qui soit responsable du phénotype de ce patient.</w:t>
      </w:r>
      <w:r>
        <w:br w:type="textWrapping"/>
      </w:r>
    </w:p>
    <w:p>
      <w:pPr>
        <w:pStyle w:val="Compact"/>
        <w:numPr>
          <w:numId w:val="1021"/>
          <w:ilvl w:val="0"/>
        </w:numPr>
      </w:pPr>
      <w:r>
        <w:rPr>
          <w:b/>
        </w:rPr>
        <w:t xml:space="preserve">Patient</w:t>
      </w:r>
      <w:r>
        <w:rPr>
          <w:b/>
        </w:rPr>
        <w:t xml:space="preserve"> </w:t>
      </w:r>
      <w:r>
        <w:rPr>
          <w:i/>
          <w:b/>
        </w:rPr>
        <w:t xml:space="preserve">Ghs132</w:t>
      </w:r>
      <w:r>
        <w:rPr>
          <w:b/>
        </w:rPr>
        <w:t xml:space="preserve"> </w:t>
      </w:r>
      <w:r>
        <w:rPr>
          <w:b/>
        </w:rPr>
        <w:t xml:space="preserve">:</w:t>
      </w:r>
      <w:r>
        <w:t xml:space="preserve"> </w:t>
      </w:r>
      <w:r>
        <w:t xml:space="preserve">Ce patient porte à la fois un variant homozygote causant un décalage du cadre de lecture sur le gène</w:t>
      </w:r>
      <w:r>
        <w:t xml:space="preserve"> </w:t>
      </w:r>
      <w:r>
        <w:rPr>
          <w:i/>
        </w:rPr>
        <w:t xml:space="preserve">CCDC129</w:t>
      </w:r>
      <w:r>
        <w:t xml:space="preserve"> </w:t>
      </w:r>
      <w:r>
        <w:t xml:space="preserve">et deux variants hétérozygotes sur le gène</w:t>
      </w:r>
      <w:r>
        <w:t xml:space="preserve"> </w:t>
      </w:r>
      <w:r>
        <w:rPr>
          <w:i/>
        </w:rPr>
        <w:t xml:space="preserve">CFAP43</w:t>
      </w:r>
      <w:r>
        <w:t xml:space="preserve">. Au vu de l'incertitude lié au phasage des variants hétérozygote et de l'impact délétère de celui présent sur le gène</w:t>
      </w:r>
      <w:r>
        <w:t xml:space="preserve"> </w:t>
      </w:r>
      <w:r>
        <w:rPr>
          <w:i/>
        </w:rPr>
        <w:t xml:space="preserve">CCDC129</w:t>
      </w:r>
      <w:r>
        <w:t xml:space="preserve">, c'est ce dernier qui sera retenu pour ce patient dans un premier temps.</w:t>
      </w:r>
      <w:r>
        <w:br w:type="textWrapping"/>
      </w:r>
    </w:p>
    <w:p>
      <w:pPr>
        <w:pStyle w:val="Compact"/>
        <w:numPr>
          <w:numId w:val="1021"/>
          <w:ilvl w:val="0"/>
        </w:numPr>
      </w:pPr>
      <w:r>
        <w:rPr>
          <w:b/>
        </w:rPr>
        <w:t xml:space="preserve">Patient</w:t>
      </w:r>
      <w:r>
        <w:rPr>
          <w:b/>
        </w:rPr>
        <w:t xml:space="preserve"> </w:t>
      </w:r>
      <w:r>
        <w:rPr>
          <w:i/>
          <w:b/>
        </w:rPr>
        <w:t xml:space="preserve">Ghs40</w:t>
      </w:r>
      <w:r>
        <w:rPr>
          <w:b/>
        </w:rPr>
        <w:t xml:space="preserve"> </w:t>
      </w:r>
      <w:r>
        <w:rPr>
          <w:b/>
        </w:rPr>
        <w:t xml:space="preserve">:</w:t>
      </w:r>
      <w:r>
        <w:t xml:space="preserve"> </w:t>
      </w:r>
      <w:r>
        <w:t xml:space="preserve">Ce patient est porteur de 3 variants faux-sens hétérozygotes sur le gène</w:t>
      </w:r>
      <w:r>
        <w:t xml:space="preserve"> </w:t>
      </w:r>
      <w:r>
        <w:rPr>
          <w:i/>
        </w:rPr>
        <w:t xml:space="preserve">FSIP2</w:t>
      </w:r>
      <w:r>
        <w:t xml:space="preserve"> </w:t>
      </w:r>
      <w:r>
        <w:t xml:space="preserve">et d'un variant créant un codon stop prématuré homozygote sur</w:t>
      </w:r>
      <w:r>
        <w:t xml:space="preserve"> </w:t>
      </w:r>
      <w:r>
        <w:rPr>
          <w:i/>
        </w:rPr>
        <w:t xml:space="preserve">C6orf118</w:t>
      </w:r>
      <w:r>
        <w:t xml:space="preserve">. En tenant compte du génotype et de l'efet délétère du variant, il est plus probable que celui chevauchant le gène</w:t>
      </w:r>
      <w:r>
        <w:t xml:space="preserve"> </w:t>
      </w:r>
      <w:r>
        <w:rPr>
          <w:i/>
        </w:rPr>
        <w:t xml:space="preserve">C6orf118</w:t>
      </w:r>
      <w:r>
        <w:t xml:space="preserve"> </w:t>
      </w:r>
      <w:r>
        <w:t xml:space="preserve">soit responsable du phénotype.</w:t>
      </w:r>
      <w:r>
        <w:br w:type="textWrapping"/>
      </w:r>
    </w:p>
    <w:p>
      <w:pPr>
        <w:pStyle w:val="Compact"/>
        <w:numPr>
          <w:numId w:val="1021"/>
          <w:ilvl w:val="0"/>
        </w:numPr>
      </w:pPr>
      <w:r>
        <w:rPr>
          <w:b/>
        </w:rPr>
        <w:t xml:space="preserve">Patient</w:t>
      </w:r>
      <w:r>
        <w:rPr>
          <w:b/>
        </w:rPr>
        <w:t xml:space="preserve"> </w:t>
      </w:r>
      <w:r>
        <w:rPr>
          <w:i/>
          <w:b/>
        </w:rPr>
        <w:t xml:space="preserve">Ghs88</w:t>
      </w:r>
      <w:r>
        <w:rPr>
          <w:b/>
        </w:rPr>
        <w:t xml:space="preserve"> </w:t>
      </w:r>
      <w:r>
        <w:rPr>
          <w:b/>
        </w:rPr>
        <w:t xml:space="preserve">:</w:t>
      </w:r>
      <w:r>
        <w:t xml:space="preserve"> </w:t>
      </w:r>
      <w:r>
        <w:t xml:space="preserve">Comme le patient</w:t>
      </w:r>
      <w:r>
        <w:rPr>
          <w:i/>
        </w:rPr>
        <w:t xml:space="preserve">Ghs40</w:t>
      </w:r>
      <w:r>
        <w:t xml:space="preserve">, celui-ci porte à la fois deux variants hétérozygotes dur le gène</w:t>
      </w:r>
      <w:r>
        <w:t xml:space="preserve"> </w:t>
      </w:r>
      <w:r>
        <w:rPr>
          <w:i/>
        </w:rPr>
        <w:t xml:space="preserve">DNAH1</w:t>
      </w:r>
      <w:r>
        <w:t xml:space="preserve"> </w:t>
      </w:r>
      <w:r>
        <w:t xml:space="preserve">et un variant tronquant sur</w:t>
      </w:r>
      <w:r>
        <w:t xml:space="preserve"> </w:t>
      </w:r>
      <w:r>
        <w:rPr>
          <w:i/>
        </w:rPr>
        <w:t xml:space="preserve">C21orf59</w:t>
      </w:r>
      <w:r>
        <w:t xml:space="preserve">. Pour les même raison que celles précédement évoquées, ces ce dernier qui sera retenu.</w:t>
      </w:r>
      <w:r>
        <w:br w:type="textWrapping"/>
      </w:r>
    </w:p>
    <w:p>
      <w:pPr>
        <w:pStyle w:val="Compact"/>
        <w:numPr>
          <w:numId w:val="1021"/>
          <w:ilvl w:val="0"/>
        </w:numPr>
      </w:pPr>
      <w:r>
        <w:rPr>
          <w:b/>
        </w:rPr>
        <w:t xml:space="preserve">Patient</w:t>
      </w:r>
      <w:r>
        <w:rPr>
          <w:b/>
        </w:rPr>
        <w:t xml:space="preserve"> </w:t>
      </w:r>
      <w:r>
        <w:rPr>
          <w:i/>
          <w:b/>
        </w:rPr>
        <w:t xml:space="preserve">Ghs95</w:t>
      </w:r>
      <w:r>
        <w:rPr>
          <w:b/>
        </w:rPr>
        <w:t xml:space="preserve"> </w:t>
      </w:r>
      <w:r>
        <w:rPr>
          <w:b/>
        </w:rPr>
        <w:t xml:space="preserve">:</w:t>
      </w:r>
      <w:r>
        <w:t xml:space="preserve"> </w:t>
      </w:r>
      <w:r>
        <w:t xml:space="preserve">Pour les même raison, c'est pour ce patient le faux-sens homozygote présant sur le gène</w:t>
      </w:r>
      <w:r>
        <w:t xml:space="preserve"> </w:t>
      </w:r>
      <w:r>
        <w:rPr>
          <w:i/>
        </w:rPr>
        <w:t xml:space="preserve">DNAH1</w:t>
      </w:r>
      <w:r>
        <w:t xml:space="preserve"> </w:t>
      </w:r>
      <w:r>
        <w:t xml:space="preserve">qui sera ici conservé.</w:t>
      </w:r>
    </w:p>
    <w:p>
      <w:pPr>
        <w:pStyle w:val="FirstParagraph"/>
      </w:pPr>
      <w:r>
        <w:t xml:space="preserve">Ainsi, cette analyse révèle l'efficacité de notre pipeline puisqu'elle a permis d'identifier un gène candidat pour 38 des 62 patients de notre cohorte, soit 61.3% de nos patients. Pour les 24 patients pour lesquels aucun candidat n'a été identifié, des analyses individuelles complémentaires sont nécessaires.</w:t>
      </w:r>
    </w:p>
    <w:p>
      <w:pPr>
        <w:pStyle w:val="BodyText"/>
      </w:pPr>
      <w:r>
        <w:t xml:space="preserve">Une partie de ces différents résultats ont déjà été publiés dans deux articles dont je suis co-auteur :</w:t>
      </w:r>
    </w:p>
    <w:p>
      <w:pPr>
        <w:numPr>
          <w:numId w:val="1022"/>
          <w:ilvl w:val="0"/>
        </w:numPr>
      </w:pPr>
      <w:r>
        <w:rPr>
          <w:b/>
        </w:rPr>
        <w:t xml:space="preserve">Whole exome cohort study and analysis of mouse and Trypanosoma models demonstrate the importance of WDR proteins in flagellogenesis and male fertility</w:t>
      </w:r>
      <w:r>
        <w:t xml:space="preserve">,</w:t>
      </w:r>
      <w:r>
        <w:t xml:space="preserve"> </w:t>
      </w:r>
      <w:r>
        <w:rPr>
          <w:i/>
        </w:rPr>
        <w:t xml:space="preserve">Nat Genet</w:t>
      </w:r>
      <w:r>
        <w:t xml:space="preserve"> </w:t>
      </w:r>
      <w:r>
        <w:t xml:space="preserve">(soumis) : Cette article présente nos différents résultats dans la caractérisation des gènes</w:t>
      </w:r>
      <w:r>
        <w:t xml:space="preserve"> </w:t>
      </w:r>
      <w:r>
        <w:rPr>
          <w:i/>
        </w:rPr>
        <w:t xml:space="preserve">WDR96</w:t>
      </w:r>
      <w:r>
        <w:t xml:space="preserve"> </w:t>
      </w:r>
      <w:r>
        <w:t xml:space="preserve">et</w:t>
      </w:r>
      <w:r>
        <w:t xml:space="preserve"> </w:t>
      </w:r>
      <w:r>
        <w:rPr>
          <w:i/>
        </w:rPr>
        <w:t xml:space="preserve">WDR52</w:t>
      </w:r>
      <w:r>
        <w:t xml:space="preserve"> </w:t>
      </w:r>
      <w:r>
        <w:t xml:space="preserve">ainsi que les différentes preuves de leur implication dans le phénotype MMAF.</w:t>
      </w:r>
    </w:p>
    <w:p>
      <w:pPr>
        <w:numPr>
          <w:numId w:val="1022"/>
          <w:ilvl w:val="0"/>
        </w:numPr>
      </w:pP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En plus des résultats évoqués précédemment pour la famille MMAF2, cet article inclus ceux de ... patients de cette cohorte présentant des variants sur le gène</w:t>
      </w:r>
      <w:r>
        <w:t xml:space="preserve"> </w:t>
      </w:r>
      <w:r>
        <w:rPr>
          <w:i/>
        </w:rPr>
        <w:t xml:space="preserve">DNAH1</w:t>
      </w:r>
    </w:p>
    <w:p>
      <w:pPr>
        <w:pStyle w:val="FirstParagraph"/>
      </w:pPr>
      <w:r>
        <w:t xml:space="preserve">Pour les autres, notre équipe travaille actuellement à la caractérisation des différents gènes afin de comprendre les processus moléculaires</w:t>
      </w:r>
    </w:p>
    <w:p>
      <w:pPr>
        <w:pStyle w:val="FigureWithCaption"/>
      </w:pPr>
      <w:r>
        <w:drawing>
          <wp:inline>
            <wp:extent cx="4620126" cy="6468176"/>
            <wp:effectExtent b="0" l="0" r="0" t="0"/>
            <wp:docPr descr="Figure 21 Conclusion des analyses WES de notre large cohorte MMAF, liste des gènes candidats : A : Quantification du nombre de patient portant un ou plusieurs variants sur un des gène candidat. La couleur des barres dépend du type et du génotype du ou des variants portés par chaque patient. La barre bleue indique les patients pour lesquels aucun candidat n'a été identifié. B : Nombre de candidat potentiel par patient (parmi ceux pour lesquels au moins un gène candidat a été identifié)" id="1" name="Picture"/>
            <a:graphic>
              <a:graphicData uri="http://schemas.openxmlformats.org/drawingml/2006/picture">
                <pic:pic>
                  <pic:nvPicPr>
                    <pic:cNvPr descr="thesis_files/figure-docx/plotresumebigmmaf-1.png" id="0" name="Picture"/>
                    <pic:cNvPicPr>
                      <a:picLocks noChangeArrowheads="1" noChangeAspect="1"/>
                    </pic:cNvPicPr>
                  </pic:nvPicPr>
                  <pic:blipFill>
                    <a:blip r:embed="rId67"/>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21 Conclusion des analyses WES de notre large cohorte MMAF, liste des gènes candidats :</w:t>
      </w:r>
      <w:r>
        <w:t xml:space="preserve"> </w:t>
      </w:r>
      <w:r>
        <w:rPr>
          <w:b/>
        </w:rPr>
        <w:t xml:space="preserve">A</w:t>
      </w:r>
      <w:r>
        <w:t xml:space="preserve"> </w:t>
      </w:r>
      <w:r>
        <w:t xml:space="preserve">: Quantification du nombre de patient portant un ou plusieurs variants sur un des gène candidat. La couleur des barres dépend du type et du génotype du ou des variants portés par chaque patient. La barre bleue indique les patients pour lesquels aucun candidat n'a été identifié.</w:t>
      </w:r>
      <w:r>
        <w:t xml:space="preserve"> </w:t>
      </w:r>
      <w:r>
        <w:rPr>
          <w:b/>
        </w:rPr>
        <w:t xml:space="preserve">B</w:t>
      </w:r>
      <w:r>
        <w:t xml:space="preserve"> </w:t>
      </w:r>
      <w:r>
        <w:t xml:space="preserve">: Nombre de candidat potentiel par patient (parmi ceux pour lesquels au moins un gène candidat a été identifié)</w:t>
      </w:r>
    </w:p>
    <w:p>
      <w:pPr>
        <w:pStyle w:val="TableCaption"/>
      </w:pPr>
      <w:r>
        <w:t xml:space="preserve">Table 3 Liste des patients portant au moins 1 variant sur deux gènes candidats</w:t>
      </w:r>
    </w:p>
    <w:tbl>
      <w:tblPr>
        <w:tblStyle w:val="TableNormal"/>
        <w:tblW w:type="pct" w:w="0.0"/>
        <w:tblLook w:firstRow="1"/>
        <w:tblCaption w:val="Table 3 Liste des patients portant au moins 1 variant sur deux gènes candidats"/>
      </w:tblPr>
      <w:tblGrid/>
      <w:tr>
        <w:trPr>
          <w:cnfStyle w:firstRow="1"/>
        </w:trPr>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HGVSc, HGVSp</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Genotype</w:t>
            </w:r>
          </w:p>
        </w:tc>
      </w:tr>
      <w:tr>
        <w:tc>
          <w:p>
            <w:pPr>
              <w:pStyle w:val="Compact"/>
              <w:jc w:val="left"/>
            </w:pPr>
            <w:r>
              <w:t xml:space="preserve">Ghs131</w:t>
            </w:r>
          </w:p>
        </w:tc>
        <w:tc>
          <w:p>
            <w:pPr>
              <w:pStyle w:val="Compact"/>
              <w:jc w:val="left"/>
            </w:pPr>
            <w:r>
              <w:t xml:space="preserve">FSIP2</w:t>
            </w:r>
          </w:p>
        </w:tc>
        <w:tc>
          <w:p>
            <w:pPr>
              <w:pStyle w:val="Compact"/>
              <w:jc w:val="left"/>
            </w:pPr>
            <w:r>
              <w:t xml:space="preserve">. ; p.Ala86Val</w:t>
            </w:r>
          </w:p>
        </w:tc>
        <w:tc>
          <w:p>
            <w:pPr>
              <w:pStyle w:val="Compact"/>
              <w:jc w:val="left"/>
            </w:pPr>
            <w:r>
              <w:t xml:space="preserve">missense</w:t>
            </w:r>
          </w:p>
        </w:tc>
        <w:tc>
          <w:p>
            <w:pPr>
              <w:pStyle w:val="Compact"/>
              <w:jc w:val="left"/>
            </w:pPr>
            <w:r>
              <w:t xml:space="preserve">Homozygous</w:t>
            </w:r>
          </w:p>
        </w:tc>
      </w:tr>
      <w:tr>
        <w:tc>
          <w:p>
            <w:pPr>
              <w:pStyle w:val="Compact"/>
              <w:jc w:val="left"/>
            </w:pPr>
            <w:r>
              <w:t xml:space="preserve">Ghs131</w:t>
            </w:r>
          </w:p>
        </w:tc>
        <w:tc>
          <w:p>
            <w:pPr>
              <w:pStyle w:val="Compact"/>
              <w:jc w:val="left"/>
            </w:pPr>
            <w:r>
              <w:t xml:space="preserve">SPEF2</w:t>
            </w:r>
          </w:p>
        </w:tc>
        <w:tc>
          <w:p>
            <w:pPr>
              <w:pStyle w:val="Compact"/>
              <w:jc w:val="left"/>
            </w:pPr>
            <w:r>
              <w:t xml:space="preserve">c.3240delG ; p.Phe1080LeufsTer2</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Ghs132</w:t>
            </w:r>
          </w:p>
        </w:tc>
        <w:tc>
          <w:p>
            <w:pPr>
              <w:pStyle w:val="Compact"/>
              <w:jc w:val="left"/>
            </w:pPr>
            <w:r>
              <w:t xml:space="preserve">CCDC129</w:t>
            </w:r>
          </w:p>
        </w:tc>
        <w:tc>
          <w:p>
            <w:pPr>
              <w:pStyle w:val="Compact"/>
              <w:jc w:val="left"/>
            </w:pPr>
            <w:r>
              <w:t xml:space="preserve">. ; .</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Ghs132</w:t>
            </w:r>
          </w:p>
        </w:tc>
        <w:tc>
          <w:p>
            <w:pPr>
              <w:pStyle w:val="Compact"/>
              <w:jc w:val="left"/>
            </w:pPr>
            <w:r>
              <w:t xml:space="preserve">CFAP43</w:t>
            </w:r>
          </w:p>
        </w:tc>
        <w:tc>
          <w:p>
            <w:pPr>
              <w:pStyle w:val="Compact"/>
              <w:jc w:val="left"/>
            </w:pPr>
            <w:r>
              <w:t xml:space="preserve">c.1300_1301insT ; p.Leu435SerfsTer26</w:t>
            </w:r>
          </w:p>
        </w:tc>
        <w:tc>
          <w:p>
            <w:pPr>
              <w:pStyle w:val="Compact"/>
              <w:jc w:val="left"/>
            </w:pPr>
            <w:r>
              <w:t xml:space="preserve">frameshift</w:t>
            </w:r>
          </w:p>
        </w:tc>
        <w:tc>
          <w:p>
            <w:pPr>
              <w:pStyle w:val="Compact"/>
              <w:jc w:val="left"/>
            </w:pPr>
            <w:r>
              <w:t xml:space="preserve">Heterozygous</w:t>
            </w:r>
          </w:p>
        </w:tc>
      </w:tr>
      <w:tr>
        <w:tc>
          <w:p>
            <w:pPr>
              <w:pStyle w:val="Compact"/>
              <w:jc w:val="left"/>
            </w:pPr>
            <w:r>
              <w:t xml:space="preserve">Ghs132</w:t>
            </w:r>
          </w:p>
        </w:tc>
        <w:tc>
          <w:p>
            <w:pPr>
              <w:pStyle w:val="Compact"/>
              <w:jc w:val="left"/>
            </w:pPr>
            <w:r>
              <w:t xml:space="preserve">CFAP43</w:t>
            </w:r>
          </w:p>
        </w:tc>
        <w:tc>
          <w:p>
            <w:pPr>
              <w:pStyle w:val="Compact"/>
              <w:jc w:val="left"/>
            </w:pPr>
            <w:r>
              <w:t xml:space="preserve">c.1040G&gt;C ; p.Val347Ala</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C6orf118</w:t>
            </w:r>
          </w:p>
        </w:tc>
        <w:tc>
          <w:p>
            <w:pPr>
              <w:pStyle w:val="Compact"/>
              <w:jc w:val="left"/>
            </w:pPr>
            <w:r>
              <w:t xml:space="preserve">c.1114C&gt;T ; p.Arg372Ter</w:t>
            </w:r>
          </w:p>
        </w:tc>
        <w:tc>
          <w:p>
            <w:pPr>
              <w:pStyle w:val="Compact"/>
              <w:jc w:val="left"/>
            </w:pPr>
            <w:r>
              <w:t xml:space="preserve">stop gained</w:t>
            </w:r>
          </w:p>
        </w:tc>
        <w:tc>
          <w:p>
            <w:pPr>
              <w:pStyle w:val="Compact"/>
              <w:jc w:val="left"/>
            </w:pPr>
            <w:r>
              <w:t xml:space="preserve">Homozygous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p.Asn495Ile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p.Ile2960Met</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Ghs40</w:t>
            </w:r>
          </w:p>
        </w:tc>
        <w:tc>
          <w:p>
            <w:pPr>
              <w:pStyle w:val="Compact"/>
              <w:jc w:val="left"/>
            </w:pPr>
            <w:r>
              <w:t xml:space="preserve">FSIP2</w:t>
            </w:r>
          </w:p>
        </w:tc>
        <w:tc>
          <w:p>
            <w:pPr>
              <w:pStyle w:val="Compact"/>
              <w:jc w:val="left"/>
            </w:pPr>
            <w:r>
              <w:t xml:space="preserve">. ; p.Lys5822Ile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Ghs88</w:t>
            </w:r>
          </w:p>
        </w:tc>
        <w:tc>
          <w:p>
            <w:pPr>
              <w:pStyle w:val="Compact"/>
              <w:jc w:val="left"/>
            </w:pPr>
            <w:r>
              <w:t xml:space="preserve">C21orf59</w:t>
            </w:r>
          </w:p>
        </w:tc>
        <w:tc>
          <w:p>
            <w:pPr>
              <w:pStyle w:val="Compact"/>
              <w:jc w:val="left"/>
            </w:pPr>
            <w:r>
              <w:t xml:space="preserve">c.79delA ; p.Phe28LeufsTer47</w:t>
            </w:r>
          </w:p>
        </w:tc>
        <w:tc>
          <w:p>
            <w:pPr>
              <w:pStyle w:val="Compact"/>
              <w:jc w:val="left"/>
            </w:pPr>
            <w:r>
              <w:t xml:space="preserve">frameshift</w:t>
            </w:r>
          </w:p>
        </w:tc>
        <w:tc>
          <w:p>
            <w:pPr>
              <w:pStyle w:val="Compact"/>
              <w:jc w:val="left"/>
            </w:pPr>
            <w:r>
              <w:t xml:space="preserve">Homozygous</w:t>
            </w:r>
          </w:p>
        </w:tc>
      </w:tr>
      <w:tr>
        <w:tc>
          <w:p>
            <w:pPr>
              <w:pStyle w:val="Compact"/>
              <w:jc w:val="left"/>
            </w:pPr>
            <w:r>
              <w:t xml:space="preserve">Ghs88</w:t>
            </w:r>
          </w:p>
        </w:tc>
        <w:tc>
          <w:p>
            <w:pPr>
              <w:pStyle w:val="Compact"/>
              <w:jc w:val="left"/>
            </w:pPr>
            <w:r>
              <w:t xml:space="preserve">DNAH1</w:t>
            </w:r>
          </w:p>
        </w:tc>
        <w:tc>
          <w:p>
            <w:pPr>
              <w:pStyle w:val="Compact"/>
              <w:jc w:val="left"/>
            </w:pPr>
            <w:r>
              <w:t xml:space="preserve">c.2209C&gt;A ; p.Val737Met</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Ghs88</w:t>
            </w:r>
          </w:p>
        </w:tc>
        <w:tc>
          <w:p>
            <w:pPr>
              <w:pStyle w:val="Compact"/>
              <w:jc w:val="left"/>
            </w:pPr>
            <w:r>
              <w:t xml:space="preserve">DNAH1</w:t>
            </w:r>
          </w:p>
        </w:tc>
        <w:tc>
          <w:p>
            <w:pPr>
              <w:pStyle w:val="Compact"/>
              <w:jc w:val="left"/>
            </w:pPr>
            <w:r>
              <w:t xml:space="preserve">c.3877T&gt;A ; p.Asp1293Asn</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Ghs95</w:t>
            </w:r>
          </w:p>
        </w:tc>
        <w:tc>
          <w:p>
            <w:pPr>
              <w:pStyle w:val="Compact"/>
              <w:jc w:val="left"/>
            </w:pPr>
            <w:r>
              <w:t xml:space="preserve">DNAH1</w:t>
            </w:r>
          </w:p>
        </w:tc>
        <w:tc>
          <w:p>
            <w:pPr>
              <w:pStyle w:val="Compact"/>
              <w:jc w:val="left"/>
            </w:pPr>
            <w:r>
              <w:t xml:space="preserve">c.9278C&gt;G ; p.Ala3093Gly</w:t>
            </w:r>
          </w:p>
        </w:tc>
        <w:tc>
          <w:p>
            <w:pPr>
              <w:pStyle w:val="Compact"/>
              <w:jc w:val="left"/>
            </w:pPr>
            <w:r>
              <w:t xml:space="preserve">missense</w:t>
            </w:r>
          </w:p>
        </w:tc>
        <w:tc>
          <w:p>
            <w:pPr>
              <w:pStyle w:val="Compact"/>
              <w:jc w:val="left"/>
            </w:pPr>
            <w:r>
              <w:t xml:space="preserve">Homozygous</w:t>
            </w:r>
          </w:p>
        </w:tc>
      </w:tr>
      <w:tr>
        <w:tc>
          <w:p>
            <w:pPr>
              <w:pStyle w:val="Compact"/>
              <w:jc w:val="left"/>
            </w:pPr>
            <w:r>
              <w:t xml:space="preserve">Ghs95</w:t>
            </w:r>
          </w:p>
        </w:tc>
        <w:tc>
          <w:p>
            <w:pPr>
              <w:pStyle w:val="Compact"/>
              <w:jc w:val="left"/>
            </w:pPr>
            <w:r>
              <w:t xml:space="preserve">FSIP2</w:t>
            </w:r>
          </w:p>
        </w:tc>
        <w:tc>
          <w:p>
            <w:pPr>
              <w:pStyle w:val="Compact"/>
              <w:jc w:val="left"/>
            </w:pPr>
            <w:r>
              <w:t xml:space="preserve">. ; p.Asn495Ile</w:t>
            </w:r>
          </w:p>
        </w:tc>
        <w:tc>
          <w:p>
            <w:pPr>
              <w:pStyle w:val="Compact"/>
              <w:jc w:val="left"/>
            </w:pPr>
            <w:r>
              <w:t xml:space="preserve">missense</w:t>
            </w:r>
          </w:p>
        </w:tc>
        <w:tc>
          <w:p>
            <w:pPr>
              <w:pStyle w:val="Compact"/>
              <w:jc w:val="left"/>
            </w:pPr>
            <w:r>
              <w:t xml:space="preserve">Heterozygous</w:t>
            </w:r>
          </w:p>
        </w:tc>
      </w:tr>
      <w:tr>
        <w:tc>
          <w:p>
            <w:pPr>
              <w:pStyle w:val="Compact"/>
              <w:jc w:val="left"/>
            </w:pPr>
            <w:r>
              <w:t xml:space="preserve">Ghs95</w:t>
            </w:r>
          </w:p>
        </w:tc>
        <w:tc>
          <w:p>
            <w:pPr>
              <w:pStyle w:val="Compact"/>
              <w:jc w:val="left"/>
            </w:pPr>
            <w:r>
              <w:t xml:space="preserve">FSIP2</w:t>
            </w:r>
          </w:p>
        </w:tc>
        <w:tc>
          <w:p>
            <w:pPr>
              <w:pStyle w:val="Compact"/>
              <w:jc w:val="left"/>
            </w:pPr>
            <w:r>
              <w:t xml:space="preserve">. ; p.Lys5822Ile</w:t>
            </w:r>
          </w:p>
        </w:tc>
        <w:tc>
          <w:p>
            <w:pPr>
              <w:pStyle w:val="Compact"/>
              <w:jc w:val="left"/>
            </w:pPr>
            <w:r>
              <w:t xml:space="preserve">missense</w:t>
            </w:r>
          </w:p>
        </w:tc>
        <w:tc>
          <w:p>
            <w:pPr>
              <w:pStyle w:val="Compact"/>
              <w:jc w:val="left"/>
            </w:pPr>
            <w:r>
              <w:t xml:space="preserve">Heterozygous</w:t>
            </w:r>
          </w:p>
        </w:tc>
      </w:tr>
    </w:tbl>
    <w:p>
      <w:pPr>
        <w:pStyle w:val="Heading2"/>
      </w:pPr>
      <w:bookmarkStart w:id="68" w:name="conclusion"/>
      <w:bookmarkEnd w:id="68"/>
      <w:r>
        <w:t xml:space="preserve">Conclusion</w:t>
      </w:r>
    </w:p>
    <w:p>
      <w:pPr>
        <w:pStyle w:val="FirstParagraph"/>
      </w:pPr>
      <w:r>
        <w:t xml:space="preserve">Au cours de ces différentes études nous avons pu identifier les variants pouvant expliquer les phénotypes de ... des différents patients que nous avons analysé que ce soit au sein d'études familiales ou bien au sein de plus large cohorte composés d'individus non apparentés. Bien que ces résultats soient satisfaisant, il faut noter que pour ... patients, soit ... % d'entre eux aucun candidat n'a pu à ce jour être identifié. Pour ces patients, le WES permets désormais de nouvelles approches permettant d'identifier de larges variants structuraux (insertion ou délétions) pouvant eux aussi être responsable du phénotype qui ne sont pas détectés par les analyses classiques. Néanmoins, il semble clair que des avancés soient encore nécessaires afin d'améliorer l'efficacité de ce genre d'étude notamment en créant de nouveaux filtres permettant ainsi d'épurer les listes de variants facilitant ainsi l'identification des gènes candidats.</w:t>
      </w:r>
    </w:p>
    <w:p>
      <w:pPr>
        <w:pStyle w:val="Heading1"/>
      </w:pPr>
      <w:bookmarkStart w:id="69" w:name="references"/>
      <w:bookmarkEnd w:id="69"/>
      <w:r>
        <w:t xml:space="preserve">References</w:t>
      </w:r>
    </w:p>
    <w:p>
      <w:pPr>
        <w:pStyle w:val="Bibliography"/>
      </w:pPr>
      <w:r>
        <w:t xml:space="preserve">1000 Genomes Project Consortium, T. 1. G. P., Auton, A., Brooks, L. D., Durbin, R. M., Garrison, E. P., Kang, H. M., … Abecasis, G. R. (2015). A global reference for human genetic variation.</w:t>
      </w:r>
      <w:r>
        <w:t xml:space="preserve"> </w:t>
      </w:r>
      <w:r>
        <w:rPr>
          <w:i/>
        </w:rPr>
        <w:t xml:space="preserve">Nature</w:t>
      </w:r>
      <w:r>
        <w:t xml:space="preserve">,</w:t>
      </w:r>
      <w:r>
        <w:t xml:space="preserve"> </w:t>
      </w:r>
      <w:r>
        <w:rPr>
          <w:i/>
        </w:rPr>
        <w:t xml:space="preserve">526</w:t>
      </w:r>
      <w:r>
        <w:t xml:space="preserve">(7571), 68–74.</w:t>
      </w:r>
      <w:r>
        <w:t xml:space="preserve"> </w:t>
      </w:r>
      <w:hyperlink r:id="rId70">
        <w:r>
          <w:rPr>
            <w:rStyle w:val="Hyperlink"/>
          </w:rPr>
          <w:t xml:space="preserve">http://doi.org/10.1038/nature15393</w:t>
        </w:r>
      </w:hyperlink>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71">
        <w:r>
          <w:rPr>
            <w:rStyle w:val="Hyperlink"/>
          </w:rPr>
          <w:t xml:space="preserve">http://doi.org/10.1038/nmeth0410-248</w:t>
        </w:r>
      </w:hyperlink>
    </w:p>
    <w:p>
      <w:pPr>
        <w:pStyle w:val="Bibliography"/>
      </w:pPr>
      <w:r>
        <w:t xml:space="preserve">Aken, B. L., Achuthan, P., Akanni, W., Amode, M. R., Bernsdorff, F., Bhai, J., … Flicek, P. (2017). Ensembl 2017.</w:t>
      </w:r>
      <w:r>
        <w:t xml:space="preserve"> </w:t>
      </w:r>
      <w:r>
        <w:rPr>
          <w:i/>
        </w:rPr>
        <w:t xml:space="preserve">Nucleic Acids Research</w:t>
      </w:r>
      <w:r>
        <w:t xml:space="preserve">,</w:t>
      </w:r>
      <w:r>
        <w:t xml:space="preserve"> </w:t>
      </w:r>
      <w:r>
        <w:rPr>
          <w:i/>
        </w:rPr>
        <w:t xml:space="preserve">45</w:t>
      </w:r>
      <w:r>
        <w:t xml:space="preserve">(D1), D635–D642.</w:t>
      </w:r>
      <w:r>
        <w:t xml:space="preserve"> </w:t>
      </w:r>
      <w:hyperlink r:id="rId72">
        <w:r>
          <w:rPr>
            <w:rStyle w:val="Hyperlink"/>
          </w:rPr>
          <w:t xml:space="preserve">http://doi.org/10.1093/nar/gkw1104</w:t>
        </w:r>
      </w:hyperlink>
    </w:p>
    <w:p>
      <w:pPr>
        <w:pStyle w:val="Bibliography"/>
      </w:pPr>
      <w:r>
        <w:t xml:space="preserve">Amberger, J., Bocchini, C., &amp; Hamosh, A. (2011). A new face and new challenges for Online Mendelian Inheritance in Man (OMIM).</w:t>
      </w:r>
      <w:r>
        <w:t xml:space="preserve"> </w:t>
      </w:r>
      <w:r>
        <w:rPr>
          <w:i/>
        </w:rPr>
        <w:t xml:space="preserve">Human Mutation</w:t>
      </w:r>
      <w:r>
        <w:t xml:space="preserve">,</w:t>
      </w:r>
      <w:r>
        <w:t xml:space="preserve"> </w:t>
      </w:r>
      <w:r>
        <w:rPr>
          <w:i/>
        </w:rPr>
        <w:t xml:space="preserve">32</w:t>
      </w:r>
      <w:r>
        <w:t xml:space="preserve">(5), 564–567.</w:t>
      </w:r>
      <w:r>
        <w:t xml:space="preserve"> </w:t>
      </w:r>
      <w:hyperlink r:id="rId73">
        <w:r>
          <w:rPr>
            <w:rStyle w:val="Hyperlink"/>
          </w:rPr>
          <w:t xml:space="preserve">http://doi.org/10.1002/humu.21466</w:t>
        </w:r>
      </w:hyperlink>
    </w:p>
    <w:p>
      <w:pPr>
        <w:pStyle w:val="Bibliography"/>
      </w:pPr>
      <w:r>
        <w:t xml:space="preserve">Amdani, S. N., Jones, C., &amp; Coward, K. (2013). Phospholipase C zeta (PLC</w:t>
      </w:r>
      <m:oMath>
        <m:r>
          <m:t>ζ</m:t>
        </m:r>
      </m:oMath>
      <w:r>
        <w:t xml:space="preserve">): Oocyte activation and clinical links to male factor infertility.</w:t>
      </w:r>
      <w:r>
        <w:t xml:space="preserve"> </w:t>
      </w:r>
      <w:r>
        <w:rPr>
          <w:i/>
        </w:rPr>
        <w:t xml:space="preserve">Advances in Biological Regulation</w:t>
      </w:r>
      <w:r>
        <w:t xml:space="preserve">,</w:t>
      </w:r>
      <w:r>
        <w:t xml:space="preserve"> </w:t>
      </w:r>
      <w:r>
        <w:rPr>
          <w:i/>
        </w:rPr>
        <w:t xml:space="preserve">53</w:t>
      </w:r>
      <w:r>
        <w:t xml:space="preserve">(3), 292–308.</w:t>
      </w:r>
      <w:r>
        <w:t xml:space="preserve"> </w:t>
      </w:r>
      <w:hyperlink r:id="rId74">
        <w:r>
          <w:rPr>
            <w:rStyle w:val="Hyperlink"/>
          </w:rPr>
          <w:t xml:space="preserve">http://doi.org/10.1016/j.jbior.2013.07.005</w:t>
        </w:r>
      </w:hyperlink>
    </w:p>
    <w:p>
      <w:pPr>
        <w:pStyle w:val="Bibliography"/>
      </w:pPr>
      <w:r>
        <w:t xml:space="preserve">Arnaiz, O., Cohen, J., Tassin, A., &amp; Koll, F. (2015). Remodeling Cildb, a popular database for cilia and links for ciliopathies.</w:t>
      </w:r>
      <w:r>
        <w:t xml:space="preserve"> </w:t>
      </w:r>
      <w:r>
        <w:rPr>
          <w:i/>
        </w:rPr>
        <w:t xml:space="preserve">Cilia</w:t>
      </w:r>
      <w:r>
        <w:t xml:space="preserve">,</w:t>
      </w:r>
      <w:r>
        <w:t xml:space="preserve"> </w:t>
      </w:r>
      <w:r>
        <w:rPr>
          <w:i/>
        </w:rPr>
        <w:t xml:space="preserve">4</w:t>
      </w:r>
      <w:r>
        <w:t xml:space="preserve">, P21.</w:t>
      </w:r>
      <w:r>
        <w:t xml:space="preserve"> </w:t>
      </w:r>
      <w:hyperlink r:id="rId75">
        <w:r>
          <w:rPr>
            <w:rStyle w:val="Hyperlink"/>
          </w:rPr>
          <w:t xml:space="preserve">http://doi.org/10.1186/2046-2530-4-S1-P21</w:t>
        </w:r>
      </w:hyperlink>
    </w:p>
    <w:p>
      <w:pPr>
        <w:pStyle w:val="Bibliography"/>
      </w:pPr>
      <w:r>
        <w:t xml:space="preserve">Austin-Tse, C., Halbritter, J., Zariwala, M. A., Gilberti, R. M., Gee, H. Y., Hellman, N., … Hildebrandt, F. (2013). Zebrafish Ciliopathy Screen Plus Human Mutational Analysis Identifies C21orf59 and CCDC65 Defects as Causing Primary Ciliary Dyskinesia.</w:t>
      </w:r>
      <w:r>
        <w:t xml:space="preserve"> </w:t>
      </w:r>
      <w:r>
        <w:rPr>
          <w:i/>
        </w:rPr>
        <w:t xml:space="preserve">American Journal of Human Genetics</w:t>
      </w:r>
      <w:r>
        <w:t xml:space="preserve">,</w:t>
      </w:r>
      <w:r>
        <w:t xml:space="preserve"> </w:t>
      </w:r>
      <w:r>
        <w:rPr>
          <w:i/>
        </w:rPr>
        <w:t xml:space="preserve">93</w:t>
      </w:r>
      <w:r>
        <w:t xml:space="preserve">(4), 672–86.</w:t>
      </w:r>
      <w:r>
        <w:t xml:space="preserve"> </w:t>
      </w:r>
      <w:hyperlink r:id="rId76">
        <w:r>
          <w:rPr>
            <w:rStyle w:val="Hyperlink"/>
          </w:rPr>
          <w:t xml:space="preserve">http://doi.org/10.1016/j.ajhg.2013.08.015</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77">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78">
        <w:r>
          <w:rPr>
            <w:rStyle w:val="Hyperlink"/>
          </w:rPr>
          <w:t xml:space="preserve">http://doi.org/10.1016/j.ajhg.2013.11.017</w:t>
        </w:r>
      </w:hyperlink>
    </w:p>
    <w:p>
      <w:pPr>
        <w:pStyle w:val="Bibliography"/>
      </w:pPr>
      <w:r>
        <w:t xml:space="preserve">Brown, P. R., Miki, K., Harper, D. B., &amp; Eddy, E. M. (2003). A-Kinase Anchoring Protein 4 Binding Proteins in the Fibrous Sheath of the Sperm Flagellum.</w:t>
      </w:r>
      <w:r>
        <w:t xml:space="preserve"> </w:t>
      </w:r>
      <w:r>
        <w:rPr>
          <w:i/>
        </w:rPr>
        <w:t xml:space="preserve">Biology of Reproduction</w:t>
      </w:r>
      <w:r>
        <w:t xml:space="preserve">,</w:t>
      </w:r>
      <w:r>
        <w:t xml:space="preserve"> </w:t>
      </w:r>
      <w:r>
        <w:rPr>
          <w:i/>
        </w:rPr>
        <w:t xml:space="preserve">68</w:t>
      </w:r>
      <w:r>
        <w:t xml:space="preserve">(6), 2241–2248.</w:t>
      </w:r>
      <w:r>
        <w:t xml:space="preserve"> </w:t>
      </w:r>
      <w:hyperlink r:id="rId79">
        <w:r>
          <w:rPr>
            <w:rStyle w:val="Hyperlink"/>
          </w:rPr>
          <w:t xml:space="preserve">http://doi.org/10.1095/biolreprod.102.013466</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80">
        <w:r>
          <w:rPr>
            <w:rStyle w:val="Hyperlink"/>
          </w:rPr>
          <w:t xml:space="preserve">http://doi.org/10.1146/annurev.biochem.76.050106.093909</w:t>
        </w:r>
      </w:hyperlink>
    </w:p>
    <w:p>
      <w:pPr>
        <w:pStyle w:val="Bibliography"/>
      </w:pPr>
      <w:r>
        <w:t xml:space="preserve">Chung, M.-I., Kwon, T., Tu, F., Brooks, E. R., Gupta, R., Meyer, M., … Wallingford, J. B. (2014). Coordinated genomic control of ciliogenesis and cell movement by RFX2.</w:t>
      </w:r>
      <w:r>
        <w:t xml:space="preserve"> </w:t>
      </w:r>
      <w:r>
        <w:rPr>
          <w:i/>
        </w:rPr>
        <w:t xml:space="preserve">ELife</w:t>
      </w:r>
      <w:r>
        <w:t xml:space="preserve">,</w:t>
      </w:r>
      <w:r>
        <w:t xml:space="preserve"> </w:t>
      </w:r>
      <w:r>
        <w:rPr>
          <w:i/>
        </w:rPr>
        <w:t xml:space="preserve">3</w:t>
      </w:r>
      <w:r>
        <w:t xml:space="preserve">, e01439.</w:t>
      </w:r>
      <w:r>
        <w:t xml:space="preserve"> </w:t>
      </w:r>
      <w:hyperlink r:id="rId81">
        <w:r>
          <w:rPr>
            <w:rStyle w:val="Hyperlink"/>
          </w:rPr>
          <w:t xml:space="preserve">http://doi.org/10.7554/eLife.01439</w:t>
        </w:r>
      </w:hyperlink>
    </w:p>
    <w:p>
      <w:pPr>
        <w:pStyle w:val="Bibliography"/>
      </w:pPr>
      <w:r>
        <w:t xml:space="preserve">Cingolani, P., Platts, A., Wang, L. L., Coon, M., Nguyen, T., Wang, L., … Ruden, D. M. (2012). A program for annotating and predicting the effects of single nucleotide polymorphisms, SnpEff.</w:t>
      </w:r>
      <w:r>
        <w:t xml:space="preserve"> </w:t>
      </w:r>
      <w:r>
        <w:rPr>
          <w:i/>
        </w:rPr>
        <w:t xml:space="preserve">Fly</w:t>
      </w:r>
      <w:r>
        <w:t xml:space="preserve">,</w:t>
      </w:r>
      <w:r>
        <w:t xml:space="preserve"> </w:t>
      </w:r>
      <w:r>
        <w:rPr>
          <w:i/>
        </w:rPr>
        <w:t xml:space="preserve">6</w:t>
      </w:r>
      <w:r>
        <w:t xml:space="preserve">(2), 80–92.</w:t>
      </w:r>
      <w:r>
        <w:t xml:space="preserve"> </w:t>
      </w:r>
      <w:hyperlink r:id="rId82">
        <w:r>
          <w:rPr>
            <w:rStyle w:val="Hyperlink"/>
          </w:rPr>
          <w:t xml:space="preserve">http://doi.org/10.4161/fly.19695</w:t>
        </w:r>
      </w:hyperlink>
    </w:p>
    <w:p>
      <w:pPr>
        <w:pStyle w:val="Bibliography"/>
      </w:pPr>
      <w:r>
        <w:t xml:space="preserve">Conkar, D., Culfa, E., Odabasi, E., Rauniyar, N., Yates, J. R., &amp; Firat-Karalar, E. N. (2017). The centriolar satellite protein CCDC66 interacts with CEP290 and functions in cilium formation and trafficking.</w:t>
      </w:r>
      <w:r>
        <w:t xml:space="preserve"> </w:t>
      </w:r>
      <w:r>
        <w:rPr>
          <w:i/>
        </w:rPr>
        <w:t xml:space="preserve">Journal of Cell Science</w:t>
      </w:r>
      <w:r>
        <w:t xml:space="preserve">,</w:t>
      </w:r>
      <w:r>
        <w:t xml:space="preserve"> </w:t>
      </w:r>
      <w:r>
        <w:rPr>
          <w:i/>
        </w:rPr>
        <w:t xml:space="preserve">130</w:t>
      </w:r>
      <w:r>
        <w:t xml:space="preserve">(8). Retrieved from</w:t>
      </w:r>
      <w:r>
        <w:t xml:space="preserve"> </w:t>
      </w:r>
      <w:hyperlink r:id="rId83">
        <w:r>
          <w:rPr>
            <w:rStyle w:val="Hyperlink"/>
          </w:rPr>
          <w:t xml:space="preserve">http://jcs.biologists.org/content/130/8/1450.long</w:t>
        </w:r>
      </w:hyperlink>
    </w:p>
    <w:p>
      <w:pPr>
        <w:pStyle w:val="Bibliography"/>
      </w:pPr>
      <w:r>
        <w:t xml:space="preserve">Dekomien, G., Vollrath, C., Petrasch-Parwez, E., Boev?, M. H., Akkad, D. A., Gerding, W. M., &amp; Epplen, J. T. (2010). Progressive retinal atrophy in Schapendoes dogs: mutation of the newly identified CCDC66 gene.</w:t>
      </w:r>
      <w:r>
        <w:t xml:space="preserve"> </w:t>
      </w:r>
      <w:r>
        <w:rPr>
          <w:i/>
        </w:rPr>
        <w:t xml:space="preserve">Neurogenetics</w:t>
      </w:r>
      <w:r>
        <w:t xml:space="preserve">,</w:t>
      </w:r>
      <w:r>
        <w:t xml:space="preserve"> </w:t>
      </w:r>
      <w:r>
        <w:rPr>
          <w:i/>
        </w:rPr>
        <w:t xml:space="preserve">11</w:t>
      </w:r>
      <w:r>
        <w:t xml:space="preserve">(2), 163–174.</w:t>
      </w:r>
      <w:r>
        <w:t xml:space="preserve"> </w:t>
      </w:r>
      <w:hyperlink r:id="rId84">
        <w:r>
          <w:rPr>
            <w:rStyle w:val="Hyperlink"/>
          </w:rPr>
          <w:t xml:space="preserve">http://doi.org/10.1007/s10048-009-0223-z</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85">
        <w:r>
          <w:rPr>
            <w:rStyle w:val="Hyperlink"/>
          </w:rPr>
          <w:t xml:space="preserve">http://doi.org/10.1038/ng.806</w:t>
        </w:r>
      </w:hyperlink>
    </w:p>
    <w:p>
      <w:pPr>
        <w:pStyle w:val="Bibliography"/>
      </w:pPr>
      <w:r>
        <w:t xml:space="preserve">Dowdle, J. A., Mehta, M., Kass, E. M., Vuong, B. Q., Inagaki, A., Egli, D., … Keeney, S. (2013). Mouse BAZ1A (ACF1) is dispensable for double-strand break repair but is essential for averting improper gene expression during spermatogenesis.</w:t>
      </w:r>
      <w:r>
        <w:t xml:space="preserve"> </w:t>
      </w:r>
      <w:r>
        <w:rPr>
          <w:i/>
        </w:rPr>
        <w:t xml:space="preserve">PLoS Genetics</w:t>
      </w:r>
      <w:r>
        <w:t xml:space="preserve">,</w:t>
      </w:r>
      <w:r>
        <w:t xml:space="preserve"> </w:t>
      </w:r>
      <w:r>
        <w:rPr>
          <w:i/>
        </w:rPr>
        <w:t xml:space="preserve">9</w:t>
      </w:r>
      <w:r>
        <w:t xml:space="preserve">(11), e1003945.</w:t>
      </w:r>
      <w:r>
        <w:t xml:space="preserve"> </w:t>
      </w:r>
      <w:hyperlink r:id="rId86">
        <w:r>
          <w:rPr>
            <w:rStyle w:val="Hyperlink"/>
          </w:rPr>
          <w:t xml:space="preserve">http://doi.org/10.1371/journal.pgen.1003945</w:t>
        </w:r>
      </w:hyperlink>
    </w:p>
    <w:p>
      <w:pPr>
        <w:pStyle w:val="Bibliography"/>
      </w:pPr>
      <w:r>
        <w:t xml:space="preserve">Firat-Karalar, E. N., Sante, J., Elliott, S., &amp; Stearns, T. (2014). Proteomic analysis of mammalian sperm cells identifies new components of the centrosome.</w:t>
      </w:r>
      <w:r>
        <w:t xml:space="preserve"> </w:t>
      </w:r>
      <w:r>
        <w:rPr>
          <w:i/>
        </w:rPr>
        <w:t xml:space="preserve">Journal of Cell Science</w:t>
      </w:r>
      <w:r>
        <w:t xml:space="preserve">,</w:t>
      </w:r>
      <w:r>
        <w:t xml:space="preserve"> </w:t>
      </w:r>
      <w:r>
        <w:rPr>
          <w:i/>
        </w:rPr>
        <w:t xml:space="preserve">127</w:t>
      </w:r>
      <w:r>
        <w:t xml:space="preserve">(Pt 19), 4128–33.</w:t>
      </w:r>
      <w:r>
        <w:t xml:space="preserve"> </w:t>
      </w:r>
      <w:hyperlink r:id="rId87">
        <w:r>
          <w:rPr>
            <w:rStyle w:val="Hyperlink"/>
          </w:rPr>
          <w:t xml:space="preserve">http://doi.org/10.1242/jcs.157008</w:t>
        </w:r>
      </w:hyperlink>
    </w:p>
    <w:p>
      <w:pPr>
        <w:pStyle w:val="Bibliography"/>
      </w:pPr>
      <w:r>
        <w:t xml:space="preserve">Gaedigk, R., Duncan, A. M., Miyazaki, I., Robinson, B. H., &amp; Dosch, H. M. (1994). ICA1 encoding p69, a protein linked to the development of type 1 diabetes, maps to human chromosome 7p22.</w:t>
      </w:r>
      <w:r>
        <w:t xml:space="preserve"> </w:t>
      </w:r>
      <w:r>
        <w:rPr>
          <w:i/>
        </w:rPr>
        <w:t xml:space="preserve">Cytogenetics and Cell Genetics</w:t>
      </w:r>
      <w:r>
        <w:t xml:space="preserve">,</w:t>
      </w:r>
      <w:r>
        <w:t xml:space="preserve"> </w:t>
      </w:r>
      <w:r>
        <w:rPr>
          <w:i/>
        </w:rPr>
        <w:t xml:space="preserve">66</w:t>
      </w:r>
      <w:r>
        <w:t xml:space="preserve">(4), 274–6. Retrieved from</w:t>
      </w:r>
      <w:r>
        <w:t xml:space="preserve"> </w:t>
      </w:r>
      <w:hyperlink r:id="rId88">
        <w:r>
          <w:rPr>
            <w:rStyle w:val="Hyperlink"/>
          </w:rPr>
          <w:t xml:space="preserve">http://www.ncbi.nlm.nih.gov/pubmed/8162706</w:t>
        </w:r>
      </w:hyperlink>
    </w:p>
    <w:p>
      <w:pPr>
        <w:pStyle w:val="Bibliography"/>
      </w:pPr>
      <w:r>
        <w:t xml:space="preserve">Gerding, W. M., Schreiber, S., Schulte-Middelmann, T., de Castro Marques, A., Atorf, J., Akkad, D. A., … Petrasch-Parwez, E. (2011). Ccdc66 null mutation causes retinal degeneration and dysfunction.</w:t>
      </w:r>
      <w:r>
        <w:t xml:space="preserve"> </w:t>
      </w:r>
      <w:r>
        <w:rPr>
          <w:i/>
        </w:rPr>
        <w:t xml:space="preserve">Human Molecular Genetics</w:t>
      </w:r>
      <w:r>
        <w:t xml:space="preserve">,</w:t>
      </w:r>
      <w:r>
        <w:t xml:space="preserve"> </w:t>
      </w:r>
      <w:r>
        <w:rPr>
          <w:i/>
        </w:rPr>
        <w:t xml:space="preserve">20</w:t>
      </w:r>
      <w:r>
        <w:t xml:space="preserve">(18), 3620–3631.</w:t>
      </w:r>
      <w:r>
        <w:t xml:space="preserve"> </w:t>
      </w:r>
      <w:hyperlink r:id="rId89">
        <w:r>
          <w:rPr>
            <w:rStyle w:val="Hyperlink"/>
          </w:rPr>
          <w:t xml:space="preserve">http://doi.org/10.1093/hmg/ddr282</w:t>
        </w:r>
      </w:hyperlink>
    </w:p>
    <w:p>
      <w:pPr>
        <w:pStyle w:val="Bibliography"/>
      </w:pPr>
      <w:r>
        <w:t xml:space="preserve">Hong, E. P., Go, M. J., Kim, H.-L., &amp; Park, J. W. (2017). Risk prediction of pulmonary tuberculosis using genetic and conventional risk factors in adult Korean population.</w:t>
      </w:r>
      <w:r>
        <w:t xml:space="preserve"> </w:t>
      </w:r>
      <w:r>
        <w:rPr>
          <w:i/>
        </w:rPr>
        <w:t xml:space="preserve">PloS One</w:t>
      </w:r>
      <w:r>
        <w:t xml:space="preserve">,</w:t>
      </w:r>
      <w:r>
        <w:t xml:space="preserve"> </w:t>
      </w:r>
      <w:r>
        <w:rPr>
          <w:i/>
        </w:rPr>
        <w:t xml:space="preserve">12</w:t>
      </w:r>
      <w:r>
        <w:t xml:space="preserve">(3), e0174642.</w:t>
      </w:r>
      <w:r>
        <w:t xml:space="preserve"> </w:t>
      </w:r>
      <w:hyperlink r:id="rId90">
        <w:r>
          <w:rPr>
            <w:rStyle w:val="Hyperlink"/>
          </w:rPr>
          <w:t xml:space="preserve">http://doi.org/10.1371/journal.pone.0174642</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91">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92">
        <w:r>
          <w:rPr>
            <w:rStyle w:val="Hyperlink"/>
          </w:rPr>
          <w:t xml:space="preserve">http://doi.org/10.1016/j.ijcard.2015.05.178</w:t>
        </w:r>
      </w:hyperlink>
    </w:p>
    <w:p>
      <w:pPr>
        <w:pStyle w:val="Bibliography"/>
      </w:pPr>
      <w:r>
        <w:t xml:space="preserve">Ivliev, A. E., ’t Hoen, P. A. C., Roon-Mom, W. M. C. van, Peters, D. J. M., &amp; Sergeeva, M. G. (2012). Exploring the Transcriptome of Ciliated Cells Using In Silico Dissection of Human Tissues.</w:t>
      </w:r>
      <w:r>
        <w:t xml:space="preserve"> </w:t>
      </w:r>
      <w:r>
        <w:rPr>
          <w:i/>
        </w:rPr>
        <w:t xml:space="preserve">PLoS ONE</w:t>
      </w:r>
      <w:r>
        <w:t xml:space="preserve">,</w:t>
      </w:r>
      <w:r>
        <w:t xml:space="preserve"> </w:t>
      </w:r>
      <w:r>
        <w:rPr>
          <w:i/>
        </w:rPr>
        <w:t xml:space="preserve">7</w:t>
      </w:r>
      <w:r>
        <w:t xml:space="preserve">(4), e35618.</w:t>
      </w:r>
      <w:r>
        <w:t xml:space="preserve"> </w:t>
      </w:r>
      <w:hyperlink r:id="rId93">
        <w:r>
          <w:rPr>
            <w:rStyle w:val="Hyperlink"/>
          </w:rPr>
          <w:t xml:space="preserve">http://doi.org/10.1371/journal.pone.0035618</w:t>
        </w:r>
      </w:hyperlink>
    </w:p>
    <w:p>
      <w:pPr>
        <w:pStyle w:val="Bibliography"/>
      </w:pPr>
      <w:r>
        <w:t xml:space="preserve">Jaffe, K. M., Grimes, D. T., Schottenfeld-Roames, J., Werner, M. E., Ku, T.-S. J., Kim, S. K., … Burdine, R. D. (2016). c21orf59/kurly Controls Both Cilia Motility and Polarization.</w:t>
      </w:r>
      <w:r>
        <w:t xml:space="preserve"> </w:t>
      </w:r>
      <w:r>
        <w:rPr>
          <w:i/>
        </w:rPr>
        <w:t xml:space="preserve">Cell Reports</w:t>
      </w:r>
      <w:r>
        <w:t xml:space="preserve">,</w:t>
      </w:r>
      <w:r>
        <w:t xml:space="preserve"> </w:t>
      </w:r>
      <w:r>
        <w:rPr>
          <w:i/>
        </w:rPr>
        <w:t xml:space="preserve">14</w:t>
      </w:r>
      <w:r>
        <w:t xml:space="preserve">(8), 1841–9.</w:t>
      </w:r>
      <w:r>
        <w:t xml:space="preserve"> </w:t>
      </w:r>
      <w:hyperlink r:id="rId94">
        <w:r>
          <w:rPr>
            <w:rStyle w:val="Hyperlink"/>
          </w:rPr>
          <w:t xml:space="preserve">http://doi.org/10.1016/j.celrep.2016.01.069</w:t>
        </w:r>
      </w:hyperlink>
    </w:p>
    <w:p>
      <w:pPr>
        <w:pStyle w:val="Bibliography"/>
      </w:pPr>
      <w:r>
        <w:t xml:space="preserve">Khan, A. O., Budde, B. S., Nürnberg, P., Kawalia, A., Lenzner, S., &amp; Bolz, H. J. (2017). Genome-wide linkage and sequence analysis challenge CCDC66 as a human retinal dystrophy candidate gene and support a distinct NMNAT1-related fundus phenotype.</w:t>
      </w:r>
      <w:r>
        <w:t xml:space="preserve"> </w:t>
      </w:r>
      <w:r>
        <w:rPr>
          <w:i/>
        </w:rPr>
        <w:t xml:space="preserve">Clinical Genetics</w:t>
      </w:r>
      <w:r>
        <w:t xml:space="preserve">.</w:t>
      </w:r>
      <w:r>
        <w:t xml:space="preserve"> </w:t>
      </w:r>
      <w:hyperlink r:id="rId95">
        <w:r>
          <w:rPr>
            <w:rStyle w:val="Hyperlink"/>
          </w:rPr>
          <w:t xml:space="preserve">http://doi.org/10.1111/cge.13022</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96">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97">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98">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99">
        <w:r>
          <w:rPr>
            <w:rStyle w:val="Hyperlink"/>
          </w:rPr>
          <w:t xml:space="preserve">http://doi.org/10.1101/gr.111120.110</w:t>
        </w:r>
      </w:hyperlink>
    </w:p>
    <w:p>
      <w:pPr>
        <w:pStyle w:val="Bibliography"/>
      </w:pPr>
      <w:r>
        <w:t xml:space="preserve">Mally, M. I., Cirulli, V., Hayek, A., &amp; Otonkoski, T. (1996). ICA69 is expressed equally in the human endocrine and exocrine pancreas.</w:t>
      </w:r>
      <w:r>
        <w:t xml:space="preserve"> </w:t>
      </w:r>
      <w:r>
        <w:rPr>
          <w:i/>
        </w:rPr>
        <w:t xml:space="preserve">Diabetologia</w:t>
      </w:r>
      <w:r>
        <w:t xml:space="preserve">,</w:t>
      </w:r>
      <w:r>
        <w:t xml:space="preserve"> </w:t>
      </w:r>
      <w:r>
        <w:rPr>
          <w:i/>
        </w:rPr>
        <w:t xml:space="preserve">39</w:t>
      </w:r>
      <w:r>
        <w:t xml:space="preserve">(4), 474–80. Retrieved from</w:t>
      </w:r>
      <w:r>
        <w:t xml:space="preserve"> </w:t>
      </w:r>
      <w:hyperlink r:id="rId100">
        <w:r>
          <w:rPr>
            <w:rStyle w:val="Hyperlink"/>
          </w:rPr>
          <w:t xml:space="preserve">http://www.ncbi.nlm.nih.gov/pubmed/8777998</w:t>
        </w:r>
      </w:hyperlink>
    </w:p>
    <w:p>
      <w:pPr>
        <w:pStyle w:val="Bibliography"/>
      </w:pPr>
      <w:r>
        <w:t xml:space="preserve">Martin, S., Kardorf, J., Schulte, B., Lampeter, E. F., Gries, F. A., Melchers, I., … Pfützner, A. (1995). Autoantibodies to the islet antigen ICA69 occur in IDDM and in rheumatoid arthritis.</w:t>
      </w:r>
      <w:r>
        <w:t xml:space="preserve"> </w:t>
      </w:r>
      <w:r>
        <w:rPr>
          <w:i/>
        </w:rPr>
        <w:t xml:space="preserve">Diabetologia</w:t>
      </w:r>
      <w:r>
        <w:t xml:space="preserve">,</w:t>
      </w:r>
      <w:r>
        <w:t xml:space="preserve"> </w:t>
      </w:r>
      <w:r>
        <w:rPr>
          <w:i/>
        </w:rPr>
        <w:t xml:space="preserve">38</w:t>
      </w:r>
      <w:r>
        <w:t xml:space="preserve">(3), 351–5. Retrieved from</w:t>
      </w:r>
      <w:r>
        <w:t xml:space="preserve"> </w:t>
      </w:r>
      <w:hyperlink r:id="rId101">
        <w:r>
          <w:rPr>
            <w:rStyle w:val="Hyperlink"/>
          </w:rPr>
          <w:t xml:space="preserve">http://www.ncbi.nlm.nih.gov/pubmed/7758883</w:t>
        </w:r>
      </w:hyperlink>
    </w:p>
    <w:p>
      <w:pPr>
        <w:pStyle w:val="Bibliography"/>
      </w:pPr>
      <w:r>
        <w:t xml:space="preserve">Martin, S., Lampasona, V., Dosch, M., &amp; Pietropaolo, M. (1996). Islet cell autoantigen 69 antibodies in IDDM.</w:t>
      </w:r>
      <w:r>
        <w:t xml:space="preserve"> </w:t>
      </w:r>
      <w:r>
        <w:rPr>
          <w:i/>
        </w:rPr>
        <w:t xml:space="preserve">Diabetologia</w:t>
      </w:r>
      <w:r>
        <w:t xml:space="preserve">,</w:t>
      </w:r>
      <w:r>
        <w:t xml:space="preserve"> </w:t>
      </w:r>
      <w:r>
        <w:rPr>
          <w:i/>
        </w:rPr>
        <w:t xml:space="preserve">39</w:t>
      </w:r>
      <w:r>
        <w:t xml:space="preserve">(6), 747. Retrieved from</w:t>
      </w:r>
      <w:r>
        <w:t xml:space="preserve"> </w:t>
      </w:r>
      <w:hyperlink r:id="rId102">
        <w:r>
          <w:rPr>
            <w:rStyle w:val="Hyperlink"/>
          </w:rPr>
          <w:t xml:space="preserve">http://www.ncbi.nlm.nih.gov/pubmed/8781774</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103">
        <w:r>
          <w:rPr>
            <w:rStyle w:val="Hyperlink"/>
          </w:rPr>
          <w:t xml:space="preserve">http://doi.org/10.1186/s13059-016-0974-4</w:t>
        </w:r>
      </w:hyperlink>
    </w:p>
    <w:p>
      <w:pPr>
        <w:pStyle w:val="Bibliography"/>
      </w:pPr>
      <w:r>
        <w:t xml:space="preserve">Ng, S. B., Buckingham, K. J., Lee, C., Bigham, A. W., Tabor, H. K., Dent, K. M., … Bamshad, M. J. (n.d.). Exome sequencing identifies the cause of a Mendelian disorder.</w:t>
      </w:r>
      <w:r>
        <w:t xml:space="preserve"> </w:t>
      </w:r>
      <w:hyperlink r:id="rId104">
        <w:r>
          <w:rPr>
            <w:rStyle w:val="Hyperlink"/>
          </w:rPr>
          <w:t xml:space="preserve">http://doi.org/10.1038/ng.499</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105">
        <w:r>
          <w:rPr>
            <w:rStyle w:val="Hyperlink"/>
          </w:rPr>
          <w:t xml:space="preserve">http://doi.org/10.1038/nrg2986</w:t>
        </w:r>
      </w:hyperlink>
    </w:p>
    <w:p>
      <w:pPr>
        <w:pStyle w:val="Bibliography"/>
      </w:pPr>
      <w:r>
        <w:t xml:space="preserve">Pelak, K., Shianna, K. V., Ge, D., Maia, J. M., Zhu, M., Smith, J. P., … Goldstein, D. B. (2010). The characterization of twenty sequenced human genomes.</w:t>
      </w:r>
      <w:r>
        <w:t xml:space="preserve"> </w:t>
      </w:r>
      <w:r>
        <w:rPr>
          <w:i/>
        </w:rPr>
        <w:t xml:space="preserve">PLoS Genetics</w:t>
      </w:r>
      <w:r>
        <w:t xml:space="preserve">,</w:t>
      </w:r>
      <w:r>
        <w:t xml:space="preserve"> </w:t>
      </w:r>
      <w:r>
        <w:rPr>
          <w:i/>
        </w:rPr>
        <w:t xml:space="preserve">6</w:t>
      </w:r>
      <w:r>
        <w:t xml:space="preserve">(9), e1001111.</w:t>
      </w:r>
      <w:r>
        <w:t xml:space="preserve"> </w:t>
      </w:r>
      <w:hyperlink r:id="rId106">
        <w:r>
          <w:rPr>
            <w:rStyle w:val="Hyperlink"/>
          </w:rPr>
          <w:t xml:space="preserve">http://doi.org/10.1371/journal.pgen.1001111</w:t>
        </w:r>
      </w:hyperlink>
    </w:p>
    <w:p>
      <w:pPr>
        <w:pStyle w:val="Bibliography"/>
      </w:pPr>
      <w:r>
        <w:t xml:space="preserve">Robinson, P. N., Köhler, S., Oellrich, A., Sanger Mouse Genetics Project, S. M. G., Wang, K., Mungall, C. J., … Smedley, D. (2014). Improved exome prioritization of disease genes through cross-species phenotype comparison.</w:t>
      </w:r>
      <w:r>
        <w:t xml:space="preserve"> </w:t>
      </w:r>
      <w:r>
        <w:rPr>
          <w:i/>
        </w:rPr>
        <w:t xml:space="preserve">Genome Research</w:t>
      </w:r>
      <w:r>
        <w:t xml:space="preserve">,</w:t>
      </w:r>
      <w:r>
        <w:t xml:space="preserve"> </w:t>
      </w:r>
      <w:r>
        <w:rPr>
          <w:i/>
        </w:rPr>
        <w:t xml:space="preserve">24</w:t>
      </w:r>
      <w:r>
        <w:t xml:space="preserve">(2), 340–8.</w:t>
      </w:r>
      <w:r>
        <w:t xml:space="preserve"> </w:t>
      </w:r>
      <w:hyperlink r:id="rId107">
        <w:r>
          <w:rPr>
            <w:rStyle w:val="Hyperlink"/>
          </w:rPr>
          <w:t xml:space="preserve">http://doi.org/10.1101/gr.160325.113</w:t>
        </w:r>
      </w:hyperlink>
    </w:p>
    <w:p>
      <w:pPr>
        <w:pStyle w:val="Bibliography"/>
      </w:pPr>
      <w:r>
        <w:t xml:space="preserve">Salgado, D., Bellgard, M. I., Desvignes, J. P., &amp; B??roud, C. (2016). How to Identify Pathogenic Mutations among All Those Variations: Variant Annotation and Filtration in the Genome Sequencing Era.</w:t>
      </w:r>
      <w:r>
        <w:t xml:space="preserve"> </w:t>
      </w:r>
      <w:r>
        <w:rPr>
          <w:i/>
        </w:rPr>
        <w:t xml:space="preserve">Human Mutation</w:t>
      </w:r>
      <w:r>
        <w:t xml:space="preserve">,</w:t>
      </w:r>
      <w:r>
        <w:t xml:space="preserve"> </w:t>
      </w:r>
      <w:r>
        <w:rPr>
          <w:i/>
        </w:rPr>
        <w:t xml:space="preserve">37</w:t>
      </w:r>
      <w:r>
        <w:t xml:space="preserve">(12), 1272–1282.</w:t>
      </w:r>
      <w:r>
        <w:t xml:space="preserve"> </w:t>
      </w:r>
      <w:hyperlink r:id="rId108">
        <w:r>
          <w:rPr>
            <w:rStyle w:val="Hyperlink"/>
          </w:rPr>
          <w:t xml:space="preserve">http://doi.org/10.1002/humu.23110</w:t>
        </w:r>
      </w:hyperlink>
    </w:p>
    <w:p>
      <w:pPr>
        <w:pStyle w:val="Bibliography"/>
      </w:pPr>
      <w:r>
        <w:t xml:space="preserve">Sironen, A., Hansen, J., Thomsen, B., Andersson, M., Vilkki, J., Toppari, J., &amp; Kotaja, N. (2010). Expression of SPEF2 During Mouse Spermatogenesis and Identification of IFT20 as an Interacting Protein1.</w:t>
      </w:r>
      <w:r>
        <w:t xml:space="preserve"> </w:t>
      </w:r>
      <w:r>
        <w:rPr>
          <w:i/>
        </w:rPr>
        <w:t xml:space="preserve">Biology of Reproduction</w:t>
      </w:r>
      <w:r>
        <w:t xml:space="preserve">,</w:t>
      </w:r>
      <w:r>
        <w:t xml:space="preserve"> </w:t>
      </w:r>
      <w:r>
        <w:rPr>
          <w:i/>
        </w:rPr>
        <w:t xml:space="preserve">82</w:t>
      </w:r>
      <w:r>
        <w:t xml:space="preserve">(3), 580–590.</w:t>
      </w:r>
      <w:r>
        <w:t xml:space="preserve"> </w:t>
      </w:r>
      <w:hyperlink r:id="rId109">
        <w:r>
          <w:rPr>
            <w:rStyle w:val="Hyperlink"/>
          </w:rPr>
          <w:t xml:space="preserve">http://doi.org/10.1095/biolreprod.108.074971</w:t>
        </w:r>
      </w:hyperlink>
    </w:p>
    <w:p>
      <w:pPr>
        <w:pStyle w:val="Bibliography"/>
      </w:pPr>
      <w:r>
        <w:t xml:space="preserve">Sironen, A., Kotaja, N., Mulhern, H., Wyatt, T. A., Sisson, J. H., Pavlik, J. A., … Lee, L. (2011). Loss of SPEF2 function in mice results in spermatogenesis defects and primary ciliary dyskinesia.</w:t>
      </w:r>
      <w:r>
        <w:t xml:space="preserve"> </w:t>
      </w:r>
      <w:r>
        <w:rPr>
          <w:i/>
        </w:rPr>
        <w:t xml:space="preserve">Biology of Reproduction</w:t>
      </w:r>
      <w:r>
        <w:t xml:space="preserve">,</w:t>
      </w:r>
      <w:r>
        <w:t xml:space="preserve"> </w:t>
      </w:r>
      <w:r>
        <w:rPr>
          <w:i/>
        </w:rPr>
        <w:t xml:space="preserve">85</w:t>
      </w:r>
      <w:r>
        <w:t xml:space="preserve">(4), 690–701.</w:t>
      </w:r>
      <w:r>
        <w:t xml:space="preserve"> </w:t>
      </w:r>
      <w:hyperlink r:id="rId110">
        <w:r>
          <w:rPr>
            <w:rStyle w:val="Hyperlink"/>
          </w:rPr>
          <w:t xml:space="preserve">http://doi.org/10.1095/biolreprod.111.091132</w:t>
        </w:r>
      </w:hyperlink>
    </w:p>
    <w:p>
      <w:pPr>
        <w:pStyle w:val="Bibliography"/>
      </w:pPr>
      <w:r>
        <w:t xml:space="preserve">Stassi, G., Schloot, N., &amp; Pietropaolo, M. (1997). Islet cell autoantigen 69 kDa (ICA69) is preferentially expressed in the human islets of Langerhans than exocrine pancreas.</w:t>
      </w:r>
      <w:r>
        <w:t xml:space="preserve"> </w:t>
      </w:r>
      <w:r>
        <w:rPr>
          <w:i/>
        </w:rPr>
        <w:t xml:space="preserve">Diabetologia</w:t>
      </w:r>
      <w:r>
        <w:t xml:space="preserve">,</w:t>
      </w:r>
      <w:r>
        <w:t xml:space="preserve"> </w:t>
      </w:r>
      <w:r>
        <w:rPr>
          <w:i/>
        </w:rPr>
        <w:t xml:space="preserve">40</w:t>
      </w:r>
      <w:r>
        <w:t xml:space="preserve">(1), 120–2. Retrieved from</w:t>
      </w:r>
      <w:r>
        <w:t xml:space="preserve"> </w:t>
      </w:r>
      <w:hyperlink r:id="rId111">
        <w:r>
          <w:rPr>
            <w:rStyle w:val="Hyperlink"/>
          </w:rPr>
          <w:t xml:space="preserve">http://www.ncbi.nlm.nih.gov/pubmed/9028728</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112">
        <w:r>
          <w:rPr>
            <w:rStyle w:val="Hyperlink"/>
          </w:rPr>
          <w:t xml:space="preserve">http://doi.org/10.1038/nbt.2957</w:t>
        </w:r>
      </w:hyperlink>
    </w:p>
    <w:p>
      <w:pPr>
        <w:pStyle w:val="Bibliography"/>
      </w:pPr>
      <w:r>
        <w:t xml:space="preserve">Wang, K., Li, M., &amp; Hakonarson, H. (2010). ANNOVAR: functional annotation of genetic variants from high-throughput sequencing data.</w:t>
      </w:r>
      <w:r>
        <w:t xml:space="preserve"> </w:t>
      </w:r>
      <w:r>
        <w:rPr>
          <w:i/>
        </w:rPr>
        <w:t xml:space="preserve">Nucleic Acids Research</w:t>
      </w:r>
      <w:r>
        <w:t xml:space="preserve">,</w:t>
      </w:r>
      <w:r>
        <w:t xml:space="preserve"> </w:t>
      </w:r>
      <w:r>
        <w:rPr>
          <w:i/>
        </w:rPr>
        <w:t xml:space="preserve">38</w:t>
      </w:r>
      <w:r>
        <w:t xml:space="preserve">(16), e164–e164.</w:t>
      </w:r>
      <w:r>
        <w:t xml:space="preserve"> </w:t>
      </w:r>
      <w:hyperlink r:id="rId113">
        <w:r>
          <w:rPr>
            <w:rStyle w:val="Hyperlink"/>
          </w:rPr>
          <w:t xml:space="preserve">http://doi.org/10.1093/nar/gkq603</w:t>
        </w:r>
      </w:hyperlink>
    </w:p>
    <w:p>
      <w:pPr>
        <w:pStyle w:val="Bibliography"/>
      </w:pPr>
      <w:r>
        <w:t xml:space="preserve">Winer, S., Astsaturov, I., Cheung, R., Tsui, H., Song, A., Gaedigk, R., … Dosch, H.-M. (2002). Primary Sj?gren’s syndrome and deficiency of ICA69.</w:t>
      </w:r>
      <w:r>
        <w:t xml:space="preserve"> </w:t>
      </w:r>
      <w:r>
        <w:rPr>
          <w:i/>
        </w:rPr>
        <w:t xml:space="preserve">The Lancet</w:t>
      </w:r>
      <w:r>
        <w:t xml:space="preserve">,</w:t>
      </w:r>
      <w:r>
        <w:t xml:space="preserve"> </w:t>
      </w:r>
      <w:r>
        <w:rPr>
          <w:i/>
        </w:rPr>
        <w:t xml:space="preserve">360</w:t>
      </w:r>
      <w:r>
        <w:t xml:space="preserve">(9339), 1063–1069.</w:t>
      </w:r>
      <w:r>
        <w:t xml:space="preserve"> </w:t>
      </w:r>
      <w:hyperlink r:id="rId114">
        <w:r>
          <w:rPr>
            <w:rStyle w:val="Hyperlink"/>
          </w:rPr>
          <w:t xml:space="preserve">http://doi.org/10.1016/S0140-6736(02)11144-5</w:t>
        </w:r>
      </w:hyperlink>
    </w:p>
    <w:p>
      <w:pPr>
        <w:pStyle w:val="Bibliography"/>
      </w:pPr>
      <w:r>
        <w:t xml:space="preserve">Zheng, Y., Zhang, J., Wang, L., Zhou, Z., Xu, M., Li, J., &amp; Sha, J.-H. (2006). Cloning and characterization of a novel sperm tail protein, NYD-SP28.</w:t>
      </w:r>
      <w:r>
        <w:t xml:space="preserve"> </w:t>
      </w:r>
      <w:r>
        <w:rPr>
          <w:i/>
        </w:rPr>
        <w:t xml:space="preserve">International Journal of Molecular Medicine</w:t>
      </w:r>
      <w:r>
        <w:t xml:space="preserve">,</w:t>
      </w:r>
      <w:r>
        <w:t xml:space="preserve"> </w:t>
      </w:r>
      <w:r>
        <w:rPr>
          <w:i/>
        </w:rPr>
        <w:t xml:space="preserve">18</w:t>
      </w:r>
      <w:r>
        <w:t xml:space="preserve">(6), 1119–25. Retrieved from</w:t>
      </w:r>
      <w:r>
        <w:t xml:space="preserve"> </w:t>
      </w:r>
      <w:hyperlink r:id="rId115">
        <w:r>
          <w:rPr>
            <w:rStyle w:val="Hyperlink"/>
          </w:rPr>
          <w:t xml:space="preserve">http://www.ncbi.nlm.nih.gov/pubmed/17089017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8d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a7fc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d74c2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9fd70b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ede65c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b76715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3a124b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11aead2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26" Target="media/rId26.jp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67" Target="media/rId6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hyperlink" Id="rId31" Target="%7B#lalignement%7D" TargetMode="External" /><Relationship Type="http://schemas.openxmlformats.org/officeDocument/2006/relationships/hyperlink" Id="rId73" Target="http://doi.org/10.1002/humu.21466" TargetMode="External" /><Relationship Type="http://schemas.openxmlformats.org/officeDocument/2006/relationships/hyperlink" Id="rId108" Target="http://doi.org/10.1002/humu.23110" TargetMode="External" /><Relationship Type="http://schemas.openxmlformats.org/officeDocument/2006/relationships/hyperlink" Id="rId84" Target="http://doi.org/10.1007/s10048-009-0223-z" TargetMode="External" /><Relationship Type="http://schemas.openxmlformats.org/officeDocument/2006/relationships/hyperlink" Id="rId114" Target="http://doi.org/10.1016/S0140-6736(02)11144-5" TargetMode="External" /><Relationship Type="http://schemas.openxmlformats.org/officeDocument/2006/relationships/hyperlink" Id="rId76" Target="http://doi.org/10.1016/j.ajhg.2013.08.015" TargetMode="External" /><Relationship Type="http://schemas.openxmlformats.org/officeDocument/2006/relationships/hyperlink" Id="rId78" Target="http://doi.org/10.1016/j.ajhg.2013.11.017" TargetMode="External" /><Relationship Type="http://schemas.openxmlformats.org/officeDocument/2006/relationships/hyperlink" Id="rId77" Target="http://doi.org/10.1016/j.ceb.2004.03.003" TargetMode="External" /><Relationship Type="http://schemas.openxmlformats.org/officeDocument/2006/relationships/hyperlink" Id="rId94" Target="http://doi.org/10.1016/j.celrep.2016.01.069" TargetMode="External" /><Relationship Type="http://schemas.openxmlformats.org/officeDocument/2006/relationships/hyperlink" Id="rId92" Target="http://doi.org/10.1016/j.ijcard.2015.05.178" TargetMode="External" /><Relationship Type="http://schemas.openxmlformats.org/officeDocument/2006/relationships/hyperlink" Id="rId74" Target="http://doi.org/10.1016/j.jbior.2013.07.005" TargetMode="External" /><Relationship Type="http://schemas.openxmlformats.org/officeDocument/2006/relationships/hyperlink" Id="rId70" Target="http://doi.org/10.1038/nature15393" TargetMode="External" /><Relationship Type="http://schemas.openxmlformats.org/officeDocument/2006/relationships/hyperlink" Id="rId98" Target="http://doi.org/10.1038/nature19057" TargetMode="External" /><Relationship Type="http://schemas.openxmlformats.org/officeDocument/2006/relationships/hyperlink" Id="rId112" Target="http://doi.org/10.1038/nbt.2957" TargetMode="External" /><Relationship Type="http://schemas.openxmlformats.org/officeDocument/2006/relationships/hyperlink" Id="rId104" Target="http://doi.org/10.1038/ng.499" TargetMode="External" /><Relationship Type="http://schemas.openxmlformats.org/officeDocument/2006/relationships/hyperlink" Id="rId85" Target="http://doi.org/10.1038/ng.806" TargetMode="External" /><Relationship Type="http://schemas.openxmlformats.org/officeDocument/2006/relationships/hyperlink" Id="rId71" Target="http://doi.org/10.1038/nmeth0410-248" TargetMode="External" /><Relationship Type="http://schemas.openxmlformats.org/officeDocument/2006/relationships/hyperlink" Id="rId96" Target="http://doi.org/10.1038/nprot.2009.86" TargetMode="External" /><Relationship Type="http://schemas.openxmlformats.org/officeDocument/2006/relationships/hyperlink" Id="rId105" Target="http://doi.org/10.1038/nrg2986" TargetMode="External" /><Relationship Type="http://schemas.openxmlformats.org/officeDocument/2006/relationships/hyperlink" Id="rId97" Target="http://doi.org/10.1074/jbc.M111.244905" TargetMode="External" /><Relationship Type="http://schemas.openxmlformats.org/officeDocument/2006/relationships/hyperlink" Id="rId89" Target="http://doi.org/10.1093/hmg/ddr282" TargetMode="External" /><Relationship Type="http://schemas.openxmlformats.org/officeDocument/2006/relationships/hyperlink" Id="rId113" Target="http://doi.org/10.1093/nar/gkq603" TargetMode="External" /><Relationship Type="http://schemas.openxmlformats.org/officeDocument/2006/relationships/hyperlink" Id="rId72" Target="http://doi.org/10.1093/nar/gkw1104" TargetMode="External" /><Relationship Type="http://schemas.openxmlformats.org/officeDocument/2006/relationships/hyperlink" Id="rId79" Target="http://doi.org/10.1095/biolreprod.102.013466" TargetMode="External" /><Relationship Type="http://schemas.openxmlformats.org/officeDocument/2006/relationships/hyperlink" Id="rId109" Target="http://doi.org/10.1095/biolreprod.108.074971" TargetMode="External" /><Relationship Type="http://schemas.openxmlformats.org/officeDocument/2006/relationships/hyperlink" Id="rId110" Target="http://doi.org/10.1095/biolreprod.111.091132" TargetMode="External" /><Relationship Type="http://schemas.openxmlformats.org/officeDocument/2006/relationships/hyperlink" Id="rId99" Target="http://doi.org/10.1101/gr.111120.110" TargetMode="External" /><Relationship Type="http://schemas.openxmlformats.org/officeDocument/2006/relationships/hyperlink" Id="rId107" Target="http://doi.org/10.1101/gr.160325.113" TargetMode="External" /><Relationship Type="http://schemas.openxmlformats.org/officeDocument/2006/relationships/hyperlink" Id="rId95" Target="http://doi.org/10.1111/cge.13022" TargetMode="External" /><Relationship Type="http://schemas.openxmlformats.org/officeDocument/2006/relationships/hyperlink" Id="rId80" Target="http://doi.org/10.1146/annurev.biochem.76.050106.093909" TargetMode="External" /><Relationship Type="http://schemas.openxmlformats.org/officeDocument/2006/relationships/hyperlink" Id="rId91" Target="http://doi.org/10.1186/1471-213X-11-58" TargetMode="External" /><Relationship Type="http://schemas.openxmlformats.org/officeDocument/2006/relationships/hyperlink" Id="rId75" Target="http://doi.org/10.1186/2046-2530-4-S1-P21" TargetMode="External" /><Relationship Type="http://schemas.openxmlformats.org/officeDocument/2006/relationships/hyperlink" Id="rId103" Target="http://doi.org/10.1186/s13059-016-0974-4" TargetMode="External" /><Relationship Type="http://schemas.openxmlformats.org/officeDocument/2006/relationships/hyperlink" Id="rId87" Target="http://doi.org/10.1242/jcs.157008" TargetMode="External" /><Relationship Type="http://schemas.openxmlformats.org/officeDocument/2006/relationships/hyperlink" Id="rId106" Target="http://doi.org/10.1371/journal.pgen.1001111" TargetMode="External" /><Relationship Type="http://schemas.openxmlformats.org/officeDocument/2006/relationships/hyperlink" Id="rId86" Target="http://doi.org/10.1371/journal.pgen.1003945" TargetMode="External" /><Relationship Type="http://schemas.openxmlformats.org/officeDocument/2006/relationships/hyperlink" Id="rId93" Target="http://doi.org/10.1371/journal.pone.0035618" TargetMode="External" /><Relationship Type="http://schemas.openxmlformats.org/officeDocument/2006/relationships/hyperlink" Id="rId90" Target="http://doi.org/10.1371/journal.pone.0174642" TargetMode="External" /><Relationship Type="http://schemas.openxmlformats.org/officeDocument/2006/relationships/hyperlink" Id="rId82" Target="http://doi.org/10.4161/fly.19695" TargetMode="External" /><Relationship Type="http://schemas.openxmlformats.org/officeDocument/2006/relationships/hyperlink" Id="rId81" Target="http://doi.org/10.7554/eLife.01439" TargetMode="External" /><Relationship Type="http://schemas.openxmlformats.org/officeDocument/2006/relationships/hyperlink" Id="rId25" Target="http://evs.gs.washington.edu/EVS/" TargetMode="External" /><Relationship Type="http://schemas.openxmlformats.org/officeDocument/2006/relationships/hyperlink" Id="rId83" Target="http://jcs.biologists.org/content/130/8/1450.long" TargetMode="External" /><Relationship Type="http://schemas.openxmlformats.org/officeDocument/2006/relationships/hyperlink" Id="rId27" Target="http://www.ensembl.org/info/genome/variation/consequences.jpg" TargetMode="External" /><Relationship Type="http://schemas.openxmlformats.org/officeDocument/2006/relationships/hyperlink" Id="rId115" Target="http://www.ncbi.nlm.nih.gov/pubmed/17089017" TargetMode="External" /><Relationship Type="http://schemas.openxmlformats.org/officeDocument/2006/relationships/hyperlink" Id="rId101" Target="http://www.ncbi.nlm.nih.gov/pubmed/7758883" TargetMode="External" /><Relationship Type="http://schemas.openxmlformats.org/officeDocument/2006/relationships/hyperlink" Id="rId88" Target="http://www.ncbi.nlm.nih.gov/pubmed/8162706" TargetMode="External" /><Relationship Type="http://schemas.openxmlformats.org/officeDocument/2006/relationships/hyperlink" Id="rId100" Target="http://www.ncbi.nlm.nih.gov/pubmed/8777998" TargetMode="External" /><Relationship Type="http://schemas.openxmlformats.org/officeDocument/2006/relationships/hyperlink" Id="rId102" Target="http://www.ncbi.nlm.nih.gov/pubmed/8781774" TargetMode="External" /><Relationship Type="http://schemas.openxmlformats.org/officeDocument/2006/relationships/hyperlink" Id="rId111" Target="http://www.ncbi.nlm.nih.gov/pubmed/9028728" TargetMode="External" /></Relationships>
</file>

<file path=word/_rels/footnotes.xml.rels><?xml version="1.0" encoding="UTF-8"?>
<Relationships xmlns="http://schemas.openxmlformats.org/package/2006/relationships"><Relationship Type="http://schemas.openxmlformats.org/officeDocument/2006/relationships/hyperlink" Id="rId31" Target="%7B#lalignement%7D" TargetMode="External" /><Relationship Type="http://schemas.openxmlformats.org/officeDocument/2006/relationships/hyperlink" Id="rId73" Target="http://doi.org/10.1002/humu.21466" TargetMode="External" /><Relationship Type="http://schemas.openxmlformats.org/officeDocument/2006/relationships/hyperlink" Id="rId108" Target="http://doi.org/10.1002/humu.23110" TargetMode="External" /><Relationship Type="http://schemas.openxmlformats.org/officeDocument/2006/relationships/hyperlink" Id="rId84" Target="http://doi.org/10.1007/s10048-009-0223-z" TargetMode="External" /><Relationship Type="http://schemas.openxmlformats.org/officeDocument/2006/relationships/hyperlink" Id="rId114" Target="http://doi.org/10.1016/S0140-6736(02)11144-5" TargetMode="External" /><Relationship Type="http://schemas.openxmlformats.org/officeDocument/2006/relationships/hyperlink" Id="rId76" Target="http://doi.org/10.1016/j.ajhg.2013.08.015" TargetMode="External" /><Relationship Type="http://schemas.openxmlformats.org/officeDocument/2006/relationships/hyperlink" Id="rId78" Target="http://doi.org/10.1016/j.ajhg.2013.11.017" TargetMode="External" /><Relationship Type="http://schemas.openxmlformats.org/officeDocument/2006/relationships/hyperlink" Id="rId77" Target="http://doi.org/10.1016/j.ceb.2004.03.003" TargetMode="External" /><Relationship Type="http://schemas.openxmlformats.org/officeDocument/2006/relationships/hyperlink" Id="rId94" Target="http://doi.org/10.1016/j.celrep.2016.01.069" TargetMode="External" /><Relationship Type="http://schemas.openxmlformats.org/officeDocument/2006/relationships/hyperlink" Id="rId92" Target="http://doi.org/10.1016/j.ijcard.2015.05.178" TargetMode="External" /><Relationship Type="http://schemas.openxmlformats.org/officeDocument/2006/relationships/hyperlink" Id="rId74" Target="http://doi.org/10.1016/j.jbior.2013.07.005" TargetMode="External" /><Relationship Type="http://schemas.openxmlformats.org/officeDocument/2006/relationships/hyperlink" Id="rId70" Target="http://doi.org/10.1038/nature15393" TargetMode="External" /><Relationship Type="http://schemas.openxmlformats.org/officeDocument/2006/relationships/hyperlink" Id="rId98" Target="http://doi.org/10.1038/nature19057" TargetMode="External" /><Relationship Type="http://schemas.openxmlformats.org/officeDocument/2006/relationships/hyperlink" Id="rId112" Target="http://doi.org/10.1038/nbt.2957" TargetMode="External" /><Relationship Type="http://schemas.openxmlformats.org/officeDocument/2006/relationships/hyperlink" Id="rId104" Target="http://doi.org/10.1038/ng.499" TargetMode="External" /><Relationship Type="http://schemas.openxmlformats.org/officeDocument/2006/relationships/hyperlink" Id="rId85" Target="http://doi.org/10.1038/ng.806" TargetMode="External" /><Relationship Type="http://schemas.openxmlformats.org/officeDocument/2006/relationships/hyperlink" Id="rId71" Target="http://doi.org/10.1038/nmeth0410-248" TargetMode="External" /><Relationship Type="http://schemas.openxmlformats.org/officeDocument/2006/relationships/hyperlink" Id="rId96" Target="http://doi.org/10.1038/nprot.2009.86" TargetMode="External" /><Relationship Type="http://schemas.openxmlformats.org/officeDocument/2006/relationships/hyperlink" Id="rId105" Target="http://doi.org/10.1038/nrg2986" TargetMode="External" /><Relationship Type="http://schemas.openxmlformats.org/officeDocument/2006/relationships/hyperlink" Id="rId97" Target="http://doi.org/10.1074/jbc.M111.244905" TargetMode="External" /><Relationship Type="http://schemas.openxmlformats.org/officeDocument/2006/relationships/hyperlink" Id="rId89" Target="http://doi.org/10.1093/hmg/ddr282" TargetMode="External" /><Relationship Type="http://schemas.openxmlformats.org/officeDocument/2006/relationships/hyperlink" Id="rId113" Target="http://doi.org/10.1093/nar/gkq603" TargetMode="External" /><Relationship Type="http://schemas.openxmlformats.org/officeDocument/2006/relationships/hyperlink" Id="rId72" Target="http://doi.org/10.1093/nar/gkw1104" TargetMode="External" /><Relationship Type="http://schemas.openxmlformats.org/officeDocument/2006/relationships/hyperlink" Id="rId79" Target="http://doi.org/10.1095/biolreprod.102.013466" TargetMode="External" /><Relationship Type="http://schemas.openxmlformats.org/officeDocument/2006/relationships/hyperlink" Id="rId109" Target="http://doi.org/10.1095/biolreprod.108.074971" TargetMode="External" /><Relationship Type="http://schemas.openxmlformats.org/officeDocument/2006/relationships/hyperlink" Id="rId110" Target="http://doi.org/10.1095/biolreprod.111.091132" TargetMode="External" /><Relationship Type="http://schemas.openxmlformats.org/officeDocument/2006/relationships/hyperlink" Id="rId99" Target="http://doi.org/10.1101/gr.111120.110" TargetMode="External" /><Relationship Type="http://schemas.openxmlformats.org/officeDocument/2006/relationships/hyperlink" Id="rId107" Target="http://doi.org/10.1101/gr.160325.113" TargetMode="External" /><Relationship Type="http://schemas.openxmlformats.org/officeDocument/2006/relationships/hyperlink" Id="rId95" Target="http://doi.org/10.1111/cge.13022" TargetMode="External" /><Relationship Type="http://schemas.openxmlformats.org/officeDocument/2006/relationships/hyperlink" Id="rId80" Target="http://doi.org/10.1146/annurev.biochem.76.050106.093909" TargetMode="External" /><Relationship Type="http://schemas.openxmlformats.org/officeDocument/2006/relationships/hyperlink" Id="rId91" Target="http://doi.org/10.1186/1471-213X-11-58" TargetMode="External" /><Relationship Type="http://schemas.openxmlformats.org/officeDocument/2006/relationships/hyperlink" Id="rId75" Target="http://doi.org/10.1186/2046-2530-4-S1-P21" TargetMode="External" /><Relationship Type="http://schemas.openxmlformats.org/officeDocument/2006/relationships/hyperlink" Id="rId103" Target="http://doi.org/10.1186/s13059-016-0974-4" TargetMode="External" /><Relationship Type="http://schemas.openxmlformats.org/officeDocument/2006/relationships/hyperlink" Id="rId87" Target="http://doi.org/10.1242/jcs.157008" TargetMode="External" /><Relationship Type="http://schemas.openxmlformats.org/officeDocument/2006/relationships/hyperlink" Id="rId106" Target="http://doi.org/10.1371/journal.pgen.1001111" TargetMode="External" /><Relationship Type="http://schemas.openxmlformats.org/officeDocument/2006/relationships/hyperlink" Id="rId86" Target="http://doi.org/10.1371/journal.pgen.1003945" TargetMode="External" /><Relationship Type="http://schemas.openxmlformats.org/officeDocument/2006/relationships/hyperlink" Id="rId93" Target="http://doi.org/10.1371/journal.pone.0035618" TargetMode="External" /><Relationship Type="http://schemas.openxmlformats.org/officeDocument/2006/relationships/hyperlink" Id="rId90" Target="http://doi.org/10.1371/journal.pone.0174642" TargetMode="External" /><Relationship Type="http://schemas.openxmlformats.org/officeDocument/2006/relationships/hyperlink" Id="rId82" Target="http://doi.org/10.4161/fly.19695" TargetMode="External" /><Relationship Type="http://schemas.openxmlformats.org/officeDocument/2006/relationships/hyperlink" Id="rId81" Target="http://doi.org/10.7554/eLife.01439" TargetMode="External" /><Relationship Type="http://schemas.openxmlformats.org/officeDocument/2006/relationships/hyperlink" Id="rId25" Target="http://evs.gs.washington.edu/EVS/" TargetMode="External" /><Relationship Type="http://schemas.openxmlformats.org/officeDocument/2006/relationships/hyperlink" Id="rId83" Target="http://jcs.biologists.org/content/130/8/1450.long" TargetMode="External" /><Relationship Type="http://schemas.openxmlformats.org/officeDocument/2006/relationships/hyperlink" Id="rId27" Target="http://www.ensembl.org/info/genome/variation/consequences.jpg" TargetMode="External" /><Relationship Type="http://schemas.openxmlformats.org/officeDocument/2006/relationships/hyperlink" Id="rId115" Target="http://www.ncbi.nlm.nih.gov/pubmed/17089017" TargetMode="External" /><Relationship Type="http://schemas.openxmlformats.org/officeDocument/2006/relationships/hyperlink" Id="rId101" Target="http://www.ncbi.nlm.nih.gov/pubmed/7758883" TargetMode="External" /><Relationship Type="http://schemas.openxmlformats.org/officeDocument/2006/relationships/hyperlink" Id="rId88" Target="http://www.ncbi.nlm.nih.gov/pubmed/8162706" TargetMode="External" /><Relationship Type="http://schemas.openxmlformats.org/officeDocument/2006/relationships/hyperlink" Id="rId100" Target="http://www.ncbi.nlm.nih.gov/pubmed/8777998" TargetMode="External" /><Relationship Type="http://schemas.openxmlformats.org/officeDocument/2006/relationships/hyperlink" Id="rId102" Target="http://www.ncbi.nlm.nih.gov/pubmed/8781774" TargetMode="External" /><Relationship Type="http://schemas.openxmlformats.org/officeDocument/2006/relationships/hyperlink" Id="rId111" Target="http://www.ncbi.nlm.nih.gov/pubmed/9028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2017-07-13T12:15:22Z</dcterms:created>
  <dcterms:modified xsi:type="dcterms:W3CDTF">2017-07-13T12:15:22Z</dcterms:modified>
</cp:coreProperties>
</file>