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64.jpg" ContentType="image/jpeg"/>
  <Override PartName="/word/media/rId67.pdf" ContentType="application/pdf"/>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introInf"/>
      <w:bookmarkEnd w:id="22"/>
      <w:r>
        <w:t xml:space="preserve">Introduction</w:t>
      </w:r>
    </w:p>
    <w:p>
      <w:pPr>
        <w:pStyle w:val="Heading2"/>
      </w:pPr>
      <w:bookmarkStart w:id="23" w:name="structure-et-fonction-du-spermatozoide"/>
      <w:bookmarkEnd w:id="23"/>
      <w:r>
        <w:t xml:space="preserve">Structure et fonction du spermatozoïde</w:t>
      </w:r>
    </w:p>
    <w:p>
      <w:pPr>
        <w:pStyle w:val="Heading3"/>
      </w:pPr>
      <w:bookmarkStart w:id="24" w:name="la-spermatogenese"/>
      <w:bookmarkEnd w:id="24"/>
      <w:r>
        <w:t xml:space="preserve">La spermatogénèse</w:t>
      </w:r>
    </w:p>
    <w:p>
      <w:pPr>
        <w:pStyle w:val="FirstParagraph"/>
      </w:pPr>
      <w:r>
        <w:t xml:space="preserve">La spermatogénèse est le processus de production des spermatozoïdes. Elle comprend les différentes étapes qui, depuis les spermatogonies, aboutissent aux spermatozoïdes. La spermiogénèse est l'étape finale de la spermatogénèse et englobe touts les processus de différentiation des spermatides en spermatozoïdes. Chez l'homme, la spermatogénèse se déroule dans la paroi des tubes séminifères du testicule. Cette production est continue depuis la puberté jusqu'à la mort.</w:t>
      </w:r>
    </w:p>
    <w:p>
      <w:pPr>
        <w:pStyle w:val="SourceCode"/>
      </w:pPr>
      <w:r>
        <w:rPr>
          <w:rStyle w:val="NormalTok"/>
        </w:rPr>
        <w:t xml:space="preserve"> </w:t>
      </w:r>
      <w:r>
        <w:rPr>
          <w:rStyle w:val="NormalTok"/>
        </w:rPr>
        <w:t xml:space="preserve"> </w:t>
      </w: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"figure/coupe_testicule.jpg"</w:t>
      </w:r>
      <w:r>
        <w:rPr>
          <w:rStyle w:val="NormalTok"/>
        </w:rPr>
        <w:t xml:space="preserve">)</w:t>
      </w:r>
    </w:p>
    <w:p>
      <w:pPr>
        <w:pStyle w:val="FigureWithCaption"/>
      </w:pPr>
      <w:r>
        <w:drawing>
          <wp:inline>
            <wp:extent cx="4445000" cy="4813300"/>
            <wp:effectExtent b="0" l="0" r="0" t="0"/>
            <wp:docPr descr="Figure 1 La spermathognèse" id="1" name="Picture"/>
            <a:graphic>
              <a:graphicData uri="http://schemas.openxmlformats.org/drawingml/2006/picture">
                <pic:pic>
                  <pic:nvPicPr>
                    <pic:cNvPr descr="figure/coupe_testicule.jpg" id="0" name="Picture"/>
                    <pic:cNvPicPr>
                      <a:picLocks noChangeArrowheads="1" noChangeAspect="1"/>
                    </pic:cNvPicPr>
                  </pic:nvPicPr>
                  <pic:blipFill>
                    <a:blip r:embed="rId25"/>
                    <a:stretch>
                      <a:fillRect/>
                    </a:stretch>
                  </pic:blipFill>
                  <pic:spPr bwMode="auto">
                    <a:xfrm>
                      <a:off x="0" y="0"/>
                      <a:ext cx="4445000" cy="4813300"/>
                    </a:xfrm>
                    <a:prstGeom prst="rect">
                      <a:avLst/>
                    </a:prstGeom>
                    <a:noFill/>
                    <a:ln w="9525">
                      <a:noFill/>
                      <a:headEnd/>
                      <a:tailEnd/>
                    </a:ln>
                  </pic:spPr>
                </pic:pic>
              </a:graphicData>
            </a:graphic>
          </wp:inline>
        </w:drawing>
      </w:r>
    </w:p>
    <w:p>
      <w:pPr>
        <w:pStyle w:val="ImageCaption"/>
      </w:pPr>
      <w:r>
        <w:t xml:space="preserve">Figure 1 La spermathognèse</w:t>
      </w:r>
    </w:p>
    <w:p>
      <w:pPr>
        <w:pStyle w:val="Heading3"/>
      </w:pPr>
      <w:bookmarkStart w:id="26" w:name="anatomie-du-spermatozoide"/>
      <w:bookmarkEnd w:id="26"/>
      <w:r>
        <w:t xml:space="preserve">Anatomie du spermatozoïde</w:t>
      </w:r>
    </w:p>
    <w:p>
      <w:pPr>
        <w:pStyle w:val="Heading4"/>
      </w:pPr>
      <w:bookmarkStart w:id="27" w:name="la-tete"/>
      <w:bookmarkEnd w:id="27"/>
      <w:r>
        <w:t xml:space="preserve">La tête</w:t>
      </w:r>
    </w:p>
    <w:p>
      <w:pPr>
        <w:pStyle w:val="Heading4"/>
      </w:pPr>
      <w:bookmarkStart w:id="28" w:name="le-flagelle"/>
      <w:bookmarkEnd w:id="28"/>
      <w:r>
        <w:t xml:space="preserve">Le flagelle</w:t>
      </w:r>
    </w:p>
    <w:p>
      <w:pPr>
        <w:pStyle w:val="Heading3"/>
      </w:pPr>
      <w:bookmarkStart w:id="29" w:name="fonction-du-spermatozoide"/>
      <w:bookmarkEnd w:id="29"/>
      <w:r>
        <w:t xml:space="preserve">Fonction du spermatozoïde</w:t>
      </w:r>
    </w:p>
    <w:p>
      <w:pPr>
        <w:pStyle w:val="Heading2"/>
      </w:pPr>
      <w:bookmarkStart w:id="30" w:name="linfertilite-masculine"/>
      <w:bookmarkEnd w:id="30"/>
      <w:r>
        <w:t xml:space="preserve">L'infertilité masculine</w:t>
      </w:r>
    </w:p>
    <w:p>
      <w:pPr>
        <w:pStyle w:val="FirstParagraph"/>
      </w:pPr>
      <w:r>
        <w:t xml:space="preserve">L'organisation mondiale de la santé définie l'infertilité comme étant : "</w:t>
      </w:r>
      <w:r>
        <w:rPr>
          <w:i/>
        </w:rPr>
        <w:t xml:space="preserve">une pathologie du système reproductif définie par l’échec d'une grossesse clinique après 12 mois ou plus de rapports sexuels réguliers non protégés</w:t>
      </w:r>
      <w:r>
        <w:t xml:space="preserve">" (</w:t>
      </w:r>
      <w:hyperlink r:id="rId31">
        <w:r>
          <w:rPr>
            <w:rStyle w:val="VerbatimChar"/>
            <w:rStyle w:val="Hyperlink"/>
          </w:rPr>
          <w:t xml:space="preserve">Who.int. 2013-03-19. Retrieved 2013-06-17</w:t>
        </w:r>
      </w:hyperlink>
      <w:r>
        <w:t xml:space="preserve">). Environ 10-15% des couples humains sont considérés infertiles. On estime que dans la moitié des cas, la cause sous-jacente est masculine. Les facteurs causaux sous-jacents de l'infertilité masculine peuvent être attribués à des toxines environnementales, des troubles systémiques tels que la maladie hypothalamo-hypophysaire, les cancers testiculaires et l'aplasie des cellules germinales. Les facteurs génétiques, y compris les aneuploïdies et les mutations de gènes uniques, contribuent également à l'infertilité masculine. Cependant, aucune cause n'est identifiée dans 10-20% des cas.</w:t>
      </w:r>
    </w:p>
    <w:p>
      <w:pPr>
        <w:pStyle w:val="Heading3"/>
      </w:pPr>
      <w:bookmarkStart w:id="32" w:name="les-differents-phenotypes-dinfertilite-masculine"/>
      <w:bookmarkEnd w:id="32"/>
      <w:r>
        <w:t xml:space="preserve">Les différents phénotypes d'infertilité masculine</w:t>
      </w:r>
    </w:p>
    <w:p>
      <w:pPr>
        <w:pStyle w:val="Heading4"/>
      </w:pPr>
      <w:bookmarkStart w:id="33" w:name="liee-a-la-quantite"/>
      <w:bookmarkEnd w:id="33"/>
      <w:r>
        <w:t xml:space="preserve">Liée à la quantité</w:t>
      </w:r>
    </w:p>
    <w:p>
      <w:pPr>
        <w:pStyle w:val="Heading4"/>
      </w:pPr>
      <w:bookmarkStart w:id="34" w:name="liee-a-la-forme"/>
      <w:bookmarkEnd w:id="34"/>
      <w:r>
        <w:t xml:space="preserve">liée à la forme</w:t>
      </w:r>
    </w:p>
    <w:p>
      <w:pPr>
        <w:pStyle w:val="Heading4"/>
      </w:pPr>
      <w:bookmarkStart w:id="35" w:name="liee-a-la-mobilitee"/>
      <w:bookmarkEnd w:id="35"/>
      <w:r>
        <w:t xml:space="preserve">liée à la mobilitée</w:t>
      </w:r>
    </w:p>
    <w:p>
      <w:pPr>
        <w:pStyle w:val="Heading3"/>
      </w:pPr>
      <w:bookmarkStart w:id="36" w:name="la-genetique-de-linfertilite"/>
      <w:bookmarkEnd w:id="36"/>
      <w:r>
        <w:t xml:space="preserve">La génétique de l'infertilité</w:t>
      </w:r>
    </w:p>
    <w:p>
      <w:pPr>
        <w:pStyle w:val="Heading4"/>
      </w:pPr>
      <w:bookmarkStart w:id="37" w:name="les-causes-frequentes"/>
      <w:bookmarkEnd w:id="37"/>
      <w:r>
        <w:t xml:space="preserve">Les causes fréquentes</w:t>
      </w:r>
    </w:p>
    <w:p>
      <w:pPr>
        <w:pStyle w:val="Heading4"/>
      </w:pPr>
      <w:bookmarkStart w:id="38" w:name="les-nouveaux-genes"/>
      <w:bookmarkEnd w:id="38"/>
      <w:r>
        <w:t xml:space="preserve">Les nouveaux gènes</w:t>
      </w:r>
    </w:p>
    <w:p>
      <w:r>
        <w:pict>
          <v:rect style="width:0;height:1.5pt" o:hralign="center" o:hrstd="t" o:hr="t"/>
        </w:pict>
      </w:r>
    </w:p>
    <w:p>
      <w:pPr>
        <w:pStyle w:val="Heading2"/>
      </w:pPr>
      <w:bookmarkStart w:id="39" w:name="les-techniques-danalyses-genetiques"/>
      <w:bookmarkEnd w:id="39"/>
      <w:r>
        <w:t xml:space="preserve">Les techniques d'analyses génétiques</w:t>
      </w:r>
    </w:p>
    <w:p>
      <w:pPr>
        <w:pStyle w:val="Heading3"/>
      </w:pPr>
      <w:bookmarkStart w:id="40" w:name="les-puces"/>
      <w:bookmarkEnd w:id="40"/>
      <w:r>
        <w:t xml:space="preserve">Les puces</w:t>
      </w:r>
    </w:p>
    <w:p>
      <w:pPr>
        <w:pStyle w:val="Heading3"/>
      </w:pPr>
      <w:bookmarkStart w:id="41" w:name="le-sequencage"/>
      <w:bookmarkEnd w:id="41"/>
      <w:r>
        <w:t xml:space="preserve">Le séquençage</w:t>
      </w:r>
    </w:p>
    <w:p>
      <w:pPr>
        <w:pStyle w:val="Heading4"/>
      </w:pPr>
      <w:bookmarkStart w:id="42" w:name="le-sanger"/>
      <w:bookmarkEnd w:id="42"/>
      <w:r>
        <w:t xml:space="preserve">Le Sanger</w:t>
      </w:r>
    </w:p>
    <w:p>
      <w:pPr>
        <w:pStyle w:val="Heading4"/>
      </w:pPr>
      <w:bookmarkStart w:id="43" w:name="le-ngs"/>
      <w:bookmarkEnd w:id="43"/>
      <w:r>
        <w:t xml:space="preserve">Le NGS</w:t>
      </w:r>
    </w:p>
    <w:p>
      <w:r>
        <w:pict>
          <v:rect style="width:0;height:1.5pt" o:hralign="center" o:hrstd="t" o:hr="t"/>
        </w:pict>
      </w:r>
    </w:p>
    <w:p>
      <w:pPr>
        <w:pStyle w:val="Heading2"/>
      </w:pPr>
      <w:bookmarkStart w:id="44" w:name="lanalyse-bioinformatique"/>
      <w:bookmarkEnd w:id="44"/>
      <w:r>
        <w:t xml:space="preserve">L'analyse bioinformatique</w:t>
      </w:r>
    </w:p>
    <w:p>
      <w:pPr>
        <w:pStyle w:val="Heading3"/>
      </w:pPr>
      <w:bookmarkStart w:id="45" w:name="lanalyse-des-donnees-brut"/>
      <w:bookmarkEnd w:id="45"/>
      <w:r>
        <w:t xml:space="preserve">L'analyse des données brut</w:t>
      </w:r>
    </w:p>
    <w:p>
      <w:pPr>
        <w:pStyle w:val="Heading4"/>
      </w:pPr>
      <w:bookmarkStart w:id="46" w:name="lalignement"/>
      <w:bookmarkEnd w:id="46"/>
      <w:r>
        <w:t xml:space="preserve">L'alignement</w:t>
      </w:r>
    </w:p>
    <w:p>
      <w:pPr>
        <w:pStyle w:val="Heading4"/>
      </w:pPr>
      <w:bookmarkStart w:id="47" w:name="lappel-des-variants"/>
      <w:bookmarkEnd w:id="47"/>
      <w:r>
        <w:t xml:space="preserve">L'appel des variants</w:t>
      </w:r>
    </w:p>
    <w:p>
      <w:pPr>
        <w:pStyle w:val="Heading3"/>
      </w:pPr>
      <w:bookmarkStart w:id="48" w:name="la-priorisation-des-variants"/>
      <w:bookmarkEnd w:id="48"/>
      <w:r>
        <w:t xml:space="preserve">La priorisation des variants</w:t>
      </w:r>
    </w:p>
    <w:p>
      <w:pPr>
        <w:pStyle w:val="Heading1"/>
      </w:pPr>
      <w:bookmarkStart w:id="49" w:name="globo"/>
      <w:bookmarkEnd w:id="49"/>
      <w:r>
        <w:t xml:space="preserve">Investigation génétique et physiologique de la globozoospermie</w:t>
      </w:r>
    </w:p>
    <w:p>
      <w:pPr>
        <w:pStyle w:val="Heading2"/>
      </w:pPr>
      <w:bookmarkStart w:id="50" w:name="math"/>
      <w:bookmarkEnd w:id="50"/>
      <w:r>
        <w:t xml:space="preserve">Math</w:t>
      </w:r>
    </w:p>
    <w:p>
      <w:pPr>
        <w:pStyle w:val="Heading2"/>
      </w:pPr>
      <w:bookmarkStart w:id="51" w:name="chemistry-101-symbols"/>
      <w:bookmarkEnd w:id="51"/>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52" w:name="typesetting-reactions"/>
      <w:bookmarkEnd w:id="52"/>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oMath>
      </m:oMathPara>
    </w:p>
    <w:p>
      <w:pPr>
        <w:pStyle w:val="FirstParagraph"/>
      </w:pPr>
      <w:r>
        <w:t xml:space="preserve">We can reference this combustion of glucose reaction via Equation (</w:t>
      </w:r>
      <w:r>
        <w:t xml:space="preserve">??</w:t>
      </w:r>
      <w:r>
        <w:t xml:space="preserve">).</w:t>
      </w:r>
    </w:p>
    <w:p>
      <w:pPr>
        <w:pStyle w:val="Heading3"/>
      </w:pPr>
      <w:bookmarkStart w:id="53" w:name="other-examples-of-reactions"/>
      <w:bookmarkEnd w:id="53"/>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54" w:name="physics"/>
      <w:bookmarkEnd w:id="54"/>
      <w:r>
        <w:t xml:space="preserve">Physics</w:t>
      </w:r>
    </w:p>
    <w:p>
      <w:pPr>
        <w:pStyle w:val="FirstParagraph"/>
      </w:pPr>
      <w:r>
        <w:t xml:space="preserve">Many of the symbols you will need can be found on the math page</w:t>
      </w:r>
      <w:r>
        <w:t xml:space="preserve"> </w:t>
      </w:r>
      <w:hyperlink r:id="rId55">
        <w:r>
          <w:rPr>
            <w:rStyle w:val="Hyperlink"/>
          </w:rPr>
          <w:t xml:space="preserve">http://web.reed.edu/cis/help/latex/math.html</w:t>
        </w:r>
      </w:hyperlink>
      <w:r>
        <w:t xml:space="preserve"> </w:t>
      </w:r>
      <w:r>
        <w:t xml:space="preserve">and the Comprehensive LaTeX Symbol Guide (</w:t>
      </w:r>
      <w:hyperlink r:id="rId56">
        <w:r>
          <w:rPr>
            <w:rStyle w:val="Hyperlink"/>
          </w:rPr>
          <w:t xml:space="preserve">http://mirror.utexas.edu/ctan/info/symbols/comprehensive/symbols-letter.pdf</w:t>
        </w:r>
      </w:hyperlink>
      <w:r>
        <w:t xml:space="preserve">).</w:t>
      </w:r>
    </w:p>
    <w:p>
      <w:pPr>
        <w:pStyle w:val="Heading2"/>
      </w:pPr>
      <w:bookmarkStart w:id="57" w:name="biology"/>
      <w:bookmarkEnd w:id="57"/>
      <w:r>
        <w:t xml:space="preserve">Biology</w:t>
      </w:r>
    </w:p>
    <w:p>
      <w:pPr>
        <w:pStyle w:val="FirstParagraph"/>
      </w:pPr>
      <w:r>
        <w:t xml:space="preserve">You will probably find the resources at</w:t>
      </w:r>
      <w:r>
        <w:t xml:space="preserve"> </w:t>
      </w:r>
      <w:hyperlink r:id="rId58">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59">
        <w:r>
          <w:rPr>
            <w:rStyle w:val="Hyperlink"/>
          </w:rPr>
          <w:t xml:space="preserve">http://homepages.uni-tuebingen.de/beitz/txe.html</w:t>
        </w:r>
      </w:hyperlink>
      <w:r>
        <w:t xml:space="preserve">). Be sure to read the proceeding chapter on graphics and tables.</w:t>
      </w:r>
    </w:p>
    <w:p>
      <w:pPr>
        <w:pStyle w:val="Heading1"/>
      </w:pPr>
      <w:bookmarkStart w:id="60" w:name="ref-labels"/>
      <w:bookmarkEnd w:id="60"/>
      <w:r>
        <w:t xml:space="preserve">Tables, Graphics, References, and Labels</w:t>
      </w:r>
    </w:p>
    <w:p>
      <w:pPr>
        <w:pStyle w:val="Heading2"/>
      </w:pPr>
      <w:bookmarkStart w:id="61" w:name="tables"/>
      <w:bookmarkEnd w:id="61"/>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 [R Markdown Basics] 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62">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1 Correlation of Inheritance Factors for Parents and Child</w:t>
      </w:r>
    </w:p>
    <w:tbl>
      <w:tblPr>
        <w:tblStyle w:val="TableNormal"/>
        <w:tblW w:type="pct" w:w="5000.0"/>
        <w:tblLook w:firstRow="1"/>
        <w:tblCaption w:val="Table 1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1</w:t>
      </w:r>
      <w:r>
        <w:t xml:space="preserve">. If you go back to [Loading and exploring data] 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63" w:name="figures"/>
      <w:bookmarkEnd w:id="63"/>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 "Reed logo", the label of "reedlogo",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2 Reed logo" id="1" name="Picture"/>
            <a:graphic>
              <a:graphicData uri="http://schemas.openxmlformats.org/drawingml/2006/picture">
                <pic:pic>
                  <pic:nvPicPr>
                    <pic:cNvPr descr="figure/reed.jpg" id="0" name="Picture"/>
                    <pic:cNvPicPr>
                      <a:picLocks noChangeArrowheads="1" noChangeAspect="1"/>
                    </pic:cNvPicPr>
                  </pic:nvPicPr>
                  <pic:blipFill>
                    <a:blip r:embed="rId64"/>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2 Reed logo</w:t>
      </w:r>
    </w:p>
    <w:p>
      <w:pPr>
        <w:pStyle w:val="BodyText"/>
      </w:pPr>
      <w:r>
        <w:t xml:space="preserve">Here is a reference to the Reed logo: Figure</w:t>
      </w:r>
      <w:r>
        <w:t xml:space="preserve"> </w:t>
      </w:r>
      <w:r>
        <w:t xml:space="preserve">2</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%&gt;%</w:t>
      </w:r>
      <w:r>
        <w:rPr>
          <w:rStyle w:val="StringTok"/>
        </w:rPr>
        <w:t xml:space="preserve"> </w:t>
      </w:r>
      <w:r>
        <w:rPr>
          <w:rStyle w:val="KeywordTok"/>
        </w:rPr>
        <w:t xml:space="preserve">group_by</w:t>
      </w:r>
      <w:r>
        <w:rPr>
          <w:rStyle w:val="NormalTok"/>
        </w:rPr>
        <w:t xml:space="preserve">(carrier)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carrier, </w:t>
      </w:r>
      <w:r>
        <w:rPr>
          <w:rStyle w:val="DataTypeTok"/>
        </w:rPr>
        <w:t xml:space="preserve">y =</w:t>
      </w:r>
      <w:r>
        <w:rPr>
          <w:rStyle w:val="NormalTok"/>
        </w:rPr>
        <w:t xml:space="preserve"> </w:t>
      </w:r>
      <w:r>
        <w:rPr>
          <w:rStyle w:val="NormalTok"/>
        </w:rPr>
        <w:t xml:space="preserve">mean_dep_delay))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3 Mean Delays by Airlin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 Mean Delays by Airline</w:t>
      </w:r>
    </w:p>
    <w:p>
      <w:pPr>
        <w:pStyle w:val="BodyText"/>
      </w:pPr>
      <w:r>
        <w:t xml:space="preserve">Here is a reference to this image: Figure</w:t>
      </w:r>
      <w:r>
        <w:t xml:space="preserve"> </w:t>
      </w:r>
      <w:r>
        <w:t xml:space="preserve">3</w:t>
      </w:r>
      <w:r>
        <w:t xml:space="preserve">.</w:t>
      </w:r>
    </w:p>
    <w:p>
      <w:pPr>
        <w:pStyle w:val="BodyText"/>
      </w:pPr>
      <w:r>
        <w:t xml:space="preserve">A table linking these carrier codes to airline names is available at</w:t>
      </w:r>
      <w:r>
        <w:t xml:space="preserve"> </w:t>
      </w:r>
      <w:hyperlink r:id="rId66">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 "subdivision.pdf" file.</w:t>
      </w:r>
    </w:p>
    <w:p>
      <w:pPr>
        <w:pStyle w:val="FigureWithCaption"/>
      </w:pPr>
      <w:r>
        <w:drawing>
          <wp:inline>
            <wp:extent cx="3810000" cy="2540000"/>
            <wp:effectExtent b="0" l="0" r="0" t="0"/>
            <wp:docPr descr="Figure 4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Subdiv. graph</w:t>
      </w:r>
    </w:p>
    <w:p>
      <w:pPr>
        <w:pStyle w:val="BodyText"/>
      </w:pPr>
      <w:r>
        <w:t xml:space="preserve">Here is a reference to this image: Figure</w:t>
      </w:r>
      <w:r>
        <w:t xml:space="preserve"> </w:t>
      </w:r>
      <w:r>
        <w:t xml:space="preserve">4</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4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A Larger Figure, Flipped Upside Down</w:t>
      </w:r>
    </w:p>
    <w:p>
      <w:pPr>
        <w:pStyle w:val="BodyText"/>
      </w:pPr>
      <w:r>
        <w:t xml:space="preserve">As another example, here is a reference: Figure</w:t>
      </w:r>
      <w:r>
        <w:t xml:space="preserve"> </w:t>
      </w:r>
      <w:r>
        <w:t xml:space="preserve">5</w:t>
      </w:r>
      <w:r>
        <w:t xml:space="preserve">.</w:t>
      </w:r>
    </w:p>
    <w:p>
      <w:pPr>
        <w:pStyle w:val="Heading2"/>
      </w:pPr>
      <w:bookmarkStart w:id="68" w:name="footnotes-and-endnotes"/>
      <w:bookmarkEnd w:id="68"/>
      <w:r>
        <w:t xml:space="preserve">Footnotes and Endnotes</w:t>
      </w:r>
    </w:p>
    <w:p>
      <w:pPr>
        <w:pStyle w:val="FirstParagraph"/>
      </w:pPr>
      <w:r>
        <w:t xml:space="preserve">You might want to footnote something.</w:t>
      </w:r>
      <w:r>
        <w:rPr>
          <w:rStyle w:val="FootnoteReference"/>
        </w:rPr>
        <w:footnoteReference w:id="69"/>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70">
        <w:r>
          <w:rPr>
            <w:rStyle w:val="Hyperlink"/>
          </w:rPr>
          <w:t xml:space="preserve">data@reed.edu</w:t>
        </w:r>
      </w:hyperlink>
      <w:r>
        <w:t xml:space="preserve">.</w:t>
      </w:r>
    </w:p>
    <w:p>
      <w:pPr>
        <w:pStyle w:val="Heading2"/>
      </w:pPr>
      <w:bookmarkStart w:id="71" w:name="bibliographies"/>
      <w:bookmarkEnd w:id="71"/>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72">
        <w:r>
          <w:rPr>
            <w:rStyle w:val="Hyperlink"/>
          </w:rPr>
          <w:t xml:space="preserve">http://libguides.reed.edu/citation/zotero</w:t>
        </w:r>
      </w:hyperlink>
      <w:r>
        <w:t xml:space="preserve">. In addition, a tutorial is available from Middlebury College at</w:t>
      </w:r>
      <w:r>
        <w:t xml:space="preserve"> </w:t>
      </w:r>
      <w:hyperlink r:id="rId73">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74">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5">
        <w:r>
          <w:rPr>
            <w:rStyle w:val="Hyperlink"/>
          </w:rPr>
          <w:t xml:space="preserve">http://web.reed.edu/cis/help/latex/index.html</w:t>
        </w:r>
      </w:hyperlink>
      <w:r>
        <w:t xml:space="preserve">)</w:t>
      </w:r>
      <w:r>
        <w:rPr>
          <w:rStyle w:val="FootnoteReference"/>
        </w:rPr>
        <w:footnoteReference w:id="76"/>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77">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78">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79">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80">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1"/>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1"/>
          <w:ilvl w:val="0"/>
        </w:numPr>
      </w:pPr>
      <w:r>
        <w:t xml:space="preserve">The cite key (a citation's label) needs to be unique from the other entries.</w:t>
      </w:r>
    </w:p>
    <w:p>
      <w:pPr>
        <w:pStyle w:val="Compact"/>
        <w:numPr>
          <w:numId w:val="1001"/>
          <w:ilvl w:val="0"/>
        </w:numPr>
      </w:pPr>
      <w:r>
        <w:t xml:space="preserve">When you have more than one author or editor, you need to separate each author's name by the word "and" e.g.</w:t>
      </w:r>
      <w:r>
        <w:t xml:space="preserve"> </w:t>
      </w:r>
      <w:r>
        <w:rPr>
          <w:rStyle w:val="VerbatimChar"/>
        </w:rPr>
        <w:t xml:space="preserve">Author = {Noble, Sam and Youngberg, Jessica},</w:t>
      </w:r>
      <w:r>
        <w:t xml:space="preserve">.</w:t>
      </w:r>
    </w:p>
    <w:p>
      <w:pPr>
        <w:pStyle w:val="Compact"/>
        <w:numPr>
          <w:numId w:val="1001"/>
          <w:ilvl w:val="0"/>
        </w:numPr>
      </w:pPr>
      <w:r>
        <w:t xml:space="preserve">Bibliographies made using BibTeX (whether manually or using a manager) accept LaTeX markup, so you can italicize and add symbols as necessary.</w:t>
      </w:r>
    </w:p>
    <w:p>
      <w:pPr>
        <w:pStyle w:val="Compact"/>
        <w:numPr>
          <w:numId w:val="1001"/>
          <w:ilvl w:val="0"/>
        </w:numPr>
      </w:pPr>
      <w:r>
        <w:t xml:space="preserve">To force capitalization in an article title or where all lowercase is generally used, bracket the capital letter in curly braces.</w:t>
      </w:r>
    </w:p>
    <w:p>
      <w:pPr>
        <w:pStyle w:val="Compact"/>
        <w:numPr>
          <w:numId w:val="1001"/>
          <w:ilvl w:val="0"/>
        </w:numPr>
      </w:pPr>
      <w:r>
        <w:t xml:space="preserve">You can add a Reed Thesis citation</w:t>
      </w:r>
      <w:r>
        <w:rPr>
          <w:rStyle w:val="FootnoteReference"/>
        </w:rPr>
        <w:footnoteReference w:id="81"/>
      </w:r>
      <w:r>
        <w:t xml:space="preserve"> </w:t>
      </w:r>
      <w:r>
        <w:t xml:space="preserve">option. The best way to do this is to use the phdthesis type of citation, and use the optional "type" field to enter "Reed thesis" or "Undergraduate thesis."</w:t>
      </w:r>
    </w:p>
    <w:p>
      <w:pPr>
        <w:pStyle w:val="Heading2"/>
      </w:pPr>
      <w:bookmarkStart w:id="82" w:name="anything-else"/>
      <w:bookmarkEnd w:id="82"/>
      <w:r>
        <w:t xml:space="preserve">Anything else?</w:t>
      </w:r>
    </w:p>
    <w:p>
      <w:pPr>
        <w:pStyle w:val="FirstParagraph"/>
      </w:pPr>
      <w:r>
        <w:t xml:space="preserve">If you'd like to see examples of other things in this template, please contact the Data @ Reed team (email</w:t>
      </w:r>
      <w:r>
        <w:t xml:space="preserve"> </w:t>
      </w:r>
      <w:hyperlink r:id="rId70">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83" w:name="conclusion"/>
      <w:bookmarkEnd w:id="83"/>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84" w:name="appendix-appendix"/>
      <w:bookmarkEnd w:id="84"/>
      <w:r>
        <w:t xml:space="preserve">(APPENDIX) Appendix</w:t>
      </w:r>
    </w:p>
    <w:p>
      <w:pPr>
        <w:pStyle w:val="Heading1"/>
      </w:pPr>
      <w:bookmarkStart w:id="85" w:name="the-first-appendix"/>
      <w:bookmarkEnd w:id="85"/>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BodyText"/>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86" w:name="the-second-appendix-for-fun"/>
      <w:bookmarkEnd w:id="86"/>
      <w:r>
        <w:t xml:space="preserve">The Second Appendix, for Fun</w:t>
      </w:r>
    </w:p>
    <w:p>
      <w:pPr>
        <w:pStyle w:val="FirstParagraph"/>
      </w:pPr>
    </w:p>
    <w:p>
      <w:pPr>
        <w:pStyle w:val="Heading1"/>
      </w:pPr>
      <w:bookmarkStart w:id="87" w:name="references"/>
      <w:bookmarkEnd w:id="87"/>
      <w:r>
        <w:t xml:space="preserve">References</w:t>
      </w:r>
    </w:p>
    <w:p>
      <w:pPr>
        <w:pStyle w:val="FirstParagraph"/>
      </w:pPr>
    </w:p>
    <w:p>
      <w:pPr>
        <w:pStyle w:val="BodyText"/>
      </w:pPr>
      <w:r>
        <w:t xml:space="preserve"> </w:t>
      </w:r>
      <w:r>
        <w:t xml:space="preserve"> </w:t>
      </w:r>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Molina, S. T., &amp; Borkovec, T. D. (1994). The Penn State worry questionnaire: Psychometric properties and associated characteristics. In G. C. L. Davey &amp; F. Tallis (Eds.),</w:t>
      </w:r>
      <w:r>
        <w:t xml:space="preserve"> </w:t>
      </w:r>
      <w:r>
        <w:rPr>
          <w:i/>
        </w:rPr>
        <w:t xml:space="preserve">Worrying: Perspectives on theory, assessment and treatment</w:t>
      </w:r>
      <w:r>
        <w:t xml:space="preserve"> </w:t>
      </w:r>
      <w:r>
        <w:t xml:space="preserve">(pp. 265–283). New York: Wiley.</w:t>
      </w:r>
    </w:p>
    <w:p>
      <w:pPr>
        <w:pStyle w:val="Bibliography"/>
      </w:pPr>
      <w:r>
        <w:t xml:space="preserve">Noble, S. G. (2002).</w:t>
      </w:r>
      <w:r>
        <w:t xml:space="preserve"> </w:t>
      </w:r>
      <w:r>
        <w:rPr>
          <w:i/>
        </w:rPr>
        <w:t xml:space="preserve">Turning images into simple line-art</w:t>
      </w:r>
      <w:r>
        <w:t xml:space="preserve"> </w:t>
      </w:r>
      <w:r>
        <w:t xml:space="preserve">(Undergraduate thesis). Reed College.</w:t>
      </w:r>
    </w:p>
    <w:p>
      <w:pPr>
        <w:pStyle w:val="Bibliography"/>
      </w:pPr>
      <w:r>
        <w:t xml:space="preserve">Reed College. (2007, march). LaTeX your document. Retrieved from</w:t>
      </w:r>
      <w:r>
        <w:t xml:space="preserve"> </w:t>
      </w:r>
      <w:hyperlink r:id="rId88">
        <w:r>
          <w:rPr>
            <w:rStyle w:val="Hyperlink"/>
          </w:rPr>
          <w:t xml:space="preserve">http://web.reed.edu/cis/help/LaTeX/index.html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r>
        <w:t xml:space="preserve">footnote text</w:t>
      </w:r>
    </w:p>
  </w:footnote>
  <w:footnote w:id="76">
    <w:p>
      <w:pPr>
        <w:pStyle w:val="FootnoteText"/>
      </w:pPr>
      <w:r>
        <w:rPr>
          <w:rStyle w:val="FootnoteReference"/>
        </w:rPr>
        <w:footnoteRef/>
      </w:r>
      <w:r>
        <w:t xml:space="preserve"> </w:t>
      </w:r>
      <w:r>
        <w:t xml:space="preserve">Reed College (2007)</w:t>
      </w:r>
    </w:p>
  </w:footnote>
  <w:footnote w:id="81">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cc68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5a43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64" Target="media/rId64.jpg" /><Relationship Type="http://schemas.openxmlformats.org/officeDocument/2006/relationships/image" Id="rId67" Target="media/rId67.pdf" /><Relationship Type="http://schemas.openxmlformats.org/officeDocument/2006/relationships/image" Id="rId65" Target="media/rId65.png" /><Relationship Type="http://schemas.openxmlformats.org/officeDocument/2006/relationships/hyperlink" Id="rId59" Target="http://homepages.uni-tuebingen.de/beitz/txe.html" TargetMode="External" /><Relationship Type="http://schemas.openxmlformats.org/officeDocument/2006/relationships/hyperlink" Id="rId72" Target="http://libguides.reed.edu/citation/zotero" TargetMode="External" /><Relationship Type="http://schemas.openxmlformats.org/officeDocument/2006/relationships/hyperlink" Id="rId56" Target="http://mirror.utexas.edu/ctan/info/symbols/comprehensive/symbols-letter.pdf" TargetMode="External" /><Relationship Type="http://schemas.openxmlformats.org/officeDocument/2006/relationships/hyperlink" Id="rId74" Target="http://pandoc.org/" TargetMode="External" /><Relationship Type="http://schemas.openxmlformats.org/officeDocument/2006/relationships/hyperlink" Id="rId62" Target="http://pandoc.org/README.html#tables" TargetMode="External" /><Relationship Type="http://schemas.openxmlformats.org/officeDocument/2006/relationships/hyperlink" Id="rId73" Target="http://sites.middlebury.edu/zoteromiddlebury/" TargetMode="External" /><Relationship Type="http://schemas.openxmlformats.org/officeDocument/2006/relationships/hyperlink" Id="rId88" Target="http://web.reed.edu/cis/help/LaTeX/index.html" TargetMode="External" /><Relationship Type="http://schemas.openxmlformats.org/officeDocument/2006/relationships/hyperlink" Id="rId79" Target="http://web.reed.edu/cis/help/latex/bibman.html" TargetMode="External" /><Relationship Type="http://schemas.openxmlformats.org/officeDocument/2006/relationships/hyperlink" Id="rId77" Target="http://web.reed.edu/cis/help/latex/bibtex.html" TargetMode="External" /><Relationship Type="http://schemas.openxmlformats.org/officeDocument/2006/relationships/hyperlink" Id="rId78" Target="http://web.reed.edu/cis/help/latex/bibtexstyles.html" TargetMode="External" /><Relationship Type="http://schemas.openxmlformats.org/officeDocument/2006/relationships/hyperlink" Id="rId75" Target="http://web.reed.edu/cis/help/latex/index.html" TargetMode="External" /><Relationship Type="http://schemas.openxmlformats.org/officeDocument/2006/relationships/hyperlink" Id="rId55" Target="http://web.reed.edu/cis/help/latex/math.html" TargetMode="External" /><Relationship Type="http://schemas.openxmlformats.org/officeDocument/2006/relationships/hyperlink" Id="rId58" Target="http://www.lecb.ncifcrf.gov/~toms/latex.html" TargetMode="External" /><Relationship Type="http://schemas.openxmlformats.org/officeDocument/2006/relationships/hyperlink" Id="rId31" Target="http://www.who.int/reproductivehealth/topics/infertility/definitions/en/" TargetMode="External" /><Relationship Type="http://schemas.openxmlformats.org/officeDocument/2006/relationships/hyperlink" Id="rId66" Target="https://github.com/ismayc/pnwflights14/blob/master/data/airlines.csv" TargetMode="External" /><Relationship Type="http://schemas.openxmlformats.org/officeDocument/2006/relationships/hyperlink" Id="rId80" Target="https://www.zotero.org/styles" TargetMode="External" /><Relationship Type="http://schemas.openxmlformats.org/officeDocument/2006/relationships/hyperlink" Id="rId70"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59" Target="http://homepages.uni-tuebingen.de/beitz/txe.html" TargetMode="External" /><Relationship Type="http://schemas.openxmlformats.org/officeDocument/2006/relationships/hyperlink" Id="rId72" Target="http://libguides.reed.edu/citation/zotero" TargetMode="External" /><Relationship Type="http://schemas.openxmlformats.org/officeDocument/2006/relationships/hyperlink" Id="rId56" Target="http://mirror.utexas.edu/ctan/info/symbols/comprehensive/symbols-letter.pdf" TargetMode="External" /><Relationship Type="http://schemas.openxmlformats.org/officeDocument/2006/relationships/hyperlink" Id="rId74" Target="http://pandoc.org/" TargetMode="External" /><Relationship Type="http://schemas.openxmlformats.org/officeDocument/2006/relationships/hyperlink" Id="rId62" Target="http://pandoc.org/README.html#tables" TargetMode="External" /><Relationship Type="http://schemas.openxmlformats.org/officeDocument/2006/relationships/hyperlink" Id="rId73" Target="http://sites.middlebury.edu/zoteromiddlebury/" TargetMode="External" /><Relationship Type="http://schemas.openxmlformats.org/officeDocument/2006/relationships/hyperlink" Id="rId88" Target="http://web.reed.edu/cis/help/LaTeX/index.html" TargetMode="External" /><Relationship Type="http://schemas.openxmlformats.org/officeDocument/2006/relationships/hyperlink" Id="rId79" Target="http://web.reed.edu/cis/help/latex/bibman.html" TargetMode="External" /><Relationship Type="http://schemas.openxmlformats.org/officeDocument/2006/relationships/hyperlink" Id="rId77" Target="http://web.reed.edu/cis/help/latex/bibtex.html" TargetMode="External" /><Relationship Type="http://schemas.openxmlformats.org/officeDocument/2006/relationships/hyperlink" Id="rId78" Target="http://web.reed.edu/cis/help/latex/bibtexstyles.html" TargetMode="External" /><Relationship Type="http://schemas.openxmlformats.org/officeDocument/2006/relationships/hyperlink" Id="rId75" Target="http://web.reed.edu/cis/help/latex/index.html" TargetMode="External" /><Relationship Type="http://schemas.openxmlformats.org/officeDocument/2006/relationships/hyperlink" Id="rId55" Target="http://web.reed.edu/cis/help/latex/math.html" TargetMode="External" /><Relationship Type="http://schemas.openxmlformats.org/officeDocument/2006/relationships/hyperlink" Id="rId58" Target="http://www.lecb.ncifcrf.gov/~toms/latex.html" TargetMode="External" /><Relationship Type="http://schemas.openxmlformats.org/officeDocument/2006/relationships/hyperlink" Id="rId31" Target="http://www.who.int/reproductivehealth/topics/infertility/definitions/en/" TargetMode="External" /><Relationship Type="http://schemas.openxmlformats.org/officeDocument/2006/relationships/hyperlink" Id="rId66" Target="https://github.com/ismayc/pnwflights14/blob/master/data/airlines.csv" TargetMode="External" /><Relationship Type="http://schemas.openxmlformats.org/officeDocument/2006/relationships/hyperlink" Id="rId80" Target="https://www.zotero.org/styles" TargetMode="External" /><Relationship Type="http://schemas.openxmlformats.org/officeDocument/2006/relationships/hyperlink" Id="rId70"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2017-03-04T22:41:25Z</dcterms:created>
  <dcterms:modified xsi:type="dcterms:W3CDTF">2017-03-04T22:41:25Z</dcterms:modified>
</cp:coreProperties>
</file>