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Bora refines tile-level tissue labels at native whole-slide resolution.</w:t>
      </w:r>
    </w:p>
    <w:p>
      <w:pPr>
        <w:pStyle w:val="ListBullet"/>
      </w:pPr>
      <w:r>
        <w:t>Protected region cores constrain image-driven boundary changes.</w:t>
      </w:r>
    </w:p>
    <w:p>
      <w:pPr>
        <w:pStyle w:val="ListBullet"/>
      </w:pPr>
      <w:r>
        <w:t>Annealed label competition precedes marker-controlled watershed.</w:t>
      </w:r>
    </w:p>
    <w:p>
      <w:pPr>
        <w:pStyle w:val="ListBullet"/>
      </w:pPr>
      <w:r>
        <w:t>Pyramidal OME-TIFF and GeoJSON outputs retain label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