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Supplementary methods and validation plan</w:t>
      </w:r>
    </w:p>
    <w:p>
      <w:pPr>
        <w:spacing w:after="240"/>
      </w:pPr>
      <w:r>
        <w:t>CellPhenotyper enables auditable analysis of hematoxylin and eosin whole slide images</w:t>
      </w:r>
    </w:p>
    <w:p>
      <w:pPr>
        <w:spacing w:after="100"/>
      </w:pPr>
      <w:r>
        <w:t>Scope. This document describes the implementation revision dated 27 October 2026 and separates its software checks from archived biological-image executions. The current pipeline selects exactly one cell detector, preserves calibrated coordinates and stable cell identities, and exposes the source-bound Virchow2/KODAMA/Bora tissue continuation. No new tissue inference or expert-referenced accuracy experiment is claimed for this revision.</w:t>
      </w:r>
    </w:p>
    <w:p>
      <w:pPr>
        <w:pStyle w:val="Heading1"/>
        <w:keepNext/>
      </w:pPr>
      <w:r>
        <w:t>Supplementary Note 1 Analysis area and coordinate contract</w:t>
      </w:r>
    </w:p>
    <w:p>
      <w:pPr/>
      <w:r>
        <w:rPr>
          <w:rFonts w:ascii="Calibri" w:hAnsi="Calibri" w:eastAsia="Calibri"/>
          <w:color w:val="1F2937"/>
          <w:sz w:val="22"/>
        </w:rPr>
        <w:t>The normalized full image is the only input to GrandQC. GrandQC therefore precedes every analytical branch. Its clean-tissue mask excludes artifact classes and background and is not replaced by a second heuristic tissue detector downstream.</w:t>
      </w:r>
    </w:p>
    <w:p>
      <w:pPr/>
      <w:r>
        <w:t>The analysis support is the intersection of GrandQC clean tissue and the optional supplied ROI, or the full-image ROI when none is supplied. Its padded bounding box is mapped to level-0 coordinates and streamed from the WSI. The ROI and clean-tissue mask are shifted into that analysis crop, with the offset, full/crop dimensions and MPP stored in a sidecar. StarDist and crop-based consumers use this frame. Full-slide CellViT++ retains native whole-image coordinates and is translated explicitly into the crop frame for downstream masks and tables. The crop transform is never treated as full-image calibration.</w:t>
      </w:r>
    </w:p>
    <w:p>
      <w:pPr/>
      <w:r>
        <w:rPr>
          <w:rFonts w:ascii="Calibri" w:hAnsi="Calibri" w:eastAsia="Calibri"/>
          <w:color w:val="1F2937"/>
          <w:sz w:val="22"/>
        </w:rPr>
        <w:t>The primary crop writer uses streamed libvips access. If a source TIFF contains JPEG geometry rejected by libvips, the fallback opens the level-0 TIFF series through its Zarr interface, resolves a multiscale group rather than assuming an array, and copies bounded row blocks into a temporary disk-backed RGB buffer before tiled TIFF encoding. The buffer is removed after success or failure. On the Visium HD BTF-derived OME-TIFF, this path wrote a 13,172 × 13,098 crop and allowed the analysis-crop contract to complete without loading the complete crop into RAM.</w:t>
      </w:r>
    </w:p>
    <w:p>
      <w:pPr>
        <w:pStyle w:val="Heading1"/>
        <w:keepNext/>
      </w:pPr>
      <w:r>
        <w:t>Supplementary Note 2 GrandQC overlap blending</w:t>
      </w:r>
    </w:p>
    <w:p>
      <w:pPr/>
      <w:r>
        <w:rPr>
          <w:rFonts w:ascii="Calibri" w:hAnsi="Calibri" w:eastAsia="Calibri"/>
          <w:color w:val="1F2937"/>
          <w:sz w:val="22"/>
        </w:rPr>
        <w:t>Artifact inference is performed at the selected official model MPP. Tiles overlap by 50% by default. For every image size, each tile contributes class probabilities through separable smooth edge weights. The full class-score accumulator and scalar weight accumulator are float32 NumPy memory maps stored in task scratch. Output rows are normalized in bounded blocks, followed by the same artifact-probability and artifact-margin suppression rules. The output summary reports probability_blend_memmap_windowed_overlap, accumulator byte size, effective overlap and confidence thresholds. No image-size branch changes this algorithm to centre-crop stitching.</w:t>
      </w:r>
    </w:p>
    <w:p>
      <w:pPr>
        <w:spacing w:after="100"/>
      </w:pPr>
      <w:r>
        <w:rPr>
          <w:rFonts w:ascii="Calibri" w:hAnsi="Calibri" w:eastAsia="Calibri"/>
          <w:b/>
          <w:color w:val="000000"/>
          <w:sz w:val="19"/>
        </w:rPr>
        <w:t xml:space="preserve">Verified in software. </w:t>
      </w:r>
      <w:r>
        <w:rPr>
          <w:rFonts w:ascii="Calibri" w:hAnsi="Calibri" w:eastAsia="Calibri"/>
          <w:color w:val="1F2937"/>
          <w:sz w:val="19"/>
        </w:rPr>
        <w:t>A regression test applies the same score field through RAM arrays and memory maps with different finalization block sizes and requires identical class masks and suppression counts.</w:t>
      </w:r>
    </w:p>
    <w:p>
      <w:pPr>
        <w:pStyle w:val="Heading1"/>
        <w:keepNext/>
      </w:pPr>
      <w:r>
        <w:t>Supplementary Note 3 Stage dependencies and restart contracts</w:t>
      </w:r>
    </w:p>
    <w:p>
      <w:pPr/>
      <w:r>
        <w:t>The stage window is evaluated against an ordered registry. Requested outputs are guarded against empty channels. A restart loads the selected detector's published prerequisites and the common crop/support sidecars. Re-running CellViT primary export does not require stale CellViT labels in advance. A StarDist selection ignores older CellViT classification files in the output tree. GigaTIME and marker-only restarts load their registered crop, labels, object table and support rather than launching a second cell detector.</w:t>
      </w:r>
    </w:p>
    <w:p>
      <w:pPr>
        <w:spacing w:after="100"/>
      </w:pPr>
      <w:r>
        <w:t>Current verification uses local Nextflow stubs to exercise the production main workflow for StarDist and an explicitly selected ROI CellViT scope. Task commands are inspected to exclude model inference and GPU-admission execution. Exactly the selected detector runs, its common label outputs are emitted and the sibling detector, HoVer-Net and consensus do not run. These checks verify routing; they are not GPU inference or performance benchmarks. Earlier consensus/restart stubs belong to the previous implementation.</w:t>
      </w:r>
    </w:p>
    <w:p>
      <w:pPr>
        <w:pStyle w:val="Heading1"/>
        <w:keepNext/>
      </w:pPr>
      <w:r>
        <w:t>Supplementary Note 4 Runtime identity and GPU execution</w:t>
      </w:r>
    </w:p>
    <w:p>
      <w:pPr/>
      <w:r>
        <w:t>Full-slide CellViT++ uses a pinned Singularity runtime and bounded sequential cases. Source inputs, model/checkpoint identities, runtime hashes, planned core ownership and completion receipts bind the run. Overlapping input regions provide image context while non-overlapping ownership cores retain each cell once. A full-slide project requires every planned core to be checked. Missing, partial, mismatched or failed evidence cannot be promoted to a complete project.</w:t>
      </w:r>
    </w:p>
    <w:p>
      <w:pPr/>
      <w:r>
        <w:t>The selected detector is not changed to accommodate unavailable hardware. CellViT++ requires a resolved GPU runtime; its retained classifier heads can be applied to cached cell vectors on CPU. StarDist uses its own supported CPU/GPU configuration and does not require unused CellViT cache or runtime files. Resource envelopes and cleanup verification belong to the actual execution host. A successful local stub or single-GPU check does not establish HPC or multi-GPU lifecycle behavior.</w:t>
      </w:r>
    </w:p>
    <w:p>
      <w:pPr>
        <w:spacing w:after="100"/>
      </w:pPr>
      <w:r>
        <w:t>Runtime recipes and source changes are versioned separately from a deployed SIF. Active runtime images and campaigns remain immutable. Before a new analysis, the candidate runtime must pass dependency and small-input checks with the recorded model/runtime hashes. The archived Chiamaka admission probe and earlier GPU runs are host/version-specific engineering evidence, not a validation of a newly rebuilt container or of concurrent throughput.</w:t>
      </w:r>
    </w:p>
    <w:p>
      <w:pPr>
        <w:pStyle w:val="Heading1"/>
        <w:keepNext/>
      </w:pPr>
      <w:r>
        <w:t>Supplementary Note 5 Mutually exclusive cell detectors</w:t>
      </w:r>
    </w:p>
    <w:p>
      <w:pPr/>
      <w:commentRangeStart w:id="0"/>
      <w:r>
        <w:t>cell_detection_mode is cellvitpp or stardist; the default is cellvitpp. A combined consensus request is rejected. StarDist plus an explicitly enabled CellViT branch is also rejected. The selector never automatically launches StarDist as a tuning/reference stage. Any comparison with a separately saved segmentation belongs to a separate review, with its own provenance.</w:t>
      </w:r>
      <w:commentRangeEnd w:id="0"/>
      <w:r>
        <w:rPr>
          <w:rStyle w:val="CommentReference"/>
        </w:rPr>
        <w:commentReference w:id="0"/>
      </w:r>
    </w:p>
    <w:p>
      <w:pPr/>
      <w:r>
        <w:t>CellViT++ defaults to full-slide SAM-H inference and retains 1,280-dimensional cell vectors with eight separate classifier views: PanNuke, CoNSeP, Lizard, NuCLS main, NuCLS super, Ocelot, MIDOG and PanopTILs. Native image geometry, taxonomy, model identity and score semantics are recorded. An explicit roi scope is available; it is never a silent fallback. StarDist 2D_versatile_he produces nuclear instances without fabricated CellViT taxonomy labels. A CPU adapter writes the common registered mask/table interface and native contour GeoJSON. It checks complete input coverage, source/crop frames and support, preserves stable IDs and verifies raster representation of every retained cell. PanNuke fields used by neoplastic-section ranking are selected by declared taxonomy and exact model identity rather than by an arbitrary classifier name.</w:t>
      </w:r>
    </w:p>
    <w:p>
      <w:pPr>
        <w:pStyle w:val="Heading1"/>
        <w:keepNext/>
      </w:pPr>
      <w:r>
        <w:t>Supplementary Note 6 Tissue features and refined Bora boundaries</w:t>
      </w:r>
    </w:p>
    <w:p>
      <w:pPr/>
      <w:r>
        <w:t>Current Virchow2 tissue extraction uses 224 × 224 model inputs at 0.5 µm per pixel, representing separate 112 × 112 µm fields. Tissue-grid observations and CellViT cell vectors remain separate data contracts. KODAMA/grouping settings, coordinates, feature definitions and source lineage are retained. Anonymous KODAMA groups are not biological tissue identities by themselves.</w:t>
      </w:r>
    </w:p>
    <w:p>
      <w:pPr/>
      <w:r>
        <w:t>The corrected Bora continuation uses one global prediction field and registered native H&amp;E for boundary refinement, followed by a global mask and compact vector export. Shared boundaries use straight/diagonal segments and smooth arcs under recorded raster-agreement and tissue-area limits; physical-area settings suppress small components and holes. The exact prediction mask is retained. Optional tissue names come from a separately frozen Neighbor-context PLS model, with token-region means and boundary-weighted neighbouring context. Neither RGB contrast nor a visually smooth polygon supplies independent ground truth. Transferred class names and same-slide tuning require separate target-domain and held-out validation.</w:t>
      </w:r>
    </w:p>
    <w:p>
      <w:pPr>
        <w:spacing w:after="100"/>
      </w:pPr>
      <w:r>
        <w:t>The archived MedSAM route in the main manuscript is retained only to explain historical Figures 2–4 and their source commit. Its support-clamp and global-mask-scaling checks remain software evidence for that route. It is not the algorithm used to justify current Bora tissue boundaries. The corrected continuation has its own source-bound entrypoint; the legacy per-window route must not be presented as equivalent.</w:t>
      </w:r>
    </w:p>
    <w:p>
      <w:pPr>
        <w:pStyle w:val="Heading1"/>
        <w:keepNext/>
      </w:pPr>
      <w:r>
        <w:t>Supplementary Note 7 Verification and evidence limits</w:t>
      </w:r>
    </w:p>
    <w:p>
      <w:pPr/>
      <w:commentRangeStart w:id="1"/>
      <w:r>
        <w:t>Current checks include actual local Nextflow routing stubs, parameter/schema guards, unused-model-asset rejection and deterministic CPU contour/raster conversion cases. The adapter tests cover crop translation, source-frame mismatch, incomplete full-slide coverage, overlapping contours, empty results and explicit PanNuke identity among conflicting heads. Export tests ensure StarDist does not import an older CellViT population. These checks establish software interfaces, not cell detection, cell-type or tissue-boundary accuracy. The 279,899-cell breast-cancer counts, three-detector agreement, UNI-2 representation, GigaTIME/MedSAM outputs and trace timings in the main text remain archived source-version results. No new tissue inference or throughput measurement was performed for the detector-choice revision.</w:t>
      </w:r>
      <w:commentRangeEnd w:id="1"/>
      <w:r>
        <w:rPr>
          <w:rStyle w:val="CommentReference"/>
        </w:rPr>
        <w:commentReference w:id="1"/>
      </w:r>
    </w:p>
    <w:p>
      <w:pPr>
        <w:pStyle w:val="Heading1"/>
        <w:keepNext/>
      </w:pPr>
      <w:r>
        <w:t>Supplementary Note 8 Independent validation experiments</w:t>
      </w:r>
    </w:p>
    <w:p>
      <w:pPr>
        <w:spacing w:after="100"/>
      </w:pPr>
      <w:r>
        <w:t>GigaTIME marker validation. Archived outputs show block discontinuities, and later source versions include seam and DAPI-QC corrections. Validate the deployed revision on complete tissue support, including tissue-background boundaries, then compare virtual-marker intensity and spatial concordance with registered measured multiplex imaging. A technical seam check cannot establish protein abundance or molecular fidelity.</w:t>
      </w:r>
    </w:p>
    <w:p>
      <w:pPr>
        <w:spacing w:after="100"/>
      </w:pPr>
      <w:r>
        <w:t>GrandQC artifact benchmark. Use independent pathologist-labelled artifacts across tissues, scanners and MPP. Report class-wise detection and area metrics, calibration and false-positive tissue loss. Evaluate the deployed model and preprocessing version rather than transferring conclusions from an archived execution.</w:t>
      </w:r>
    </w:p>
    <w:p>
      <w:pPr>
        <w:spacing w:after="100"/>
      </w:pPr>
      <w:r>
        <w:t>Cell detector and classifier benchmark. Evaluate CellViT++ and StarDist as separate, predeclared runs against expert nuclear instances. Report detection F1, panoptic quality, Dice/IoU, boundary metrics, count bias and failure rates. Evaluate each CellViT classifier only within its label ontology and tissue domain, using independent cell-type references. Algorithm agreement and synthetic adapter tests are insufficient.</w:t>
      </w:r>
    </w:p>
    <w:p>
      <w:pPr>
        <w:spacing w:after="100"/>
      </w:pPr>
      <w:r>
        <w:t>Bora tissue and boundary benchmark. Separate head fitting and parameter selection from held-out expert tissue annotation. Compare exact prediction masks and compact boundary exports, including mixed tiles, inter-tile transitions, small domains and empty support. Report per-class IoU, boundary F-score, surface distance, Hausdorff distance, component/hole counts and geometric complexity. Assess smoothing against accuracy as well as visual appearance.</w:t>
      </w:r>
    </w:p>
    <w:p>
      <w:pPr>
        <w:spacing w:after="100"/>
      </w:pPr>
      <w:r>
        <w:t>Cross-hardware benchmark. Fix input, model versions, detector choice, tissue settings and seeds across at least two GPU-memory classes. Report wall time, utilization, peak VRAM/RSS, retained scratch space, output checksums and numeric tolerance. Do not infer performance gains for the new single-detector route from archived cumulative process times.</w:t>
      </w:r>
    </w:p>
    <w:p>
      <w:pPr>
        <w:spacing w:after="100"/>
      </w:pPr>
      <w:r>
        <w:t>Restart fault injection. Interrupt selected detector, feature and Bora stages at defined checkpoints; resume in a fresh versioned case after confirmed cleanup and compare with uninterrupted output. Test intentionally missing prerequisites and incomplete planned cores. Host-specific success does not qualify another scheduler or multi-GPU shutdown behavior.</w:t>
      </w:r>
    </w:p>
    <w:p>
      <w:pPr>
        <w:spacing w:after="100"/>
      </w:pPr>
      <w:r>
        <w:t>Representation and clustering ablation. Compare current Virchow2 tissue representations and embedding/grouping settings across repeated seeds and spatially separated samples. Quantify stability, spatial coherence and expert interpretability. Treat the archived UNI-2 token-subset/inner-square analysis as a different representation and observation unit. Do not name unsupervised communities as cell or tissue types without independent support.</w:t>
      </w:r>
    </w:p>
    <w:p>
      <w:pPr>
        <w:pStyle w:val="Heading1"/>
        <w:keepNext/>
      </w:pPr>
      <w:r>
        <w:t>Supplementary reporting checklist</w:t>
      </w:r>
    </w:p>
    <w:p>
      <w:pPr/>
      <w:r>
        <w:t>Before submission, record the immutable source commit, versioned container digest, checkpoint checksums, complete detector/tissue parameters, operating system, Nextflow/runtime versions, hardware, trace, output manifest and data DOI. Archive exact figure-generation scripts and source data. Keep archived benchmark source versions distinct from the 27 October 2026 implementation revision. Confirm author-specific CRediT roles and funding identifiers.</w:t>
      </w:r>
    </w:p>
    <w:sectPr w:rsidR="00FC693F" w:rsidRPr="0006063C" w:rsidSect="00034616">
      <w:headerReference w:type="default" r:id="rId9"/>
      <w:footerReference w:type="default" r:id="rId10"/>
      <w:headerReference w:type="first" r:id="rId11"/>
      <w:headerReference w:type="even" r:id="rId12"/>
      <w:pgSz w:w="12240" w:h="15840"/>
      <w:pgMar w:top="1440" w:right="1440" w:bottom="1440" w:left="1440"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note" w:initials="RN" w:date="2026-10-27T10:59:51Z">
    <w:p>
      <w:pPr>
        <w:pStyle w:val="CommentText"/>
      </w:pPr>
      <w:r>
        <w:rPr>
          <w:rStyle w:val="CommentReference"/>
        </w:rPr>
        <w:annotationRef/>
      </w:r>
      <w:r>
        <w:t>The current user-facing pipeline has exactly two mutually exclusive detector options. Earlier consensus behavior remains historical evidence only.</w:t>
      </w:r>
    </w:p>
  </w:comment>
  <w:comment w:id="1" w:author="Revision note" w:initials="RN" w:date="2026-10-27T10:59:51Z">
    <w:p>
      <w:pPr>
        <w:pStyle w:val="CommentText"/>
      </w:pPr>
      <w:r>
        <w:rPr>
          <w:rStyle w:val="CommentReference"/>
        </w:rPr>
        <w:annotationRef/>
      </w:r>
      <w:r>
        <w:t>Only software/dataflow verification is added here; historical GPU benchmark numbers are not reassigned to the changed implementation.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67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000000"/>
        <w:sz w:val="16"/>
      </w:rPr>
      <w:t>CellPhenotyper | Supplementary Information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2" w:lineRule="auto" w:before="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69" w:lineRule="auto" w:before="100" w:after="180"/>
      <w:jc w:val="left"/>
    </w:pPr>
    <w:rPr>
      <w:rFonts w:ascii="Calibri" w:hAnsi="Calibri"/>
      <w:b/>
      <w:bCs/>
      <w:color w:val="1F29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before="0" w:after="240" w:line="288" w:lineRule="auto"/>
      <w:jc w:val="both"/>
    </w:pPr>
    <w:rPr>
      <w:rFonts w:ascii="Calibri" w:hAnsi="Calibri"/>
      <w:color w:val="1F2937"/>
      <w:sz w:val="21"/>
    </w:rPr>
  </w:style>
  <w:style w:type="paragraph" w:customStyle="1" w:styleId="Affiliation">
    <w:name w:val="Affiliation"/>
    <w:pPr>
      <w:spacing w:after="40" w:line="252" w:lineRule="auto"/>
    </w:pPr>
    <w:rPr>
      <w:rFonts w:ascii="Calibri" w:hAnsi="Calibri"/>
      <w:color w:val="5B6675"/>
      <w:sz w:val="17"/>
    </w:rPr>
  </w:style>
  <w:style w:type="paragraph" w:customStyle="1" w:styleId="Reference">
    <w:name w:val="Reference"/>
    <w:pPr>
      <w:spacing w:after="40" w:line="259" w:lineRule="auto"/>
    </w:pPr>
    <w:rPr>
      <w:rFonts w:ascii="Calibri" w:hAnsi="Calibri"/>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CellPhenotyper supplementary methods and validation plan</dc:title>
  <dc:subject>Nature Methods Supplementary Information</dc:subject>
  <dc:creator>CellPhenotyper Consortium</dc:creator>
  <cp:keywords>GrandQC; consensus segmentation; GPU scheduling; MedSAM; reproducible workflow</cp:keywords>
  <dc:description>Implementation revision dated 2026-09-02. The technical ROI route completed; scientific validation experiments remain explicitly identified as not completed.</dc:description>
  <cp:lastModifiedBy/>
  <cp:revision>1</cp:revision>
  <dcterms:created xsi:type="dcterms:W3CDTF">2013-12-23T23:15:00Z</dcterms:created>
  <dcterms:modified xsi:type="dcterms:W3CDTF">2026-10-27T00:00:00Z</dcterms:modified>
  <cp:category/>
</cp:coreProperties>
</file>