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Supplementary methods and validation plan</w:t>
      </w:r>
    </w:p>
    <w:p>
      <w:pPr>
        <w:spacing w:after="240"/>
      </w:pPr>
      <w:r>
        <w:rPr>
          <w:rFonts w:ascii="Calibri" w:hAnsi="Calibri" w:eastAsia="Calibri"/>
          <w:b/>
          <w:color w:val="5B6675"/>
          <w:sz w:val="22"/>
        </w:rPr>
        <w:t>CellPhenotyper: an auditable, resolution-aware workflow for spatial analysis of H&amp;E whole-slide images</w:t>
      </w:r>
    </w:p>
    <w:p>
      <w:pPr>
        <w:spacing w:after="100"/>
      </w:pPr>
      <w:r>
        <w:t>Scope. This document records the CellPhenotyper implementation revision through 15 September 2026, its software-level verification, the completed single-specimen development comparison of UNI-2 grid resolution and boundary regularization, and the experiments still required before broader biological or performance claims are made.</w:t>
      </w:r>
    </w:p>
    <w:p>
      <w:pPr>
        <w:pStyle w:val="Heading1"/>
        <w:keepNext/>
      </w:pPr>
      <w:r>
        <w:rPr>
          <w:color w:val="000000"/>
        </w:rPr>
        <w:t>Supplementary Note 1 | Analysis-area contract</w:t>
      </w:r>
    </w:p>
    <w:p>
      <w:pPr/>
      <w:r>
        <w:rPr>
          <w:rFonts w:ascii="Calibri" w:hAnsi="Calibri" w:eastAsia="Calibri"/>
          <w:color w:val="1F2937"/>
          <w:sz w:val="22"/>
        </w:rPr>
        <w:t>The normalized full image is the only input to GrandQC. GrandQC therefore precedes every analytical branch. Its clean-tissue mask excludes artifact classes and background and is not replaced by a second heuristic tissue detector downstream.</w:t>
      </w:r>
    </w:p>
    <w:p>
      <w:pPr/>
      <w:r>
        <w:rPr>
          <w:rFonts w:ascii="Calibri" w:hAnsi="Calibri" w:eastAsia="Calibri"/>
          <w:color w:val="1F2937"/>
          <w:sz w:val="22"/>
        </w:rPr>
        <w:t>The next operation rasterizes either the supplied ROI or a generated full-image ROI at the GrandQC mask resolution. The analysis support is the logical intersection of clean tissue and ROI. A bounding box around this support, with configurable padding, is mapped to level-0 coordinates and streamed from the WSI. The ROI is shifted into crop coordinates and the cropped clean-tissue mask is intersected with the shifted ROI a second time. The saved shift sidecar records full-image size, crop size, level-0 origin, MPP and low-resolution support counts. StarDist, HoVer-Net, CellViT++, GigaTIME, UNI-2, KODAMA, clustering, tissue growth, MedSAM and spatial exports operate in this crop frame.</w:t>
      </w:r>
    </w:p>
    <w:p>
      <w:pPr/>
      <w:r>
        <w:rPr>
          <w:rFonts w:ascii="Calibri" w:hAnsi="Calibri" w:eastAsia="Calibri"/>
          <w:color w:val="1F2937"/>
          <w:sz w:val="22"/>
        </w:rPr>
        <w:t>The primary crop writer uses streamed libvips access. If a source TIFF contains JPEG geometry rejected by libvips, the fallback opens the level-0 TIFF series through its Zarr interface, resolves a multiscale group rather than assuming an array, and copies bounded row blocks into a temporary disk-backed RGB buffer before tiled TIFF encoding. The buffer is removed after success or failure. On the Visium HD BTF-derived OME-TIFF, this path wrote a 13,172 × 13,098 crop and allowed the analysis-crop contract to complete without loading the complete crop into RAM.</w:t>
      </w:r>
    </w:p>
    <w:p>
      <w:pPr>
        <w:pStyle w:val="Heading1"/>
        <w:keepNext/>
      </w:pPr>
      <w:r>
        <w:rPr>
          <w:color w:val="000000"/>
        </w:rPr>
        <w:t>Supplementary Note 2 | GrandQC overlap blending</w:t>
      </w:r>
    </w:p>
    <w:p>
      <w:pPr/>
      <w:r>
        <w:rPr>
          <w:rFonts w:ascii="Calibri" w:hAnsi="Calibri" w:eastAsia="Calibri"/>
          <w:color w:val="1F2937"/>
          <w:sz w:val="22"/>
        </w:rPr>
        <w:t>Artifact inference is performed at the selected official model MPP. Tiles overlap by 50% by default. For every image size, each tile contributes class probabilities through separable smooth edge weights. The full class-score accumulator and scalar weight accumulator are float32 NumPy memory maps stored in task scratch. Output rows are normalized in bounded blocks, followed by the same artifact-probability and artifact-margin suppression rules. The output summary reports probability_blend_memmap_windowed_overlap, accumulator byte size, effective overlap and confidence thresholds. No image-size branch changes this algorithm to centre-crop stitching.</w:t>
      </w:r>
    </w:p>
    <w:p>
      <w:pPr>
        <w:spacing w:after="100"/>
      </w:pPr>
      <w:r>
        <w:rPr>
          <w:rFonts w:ascii="Calibri" w:hAnsi="Calibri" w:eastAsia="Calibri"/>
          <w:b/>
          <w:color w:val="1D4ED8"/>
          <w:sz w:val="19"/>
        </w:rPr>
        <w:t xml:space="preserve">Verified in software. </w:t>
      </w:r>
      <w:r>
        <w:rPr>
          <w:rFonts w:ascii="Calibri" w:hAnsi="Calibri" w:eastAsia="Calibri"/>
          <w:color w:val="1F2937"/>
          <w:sz w:val="19"/>
        </w:rPr>
        <w:t>A regression test applies the same score field through RAM arrays and memory maps with different finalization block sizes and requires identical class masks and suppression counts.</w:t>
      </w:r>
    </w:p>
    <w:p>
      <w:pPr>
        <w:pStyle w:val="Heading1"/>
        <w:keepNext/>
      </w:pPr>
      <w:r>
        <w:rPr>
          <w:color w:val="000000"/>
        </w:rPr>
        <w:t>Supplementary Note 3 | Exact-stage dependency contracts</w:t>
      </w:r>
    </w:p>
    <w:p>
      <w:pPr/>
      <w:r>
        <w:rPr>
          <w:rFonts w:ascii="Calibri" w:hAnsi="Calibri" w:eastAsia="Calibri"/>
          <w:color w:val="1F2937"/>
          <w:sz w:val="22"/>
        </w:rPr>
        <w:t>The stage window is evaluated against an ordered stage registry. A requested stage is wrapped by an output-channel guard and fails with an explicit error if the channel closes without an item. Restarted stages load published prerequisites from their documented stage directories. GigaTIME and marker-only restarts explicitly load the prepared crop, shift, cell labels, object table, cell-associated labels and GrandQC-derived tissue support rather than reopening StarDist.</w:t>
      </w:r>
    </w:p>
    <w:p>
      <w:pPr>
        <w:spacing w:after="100"/>
      </w:pPr>
      <w:r>
        <w:rPr>
          <w:rFonts w:ascii="Calibri" w:hAnsi="Calibri" w:eastAsia="Calibri"/>
          <w:b/>
          <w:color w:val="1D4ED8"/>
          <w:sz w:val="19"/>
        </w:rPr>
        <w:t xml:space="preserve">Verified in workflow stubs. </w:t>
      </w:r>
      <w:r>
        <w:rPr>
          <w:rFonts w:ascii="Calibri" w:hAnsi="Calibri" w:eastAsia="Calibri"/>
          <w:color w:val="1F2937"/>
          <w:sz w:val="19"/>
        </w:rPr>
        <w:t>A full GPU-configured consensus route completed 23 core tasks. An exact GigaTIME restart launched GigaTIME and OME-TIFF export only; an exact marker-quantification restart launched the nuclei and cell-associated quantifiers only. An explicit CPU StarDist route completed conversion, GrandQC, crop preparation and StarDist without attempting consensus.</w:t>
      </w:r>
    </w:p>
    <w:p>
      <w:pPr>
        <w:pStyle w:val="Heading1"/>
        <w:keepNext/>
      </w:pPr>
      <w:r>
        <w:rPr>
          <w:color w:val="000000"/>
        </w:rPr>
        <w:t>Supplementary Note 4 | GPU allocation and concurrency</w:t>
      </w:r>
    </w:p>
    <w:p>
      <w:pPr/>
      <w:r>
        <w:rPr>
          <w:rFonts w:ascii="Calibri" w:hAnsi="Calibri" w:eastAsia="Calibri"/>
          <w:color w:val="1F2937"/>
          <w:sz w:val="22"/>
        </w:rPr>
        <w:t>All gpu_capable processes share a host lock directory. Immediately before process launch, the admission helper queries every NVIDIA device for total and free memory, retains a configurable reserve, and ranks devices by free memory. A task acquires one device-specific execution slot and enough exclusive memory tokens to cover its stage reservation. Open file descriptors hold the locks for the lifetime of the task and are released by normal exit or termination. CUDA_VISIBLE_DEVICES exposes only the selected physical GPU to the process, so tool-local device 0 refers to that allocated device.</w:t>
      </w:r>
    </w:p>
    <w:p>
      <w:pPr/>
      <w:r>
        <w:rPr>
          <w:rFonts w:ascii="Calibri" w:hAnsi="Calibri" w:eastAsia="Calibri"/>
          <w:color w:val="1F2937"/>
          <w:sz w:val="22"/>
        </w:rPr>
        <w:t>Default reservations are 6 GB for GrandQC; 8 GB for StarDist and GigaTIME; 10 GB for UNI-2 and MedSAM; 12 GB for HoVer-Net, CellViT++ and TITAN; and 4 GB for GPU KODAMA. The default task limit is derived from memory tokens. Larger GPUs can therefore run compatible tasks concurrently, whereas smaller GPUs serialize them or keep a task waiting until the required memory becomes available. Scientific parameters and detector mode do not depend on the selected GPU.</w:t>
      </w:r>
    </w:p>
    <w:p>
      <w:pPr>
        <w:spacing w:after="100"/>
      </w:pPr>
      <w:r>
        <w:rPr>
          <w:rFonts w:ascii="Calibri" w:hAnsi="Calibri" w:eastAsia="Calibri"/>
          <w:b/>
          <w:color w:val="1D4ED8"/>
          <w:sz w:val="19"/>
        </w:rPr>
        <w:t xml:space="preserve">Verification status. </w:t>
      </w:r>
      <w:r>
        <w:rPr>
          <w:rFonts w:ascii="Calibri" w:hAnsi="Calibri" w:eastAsia="Calibri"/>
          <w:color w:val="1F2937"/>
          <w:sz w:val="19"/>
        </w:rPr>
        <w:t>Configuration parsing and shell syntax passed locally. The deterministic fake-nvidia-smi/flock test is present but is skipped on macOS because util-linux flock is absent. A live admission probe on the Chiamaka Linux target found /usr/bin/flock, observed 15.93 GB total and 14.35 GB free on an NVIDIA GeForce RTX 5060 Ti, acquired the requested slot and memory token, selected physical GPU 0 and exported CUDA_VISIBLE_DEVICES=0. This verifies admission, not concurrent throughput scaling.</w:t>
      </w:r>
    </w:p>
    <w:p>
      <w:pPr>
        <w:pStyle w:val="Heading1"/>
        <w:keepNext/>
      </w:pPr>
      <w:r>
        <w:rPr>
          <w:color w:val="000000"/>
        </w:rPr>
        <w:t>Supplementary Note 5 | Explicit cell-identification mode</w:t>
      </w:r>
    </w:p>
    <w:p>
      <w:pPr/>
      <w:r>
        <w:rPr>
          <w:rFonts w:ascii="Calibri" w:hAnsi="Calibri" w:eastAsia="Calibri"/>
          <w:color w:val="1F2937"/>
          <w:sz w:val="22"/>
        </w:rPr>
        <w:t>cell_detection_mode is either consensus or stardist. Consensus requires GPU execution and fails before analysis if GPU execution is unavailable. StarDist-only analysis must be selected explicitly. The deprecated cell_consensus_enable switch is retained only as a compatibility fallback when the new parameter is absent. This prevents two runs with identical biological parameters from analyzing different cell populations solely because their hardware differs.</w:t>
      </w:r>
    </w:p>
    <w:p>
      <w:pPr/>
      <w:r>
        <w:t>Consensus components are generated by one-to-one physical-distance matching without permitting two detections from one source in the same component. The default broad-pair policy requires joint StarDist and CellViT++ support. HoVer-Net MoNuSAC contributes scoped class evidence but is not counted as a second broad detector. Pairwise benchmark files report detector counts, matched pairs, match fractions, median and 95th-percentile centroid distance, polygon IoU quartiles and Hausdorff distance. These outputs quantify agreement among algorithms and must not be described as expert-referenced accuracy.</w:t>
      </w:r>
    </w:p>
    <w:p>
      <w:pPr>
        <w:pStyle w:val="Heading1"/>
      </w:pPr>
      <w:r>
        <w:t>Supplementary Note 6 | Bounded-disk HoVer-Net execution</w:t>
      </w:r>
    </w:p>
    <w:p>
      <w:r>
        <w:t>Official HoVer-Net whole-slide inference allocates a four-channel float32 prediction map and an int32 instance map across the complete processed rectangle; these arrays can exceed 100 GB at 0.25 micrometres per pixel. The bounded default instead uses 4,096-pixel ownership cores with 256-pixel halos and skips cores without GrandQC clean-tissue support. Half-open centroid ownership retains each detection once. Batches are limited to 64 normalized tiles, bounding temporary image storage independently of slide area.</w:t>
      </w:r>
    </w:p>
    <w:p>
      <w:r>
        <w:t>The pinned upstream model and tile post-processing code are used. CellPhenotyper disables the upstream MAT, RGB overlay and raw-map writers, compresses tile JSON immediately, removes each input batch, and incrementally merges centroids, MoNuSAC classes and type probabilities. Contours are opt-in because broad-pair fusion uses CellViT++ geometry. The legacy whole-slide route remains available with Zarr or NumPy caches, and task exit removes all transient inputs, outputs and runtime copies. The prior Zarr-versus-NumPy equality test validates cache encoding only; the tiled route still requires a matched boundary audit.</w:t>
      </w:r>
    </w:p>
    <w:p>
      <w:pPr>
        <w:pStyle w:val="Heading1"/>
        <w:keepNext/>
      </w:pPr>
      <w:r>
        <w:t>Supplementary Note 7 | Tissue-constrained MedSAM</w:t>
      </w:r>
    </w:p>
    <w:p>
      <w:pPr/>
      <w:r>
        <w:t>MedSAM refinement receives the H&amp;E crop, protected cluster seeds, a route-specific categorical baseline and the crop-aligned GrandQC clean-tissue/ROI support. The dense grid route bypasses tissue growth. Grid observations that abstain under the clustering-stability policy retain the raw KODAMA class in the categorical baseline while the abstention remains explicit in a separate uncertainty raster; this prevents a valid grid observation from becoming a seedless rectangular hole and does not convert it into a confident interpretation. The initial output, every seed and baseline tile, the MedSAM prediction, the optional image-guided watershed result, any resumed checkpoint and the final complete mask are set to background outside GrandQC support. The low-resolution tissue mask is mapped with global target-to-source indices, not tile-local resize operations, preventing coordinate seams between adjacent tiles. MedSAM inputs use one fixed RGB uint8-to-[0,1] transform for every processing window and are never rescaled by a window-specific minimum or maximum.</w:t>
      </w:r>
    </w:p>
    <w:p>
      <w:pPr/>
      <w:r>
        <w:rPr>
          <w:rFonts w:ascii="Calibri" w:hAnsi="Calibri" w:eastAsia="Calibri"/>
          <w:color w:val="1F2937"/>
          <w:sz w:val="22"/>
        </w:rPr>
        <w:t>The stage summary reports pixels removed by the initial background clamp, pixels removed by the final checkpoint-wide clamp and source mask dimensions. Quality-control outputs include a random native-resolution before/after/change panel and a tissue-support preview. These checks show whether modification occurred and whether background was excluded; they do not show that the new boundary is correct.</w:t>
      </w:r>
    </w:p>
    <w:p>
      <w:pPr>
        <w:spacing w:after="100"/>
      </w:pPr>
      <w:r>
        <w:rPr>
          <w:rFonts w:ascii="Calibri" w:hAnsi="Calibri" w:eastAsia="Calibri"/>
          <w:b/>
          <w:color w:val="1D4ED8"/>
          <w:sz w:val="19"/>
        </w:rPr>
        <w:t xml:space="preserve">Verified in software. </w:t>
      </w:r>
      <w:r>
        <w:rPr>
          <w:rFonts w:ascii="Calibri" w:hAnsi="Calibri" w:eastAsia="Calibri"/>
          <w:color w:val="1F2937"/>
          <w:sz w:val="19"/>
        </w:rPr>
        <w:t>A regression test reads one scaled tissue mask through adjacent target windows and requires their concatenation to equal a single global nearest-neighbour mapping.</w:t>
      </w:r>
    </w:p>
    <w:p>
      <w:pPr>
        <w:pStyle w:val="Heading1"/>
        <w:keepNext/>
      </w:pPr>
      <w:r>
        <w:t>Supplementary Note 8 | Verification completed</w:t>
      </w:r>
    </w:p>
    <w:p>
      <w:pPr/>
      <w:r>
        <w:rPr>
          <w:rFonts w:ascii="Calibri" w:hAnsi="Calibri" w:eastAsia="Calibri"/>
          <w:color w:val="1F2937"/>
          <w:sz w:val="22"/>
        </w:rPr>
        <w:t>Local verification completed 110 tests with 13 dependency- or platform-based skips, plus Python, shell, Nextflow, whitespace, stub-route and exact-stage checks. Target-host GPU admission, real-image BTF crop fallback and a complete Visium HD ROI route through PathoFMPred also passed. A regression now prevents non-memory-mappable tiled H&amp;E from being replaced by white in cluster-map QC. These checks verify interfaces and deterministic routing, not model accuracy or general throughput.</w:t>
      </w:r>
    </w:p>
    <w:p>
      <w:pPr>
        <w:pStyle w:val="Heading1"/>
        <w:keepNext/>
      </w:pPr>
      <w:r>
        <w:t>Supplementary Note 9 | Experiments requiring author approval</w:t>
      </w:r>
    </w:p>
    <w:p>
      <w:pPr>
        <w:spacing w:after="100"/>
      </w:pPr>
      <w:r>
        <w:rPr>
          <w:rFonts w:ascii="Calibri" w:hAnsi="Calibri" w:eastAsia="Calibri"/>
          <w:b/>
          <w:color w:val="1D4ED8"/>
          <w:sz w:val="19"/>
        </w:rPr>
        <w:t xml:space="preserve">GigaTIME seam correction and validation. </w:t>
      </w:r>
      <w:r>
        <w:rPr>
          <w:rFonts w:ascii="Calibri" w:hAnsi="Calibri" w:eastAsia="Calibri"/>
          <w:color w:val="1F2937"/>
          <w:sz w:val="19"/>
        </w:rPr>
        <w:t>The completed technical rerun retained rectangular block discontinuities in GigaTIME outputs. Add pixel-level tissue clamping and a fail-fast seam metric, then validate marker intensity and spatial concordance against matched multiplex imaging before updating biological claims.</w:t>
      </w:r>
    </w:p>
    <w:p>
      <w:pPr>
        <w:spacing w:after="100"/>
      </w:pPr>
      <w:r>
        <w:rPr>
          <w:rFonts w:ascii="Calibri" w:hAnsi="Calibri" w:eastAsia="Calibri"/>
          <w:b/>
          <w:color w:val="1D4ED8"/>
          <w:sz w:val="19"/>
        </w:rPr>
        <w:t xml:space="preserve">GrandQC artifact benchmark. </w:t>
      </w:r>
      <w:r>
        <w:rPr>
          <w:rFonts w:ascii="Calibri" w:hAnsi="Calibri" w:eastAsia="Calibri"/>
          <w:color w:val="1F2937"/>
          <w:sz w:val="19"/>
        </w:rPr>
        <w:t>Use pathologist-labelled artifacts from multiple scanners and tissue types. Report class-wise sensitivity, specificity, precision, F1 score, IoU, calibration and false-positive area, stratified by MPP and acquisition source.</w:t>
      </w:r>
    </w:p>
    <w:p>
      <w:pPr>
        <w:spacing w:after="100"/>
      </w:pPr>
      <w:r>
        <w:rPr>
          <w:rFonts w:ascii="Calibri" w:hAnsi="Calibri" w:eastAsia="Calibri"/>
          <w:b/>
          <w:color w:val="1D4ED8"/>
          <w:sz w:val="19"/>
        </w:rPr>
        <w:t xml:space="preserve">Cell detector and consensus benchmark. </w:t>
      </w:r>
      <w:r>
        <w:rPr>
          <w:rFonts w:ascii="Calibri" w:hAnsi="Calibri" w:eastAsia="Calibri"/>
          <w:color w:val="1F2937"/>
          <w:sz w:val="19"/>
        </w:rPr>
        <w:t>Use expert nuclear instance annotations. Compare each detector and the consensus using detection F1, panoptic quality, Dice or IoU, Hausdorff distance, boundary F-score, cell-count bias and failure rate. Agreement among detectors is insufficient.</w:t>
      </w:r>
    </w:p>
    <w:p>
      <w:pPr>
        <w:spacing w:after="100"/>
      </w:pPr>
      <w:r>
        <w:rPr>
          <w:rFonts w:ascii="Calibri" w:hAnsi="Calibri" w:eastAsia="Calibri"/>
          <w:b/>
          <w:color w:val="1D4ED8"/>
          <w:sz w:val="19"/>
        </w:rPr>
        <w:t xml:space="preserve">MedSAM boundary benchmark. </w:t>
      </w:r>
      <w:r>
        <w:rPr>
          <w:rFonts w:ascii="Calibri" w:hAnsi="Calibri" w:eastAsia="Calibri"/>
          <w:color w:val="1F2937"/>
          <w:sz w:val="19"/>
        </w:rPr>
        <w:t>Annotate outer tissue borders and representative internal cluster boundaries. Compare grown masks with and without MedSAM, including empty background, using boundary F-score, surface distance, Hausdorff distance, IoU and changed-area review. Include tiles containing one cluster and tiles crossing tissue edges.</w:t>
      </w:r>
    </w:p>
    <w:p>
      <w:pPr>
        <w:spacing w:after="100"/>
      </w:pPr>
      <w:r>
        <w:rPr>
          <w:rFonts w:ascii="Calibri" w:hAnsi="Calibri" w:eastAsia="Calibri"/>
          <w:b/>
          <w:color w:val="1D4ED8"/>
          <w:sz w:val="19"/>
        </w:rPr>
        <w:t xml:space="preserve">Cross-hardware benchmark. </w:t>
      </w:r>
      <w:r>
        <w:rPr>
          <w:rFonts w:ascii="Calibri" w:hAnsi="Calibri" w:eastAsia="Calibri"/>
          <w:color w:val="1F2937"/>
          <w:sz w:val="19"/>
        </w:rPr>
        <w:t>Run fixed inputs and seeds on at least two NVIDIA memory classes. Report wall time, GPU utilization, peak allocated and reserved VRAM, host peak RSS, concurrent-task schedule, output checksums and numerical tolerance. This experiment is needed to support claims that the scheduler both avoids out-of-memory termination and increases throughput on larger GPUs.</w:t>
      </w:r>
    </w:p>
    <w:p>
      <w:pPr>
        <w:spacing w:after="100"/>
      </w:pPr>
      <w:r>
        <w:rPr>
          <w:rFonts w:ascii="Calibri" w:hAnsi="Calibri" w:eastAsia="Calibri"/>
          <w:b/>
          <w:color w:val="1D4ED8"/>
          <w:sz w:val="19"/>
        </w:rPr>
        <w:t xml:space="preserve">Restart fault injection. </w:t>
      </w:r>
      <w:r>
        <w:rPr>
          <w:rFonts w:ascii="Calibri" w:hAnsi="Calibri" w:eastAsia="Calibri"/>
          <w:color w:val="1F2937"/>
          <w:sz w:val="19"/>
        </w:rPr>
        <w:t>Interrupt GrandQC, detector, UNI-2, GigaTIME and MedSAM stages at controlled points; resume from cache and compare output checksums with uninterrupted runs. Include exact-stage runs with intentionally missing prerequisites to verify fail-fast behavior.</w:t>
      </w:r>
    </w:p>
    <w:p>
      <w:pPr>
        <w:spacing w:after="100"/>
      </w:pPr>
      <w:r>
        <w:t>Representation and clustering ablation. A single-specimen K=3 development comparison of three spatial-grid geometries is complete and is reported in Supplementary Note 15. Independent specimens are still required to compare cell-centred and spatial-grid observations, token-subset and masked-forward definitions, repeated seeds and clustering hyperparameters. Future reports should include runtime, memory, adjusted Rand index or variation of information across seeds, spatial coherence and reference-standard boundary metrics where available.</w:t>
      </w:r>
    </w:p>
    <w:p>
      <w:pPr>
        <w:pStyle w:val="Heading1"/>
      </w:pPr>
      <w:r>
        <w:t>Supplementary Note 10 | Registered pathology foundation encoders</w:t>
      </w:r>
    </w:p>
    <w:p>
      <w:pPr/>
      <w:r>
        <w:t>The representation stage accepts only a fixed registry: UNI2-h (MahmoodLab/UNI2-h), Virchow (paige-ai/Virchow), Virchow2 (paige-ai/Virchow2) and Phikon-v2 (owkin/phikon-v2). Each adapter declares its repository, backend, pooling, 224-pixel input, prefix/register-token count and token-subset capability. Unknown encoders, non-square spatial-token grids, incompatible input sizes and unavailable token-subset features fail closed. UNI2-h uses its class token; Virchow and Virchow2 use class-token plus mean-patch concatenation; Phikon-v2 uses its class token. Virchow2 excludes four register tokens before spatial averaging. The calibrated central inner square is controlled by uni2_inner_square_fixed_px (90 pixels by default) and, in paired mode, is summarized from the same forward pass. Initial batch ceilings are 256, 16, 16 and 64, respectively, followed by OOM-aware halving. Every receipt records the adapter, resolved repository revision, preprocessing, physical scale, observation identity and loaded-state fingerprint. KODAMA.matrix ncomp=50 will be held independently of PCA rank during the prespecified comparison.</w:t>
      </w:r>
    </w:p>
    <w:p>
      <w:pPr>
        <w:pStyle w:val="Heading1"/>
      </w:pPr>
      <w:r>
        <w:t>Supplementary Note 11 | PathSegmentor semantic evidence and sensitivity refinement</w:t>
      </w:r>
    </w:p>
    <w:p>
      <w:pPr/>
      <w:r>
        <w:t>PathSegmentor requires pathsegmentor_enable=true together with explicit local source, configuration and checkpoint paths, a CUDA execution route and the fixed prompt-panel JSON. The pipeline does not download or authorize assets. Each tile represents 1,024 × 1,024 pixels at 0.25 µm px−1, uses 25% overlap by default and is skipped only below a declared GrandQC tissue fraction. Overlaps are combined with a floored two-dimensional Hann weight. Outputs comprise a multichannel probability OME-TIFF at 2.0 µm px−1 by default, per-tile text similarity and matched-query records, source/checkpoint/prompt hashes and repository revision. The breast panel contains tumor and stroma tissue prompts and epithelial, neoplastic, lymphocyte and fibroblast nuclear prompts. These supervised scores annotate an already fixed unsupervised partition; they are not cell-type ground truth. The optional pathsegmentor_guided_refine branch estimates prompt-score prototypes from KODAMA cluster cores eroded by 24 µm and considers changes only within a 16-µm inter-cluster boundary band when the mean squared semantic distance improves by at least 0.01. Cluster count and GrandQC support remain invariant. Filling zero-labelled pixels inside GrandQC tissue is separately disabled by default. Raw probabilities, unmodified masks, change masks and provenance are retained.</w:t>
      </w:r>
    </w:p>
    <w:p>
      <w:pPr>
        <w:pStyle w:val="Heading1"/>
      </w:pPr>
      <w:r>
        <w:t>Supplementary Note 12 | Development reference separation and held-out confirmation</w:t>
      </w:r>
    </w:p>
    <w:p>
      <w:pPr/>
      <w:r>
        <w:t>The initial UNI-2 tiling candidates were generated without access to the expert annotation. After the annotation became available, a separate benchmark program rasterized the completed candidate GeoJSONs, matched arbitrary cluster integers to reference integers and calculated the declared overlap and boundary metrics. The same evaluation-only route was used to select the final shared-boundary regularizer from completed candidates. The production inference programs and Nextflow parameter schema do not accept a reference-annotation path. The selected 28/56 grid geometry and smoothing constants are development-set choices and must be frozen before confirmation on independent held-out specimens. Any future encoder comparison must preserve KODAMA.matrix ncomp=50, clustering policy, GrandQC support, physical scale and evaluation code unless the protocol declares the change in advance.</w:t>
      </w:r>
    </w:p>
    <w:p>
      <w:pPr>
        <w:pStyle w:val="Heading1"/>
        <w:jc w:val="left"/>
      </w:pPr>
      <w:r>
        <w:t>Supplementary Note 13 |</w:t>
        <w:br/>
        <w:t>Automatic pyramidal ROI crop</w:t>
      </w:r>
    </w:p>
    <w:p>
      <w:pPr/>
      <w:r>
        <w:t>PREPARE_ANALYSIS_CROP writes crop_roi.tif as a tiled pyramidal BigTIFF without changing the downstream filename or native pixel grid. The level-0 RGB pixels use lossless DEFLATE compression in 512 × 512-pixel tiles. Twofold SubIFD overviews continue until the longest image side fits within one tile. The primary path performs streaming crop and pyramid generation with pyvips. If the source TIFF cannot be decoded by that path, a bounded window reader fills a disk-backed RGB buffer and generates each overview through a bounded-memory twofold box average. Before publication, the pipeline requires the expected native dimensions, tiled level 0, exact twofold level geometry, complete level count and physical-resolution tags consistent with the verified source MPP. The validation receipt in crop_summary.json records the level shapes, tiling, compression, SubIFD status and recovered level-0 MPP. A production-container probe confirmed a pixel-exact native level and a discoverable SubIFD hierarchy; this engineering check does not evaluate image-analysis accuracy.</w:t>
      </w:r>
    </w:p>
    <w:p>
      <w:pPr>
        <w:pStyle w:val="Heading1"/>
      </w:pPr>
      <w:r>
        <w:t>Supplementary Note 14 | Topology preserving cluster GeoJSON</w:t>
      </w:r>
    </w:p>
    <w:p>
      <w:pPr/>
      <w:r>
        <w:t>MASK_TO_GEOJSON converts the final MedSAM-refined categorical mask through four-connected rasterio polygonization at native resolution. Invalid point-touching rings are split into valid positive-area parts without changing their class. When shared boundaries contain unequal collinear vertices, combined boundary linework is noded once and polygonized into atomic faces; each face is assigned to the unique covering source class, while background faces are discarded. Every positive-area annotated component is retained. Visvalingam-Whyatt simplification is applied to the complete polygon coverage, so shared edges are simplified once rather than independently for each class. The configured tolerance is an upper bound: binary search selects the strongest candidate whose exact categorical symmetric-difference area does not exceed the declared fraction of native foreground. Interior rings remain present; per-class hole filling and buffer smoothing remain disabled. After simplification, the optional selective pass described in Supplementary Note 16 moves only eligible internal shared-boundary vertices. The vectorizer tests every pairwise positive-area intersection after construction and fails closed if any overlap exceeds numerical tolerance. Its provenance JSON records native source shape and hashes, label-wise pixel counts, selected pyramid level, scaling, connectivity, repair diagnostics, requested and selected tolerance, coordinate and segment reduction, measured fidelity, smoothing parameters and displacement, feature count and mutual exclusivity. The native raster remains the authority for exact categorical counts.</w:t>
      </w:r>
    </w:p>
    <w:p>
      <w:pPr>
        <w:pStyle w:val="Heading1"/>
        <w:jc w:val="left"/>
      </w:pPr>
      <w:r>
        <w:t>Supplementary Note 15 |</w:t>
        <w:br/>
        <w:t>Annealed multiclass competition before MedSAM</w:t>
      </w:r>
    </w:p>
    <w:p>
      <w:pPr/>
      <w:r>
        <w:t>The pre-MedSAM competition step treats the KODAMA categorical baseline as a partition rather than refining each class independently. An internal boundary is detected where two positive labels meet, dilated to the declared error radius and intersected with the clustering-uncertainty editable mask. For whole-slide streaming, robust Lab and optical-density centre and scale estimates and label prototypes are fitted once from a deterministic bounded sample of trusted slide pixels (250,000 pixels at 16-fold downsampling by default) and reused for all overlapping 4,096-pixel processing windows. Consequently, identical RGB values receive identical standardized features regardless of surrounding window content. The local energy contains squared prototype distance and a Potts disagreement penalty whose coupling decreases across strong image-feature gradients. The default eight-neighbour system includes inverse-distance diagonal interactions to reduce axis-aligned staircasing. Mean-field label probabilities are updated with a Boltzmann temperature that decreases geometrically from 2.0 to 0.05 over 16 iterations. Candidate labels are restricted to the current label and labels on the local frontier. Protected cores are clamped at every iteration, zero-labelled pixels are not created or filled, and all pixels outside GrandQC clean tissue remain zero. The lowest hard-energy state encountered is supplied to MedSAM as its multiclass baseline; the original confident seeds remain the prompt source. The default fourfold working scale bounds WSI memory. This deterministic algorithm uses no expert annotation. Regression tests require both MedSAM RGB normalization and Wald feature standardization to be independent of processing-window context. These tests verify the engineering contract, not biological boundary accuracy; the boundary radius, appearance weight, smoothness weight, edge decay and temperature schedule require prespecified held-out evaluation before accuracy claims.</w:t>
      </w:r>
    </w:p>
    <w:p>
      <w:pPr>
        <w:pStyle w:val="Heading1"/>
      </w:pPr>
      <w:r>
        <w:t>Supplementary Note 16 | UNI2 spatial grid resolution development</w:t>
      </w:r>
    </w:p>
    <w:p>
      <w:pPr/>
      <w:r>
        <w:t>The spatial-grid route separates the central token-pooling width from the grid-centre stride while retaining a 224 x 224-pixel UNI2-h context field and 0.25-micrometre-per-pixel model calibration. At source MPP m, a model-space distance d is mapped to round(d x 0.25 / m) level-0 pixels. The development comparison held GrandQC clean-tissue support, UNI2-h weights and preprocessing, KODAMA.matrix ncomp=50, K=3 clustering and downstream reconstruction constant. The tested inner-square/stride pairs were 28/56, 56/56 and the historical coupled 90/90 geometry. The two 56-pixel-stride routes each retained 498,992 observations. At 16-fold reference rasterization, mean class IoU was 0.945360, 0.883707 and 0.681739, respectively; mean class Dice was 0.971665, 0.938255 and 0.8077. Mean symmetric internal-boundary error was 10.81, 18.52 and 37.64 native pixels. Boundary F1 at 32 native pixels was 0.91979, 0.86502 and 0.7329. Summed Nextflow task realtime was 35,247.2 s for 28/56 and 34,925.6 s for 56/56. The 28/56 route was therefore selected for subsequent grid-based tissue-domain development. This is parameter selection on one annotated specimen, not independent validation.</w:t>
      </w:r>
    </w:p>
    <w:p>
      <w:pPr>
        <w:pStyle w:val="Heading1"/>
      </w:pPr>
      <w:r>
        <w:t>Supplementary Note 17 | Selective shared boundary regularization</w:t>
      </w:r>
    </w:p>
    <w:p>
      <w:pPr/>
      <w:r>
        <w:t>The final vector regularizer operates only after topology-preserving coverage simplification. A shared internal vertex is eligible when its turn angle is at least 45 degrees and both incident segments are at least 16 native pixels. One endpoint-preserving Laplacian pass moves each eligible vertex by coefficient 0.05. Vertices on the external tissue boundary remain fixed, and no vertices are added. Modified seams are polygonized once into atomic faces and reassigned to their source class, after which the pairwise positive-area overlap test must remain zero. On the K=3 development output, fidelity-constrained simplification selected a 14.953125-pixel tolerance, reducing 8,104,295 native raster-edge segments by 96.99% while remaining below the 1% categorical-change budget. Selective regularization retained three features and 244,005 segments, changed no external tissue-footprint area, moved no vertex by more than 11.856 native pixels and preserved zero class overlap. The 95th percentile turn fell from 121.130 to 116.581 degrees, and long sharp-turn density fell from 1,355.00 to 1,292.39 per 100,000 ring pixels. Mean class IoU changed from 0.945360 to 0.942344, and boundary F1 at 32 pixels changed from 0.919790 to 0.919382. The procedure was selected to reduce implausible angular seams with a small measured reference-agreement trade-off; it is not presented as an accuracy gain.</w:t>
      </w:r>
    </w:p>
    <w:p>
      <w:pPr>
        <w:pStyle w:val="Heading1"/>
      </w:pPr>
      <w:r>
        <w:t>Supplementary Note 18 | Expert annotation use and limitations</w:t>
      </w:r>
    </w:p>
    <w:p>
      <w:pPr/>
      <w:r>
        <w:t>The three-class expert GeoJSON was not stored as a production input and was never passed to UNI-2, KODAMA, clustering, MedSAM, shared-boundary simplification or smoothing. Candidate generation used only the image, GrandQC support and predicted labels. The annotation was read later by a separate benchmark for development ranking and parameter selection. Because the source GeoJSON contained self-intersections and overlapping features, the benchmark rasterized it at a declared 16-fold scale and resolved overlaps by feature order, recording 78,409 overlapping analysis pixels. A Hungarian assignment aligned arbitrary prediction and reference cluster integers before scoring. Metrics included tissue Dice and IoU, class Dice and IoU, categorical accuracy on common tissue, symmetric boundary distance, boundary F1 at 32, 64 and 128 native pixels, boundary-length ratio and angular geometry. The selected constants may overfit this specimen and should be confirmed without adjustment on independent tissue types, staining conditions and scanners.</w:t>
      </w:r>
    </w:p>
    <w:p>
      <w:pPr>
        <w:pStyle w:val="Heading1"/>
        <w:jc w:val="left"/>
      </w:pPr>
      <w:r>
        <w:t>Supplementary Note 19 |</w:t>
        <w:br/>
        <w:t>Abstention-minimizing automatic cluster selection</w:t>
      </w:r>
    </w:p>
    <w:p>
      <w:pPr/>
      <w:r>
        <w:t>Automatic Leiden selection evaluates the declared resolution grid on a paired landmark graph. Every candidate uses the same sampled landmarks and all-cell nearest-neighbour indices, and Leiden is repeated over the configured seeds. An observation is predicted to abstain when its landmark-vote margin is below cluster_assignment_min_vote_margin, its aligned membership frequency is below cluster_stability_min_fraction, or both. Candidates producing fewer than two communities or exceeding the adaptive cluster-count cap are ineligible. Among eligible candidates, cluster_auto_selection=minimum_abstention chooses the smallest predicted abstained population. Ties are resolved by higher mean and minimum adjusted Rand index, lower tiny-cluster fraction and count, higher silhouette and modularity, and finally fewer clusters. The historical quality-score rule remains available through cluster_auto_selection=quality_score.</w:t>
      </w:r>
    </w:p>
    <w:p>
      <w:pPr/>
      <w:r>
        <w:t>The selected resolution is frozen before the final stability analysis, which independently resamples landmarks across seeds. This prevents stability estimates from conflating partition instability with repeated changes in the selected resolution. The clustering folder contains &lt;sample&gt;_&lt;variant&gt;_cluster_resolution_candidates.csv with resolution, cluster counts, silhouette, modularity, tiny-cluster burden, eligibility, predicted ambiguous and unstable counts, predicted abstention fraction, candidate mean and minimum adjusted Rand index, and the selected indicator. Minimizing abstention is an engineering selection rule and does not establish biological validity; cluster interpretation still requires spatial coherence, histology, measured markers or independent annotations.</w:t>
      </w:r>
    </w:p>
    <w:p>
      <w:pPr>
        <w:pStyle w:val="Heading1"/>
        <w:keepNext/>
      </w:pPr>
      <w:r>
        <w:rPr>
          <w:color w:val="000000"/>
        </w:rPr>
        <w:t>Supplementary reporting checklist</w:t>
      </w:r>
    </w:p>
    <w:p>
      <w:pPr/>
      <w:r>
        <w:rPr>
          <w:rFonts w:ascii="Calibri" w:hAnsi="Calibri" w:eastAsia="Calibri"/>
          <w:color w:val="1F2937"/>
          <w:sz w:val="22"/>
        </w:rPr>
        <w:t>Before submission, record the tagged Git commit, immutable container digest, model checkpoint checksums, complete parameter file, operating system, Nextflow version, GPU model and driver, stage trace, output manifest with stable IDs, data DOI, author-specific CRediT roles and funding identifiers. Archive the exact figure-generation scripts and source data for every plotted value.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6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B6675"/>
        <w:sz w:val="16"/>
      </w:rPr>
      <w:t>CellPhenotyper | 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before="100" w:after="180"/>
      <w:jc w:val="left"/>
    </w:pPr>
    <w:rPr>
      <w:rFonts w:ascii="Calibri" w:hAnsi="Calibri"/>
      <w:b/>
      <w:bCs/>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240" w:line="288" w:lineRule="auto"/>
      <w:jc w:val="both"/>
    </w:pPr>
    <w:rPr>
      <w:rFonts w:ascii="Calibri" w:hAnsi="Calibri"/>
      <w:color w:val="1F2937"/>
      <w:sz w:val="21"/>
    </w:rPr>
  </w:style>
  <w:style w:type="paragraph" w:customStyle="1" w:styleId="Affiliation">
    <w:name w:val="Affiliation"/>
    <w:pPr>
      <w:spacing w:after="40" w:line="252" w:lineRule="auto"/>
    </w:pPr>
    <w:rPr>
      <w:rFonts w:ascii="Calibri" w:hAnsi="Calibri"/>
      <w:color w:val="5B6675"/>
      <w:sz w:val="17"/>
    </w:rPr>
  </w:style>
  <w:style w:type="paragraph" w:customStyle="1" w:styleId="Reference">
    <w:name w:val="Reference"/>
    <w:pPr>
      <w:spacing w:after="40" w:line="259" w:lineRule="auto"/>
    </w:pPr>
    <w:rPr>
      <w:rFonts w:ascii="Calibri" w:hAnsi="Calibri"/>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CellPhenotyper supplementary methods and validation plan</dc:title>
  <dc:subject>Nature Methods Supplementary Information</dc:subject>
  <dc:creator>CellPhenotyper Consortium</dc:creator>
  <cp:keywords>GrandQC; consensus segmentation; GPU scheduling; MedSAM; reproducible workflow</cp:keywords>
  <dc:description>Implementation revision dated 2026-09-02. The technical ROI route completed; scientific validation experiments remain explicitly identified as not completed.</dc:description>
  <cp:lastModifiedBy/>
  <cp:revision>2</cp:revision>
  <dcterms:created xsi:type="dcterms:W3CDTF">2013-12-23T23:15:00Z</dcterms:created>
  <dcterms:modified xsi:type="dcterms:W3CDTF">2026-09-15T00:00:00Z</dcterms:modified>
  <cp:category/>
</cp:coreProperties>
</file>