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A56" w14:textId="77777777" w:rsidR="007D0F75" w:rsidRDefault="007D0F75">
      <w:pPr>
        <w:jc w:val="both"/>
        <w:rPr>
          <w:rFonts w:ascii="Times New Roman" w:eastAsia="Times New Roman" w:hAnsi="Times New Roman" w:cs="Times New Roman"/>
          <w:b/>
          <w:bCs/>
          <w:sz w:val="24"/>
          <w:szCs w:val="24"/>
        </w:rPr>
      </w:pPr>
    </w:p>
    <w:p w14:paraId="46CCBC02" w14:textId="77777777" w:rsidR="007D0F75" w:rsidRDefault="00000000">
      <w:pPr>
        <w:rPr>
          <w:rFonts w:ascii="Times New Roman" w:eastAsia="Times New Roman" w:hAnsi="Times New Roman" w:cs="Times New Roman"/>
          <w:sz w:val="24"/>
          <w:szCs w:val="24"/>
        </w:rPr>
      </w:pPr>
      <w:r>
        <w:rPr>
          <w:rFonts w:ascii="Times New Roman" w:hAnsi="Times New Roman"/>
          <w:b/>
          <w:sz w:val="24"/>
        </w:rPr>
        <w:t>CELLPHENOTYPER:</w:t>
      </w:r>
      <w:r>
        <w:rPr>
          <w:rFonts w:ascii="Times New Roman" w:hAnsi="Times New Roman"/>
          <w:sz w:val="24"/>
        </w:rPr>
        <w:t xml:space="preserve"> a computational pipeline for cellular-level analysis of whole-slide histology images</w:t>
      </w:r>
    </w:p>
    <w:p w14:paraId="37556D3F" w14:textId="77777777" w:rsidR="007D0F75" w:rsidRDefault="00000000">
      <w:pPr>
        <w:rPr>
          <w:rFonts w:ascii="Times New Roman" w:eastAsia="Times New Roman" w:hAnsi="Times New Roman" w:cs="Times New Roman"/>
          <w:sz w:val="24"/>
          <w:szCs w:val="24"/>
          <w:vertAlign w:val="superscript"/>
        </w:rPr>
      </w:pPr>
      <w:r>
        <w:rPr>
          <w:rFonts w:ascii="Times New Roman" w:hAnsi="Times New Roman"/>
          <w:sz w:val="24"/>
        </w:rPr>
        <w:t>Martin Ocharo</w:t>
      </w:r>
      <w:r>
        <w:rPr>
          <w:rFonts w:ascii="Times New Roman" w:hAnsi="Times New Roman"/>
          <w:sz w:val="24"/>
          <w:vertAlign w:val="superscript"/>
        </w:rPr>
        <w:t>1,2</w:t>
      </w:r>
      <w:r>
        <w:rPr>
          <w:rFonts w:ascii="Times New Roman" w:hAnsi="Times New Roman"/>
          <w:sz w:val="24"/>
        </w:rPr>
        <w:t>, Moussa Kassim</w:t>
      </w:r>
      <w:r>
        <w:rPr>
          <w:rFonts w:ascii="Times New Roman" w:hAnsi="Times New Roman"/>
          <w:sz w:val="24"/>
          <w:vertAlign w:val="superscript"/>
        </w:rPr>
        <w:t>1,2</w:t>
      </w:r>
      <w:r>
        <w:rPr>
          <w:rFonts w:ascii="Times New Roman" w:hAnsi="Times New Roman"/>
          <w:sz w:val="24"/>
        </w:rPr>
        <w:t>, Dalia Ahmed</w:t>
      </w:r>
      <w:r>
        <w:rPr>
          <w:rFonts w:ascii="Times New Roman" w:hAnsi="Times New Roman"/>
          <w:sz w:val="24"/>
          <w:vertAlign w:val="superscript"/>
        </w:rPr>
        <w:t>1,3</w:t>
      </w:r>
      <w:r>
        <w:rPr>
          <w:rFonts w:ascii="Times New Roman" w:hAnsi="Times New Roman"/>
          <w:sz w:val="24"/>
        </w:rPr>
        <w:t>, Alessia Vignoli</w:t>
      </w:r>
      <w:r>
        <w:rPr>
          <w:rFonts w:ascii="Times New Roman" w:hAnsi="Times New Roman"/>
          <w:sz w:val="24"/>
          <w:vertAlign w:val="superscript"/>
        </w:rPr>
        <w:t>4,5</w:t>
      </w:r>
      <w:r>
        <w:rPr>
          <w:rFonts w:ascii="Times New Roman" w:hAnsi="Times New Roman"/>
          <w:sz w:val="24"/>
        </w:rPr>
        <w:t>, Aashish Kumar</w:t>
      </w:r>
      <w:r>
        <w:rPr>
          <w:rFonts w:ascii="Times New Roman" w:hAnsi="Times New Roman"/>
          <w:sz w:val="24"/>
          <w:vertAlign w:val="superscript"/>
        </w:rPr>
        <w:t>6</w:t>
      </w:r>
      <w:r>
        <w:rPr>
          <w:rFonts w:ascii="Times New Roman" w:hAnsi="Times New Roman"/>
          <w:sz w:val="24"/>
        </w:rPr>
        <w:t>, Giulia Canarutto</w:t>
      </w:r>
      <w:r>
        <w:rPr>
          <w:rFonts w:ascii="Times New Roman" w:hAnsi="Times New Roman"/>
          <w:sz w:val="24"/>
          <w:vertAlign w:val="superscript"/>
        </w:rPr>
        <w:t>7</w:t>
      </w:r>
      <w:r>
        <w:rPr>
          <w:rFonts w:ascii="Times New Roman" w:hAnsi="Times New Roman"/>
          <w:sz w:val="24"/>
        </w:rPr>
        <w:t>, Brendon Price</w:t>
      </w:r>
      <w:r>
        <w:rPr>
          <w:rFonts w:ascii="Times New Roman" w:hAnsi="Times New Roman"/>
          <w:sz w:val="24"/>
          <w:vertAlign w:val="superscript"/>
        </w:rPr>
        <w:t>8</w:t>
      </w:r>
      <w:r>
        <w:rPr>
          <w:rFonts w:ascii="Times New Roman" w:hAnsi="Times New Roman"/>
          <w:sz w:val="24"/>
        </w:rPr>
        <w:t>, Shweta Sbirla</w:t>
      </w:r>
      <w:r>
        <w:rPr>
          <w:rFonts w:ascii="Times New Roman" w:hAnsi="Times New Roman"/>
          <w:sz w:val="24"/>
          <w:vertAlign w:val="superscript"/>
        </w:rPr>
        <w:t>6</w:t>
      </w:r>
      <w:r>
        <w:rPr>
          <w:rFonts w:ascii="Times New Roman" w:hAnsi="Times New Roman"/>
          <w:sz w:val="24"/>
        </w:rPr>
        <w:t>, Leonardo Tenori</w:t>
      </w:r>
      <w:r>
        <w:rPr>
          <w:rFonts w:ascii="Times New Roman" w:hAnsi="Times New Roman"/>
          <w:sz w:val="24"/>
          <w:vertAlign w:val="superscript"/>
        </w:rPr>
        <w:t>4,5</w:t>
      </w:r>
      <w:r>
        <w:rPr>
          <w:rFonts w:ascii="Times New Roman" w:hAnsi="Times New Roman"/>
          <w:sz w:val="24"/>
        </w:rPr>
        <w:t>, Silvano Piazza</w:t>
      </w:r>
      <w:r>
        <w:rPr>
          <w:rFonts w:ascii="Times New Roman" w:hAnsi="Times New Roman"/>
          <w:sz w:val="24"/>
          <w:vertAlign w:val="superscript"/>
        </w:rPr>
        <w:t>7,9</w:t>
      </w:r>
      <w:r>
        <w:rPr>
          <w:rFonts w:ascii="Times New Roman" w:hAnsi="Times New Roman"/>
          <w:sz w:val="24"/>
        </w:rPr>
        <w:t>, Dinesh Gupta</w:t>
      </w:r>
      <w:r>
        <w:rPr>
          <w:rFonts w:ascii="Times New Roman" w:hAnsi="Times New Roman"/>
          <w:sz w:val="24"/>
          <w:vertAlign w:val="superscript"/>
        </w:rPr>
        <w:t>6</w:t>
      </w:r>
      <w:r>
        <w:rPr>
          <w:rFonts w:ascii="Times New Roman" w:hAnsi="Times New Roman"/>
          <w:sz w:val="24"/>
        </w:rPr>
        <w:t>, Ekene Emmanuel Nweke</w:t>
      </w:r>
      <w:r>
        <w:rPr>
          <w:rFonts w:ascii="Times New Roman" w:hAnsi="Times New Roman"/>
          <w:sz w:val="24"/>
          <w:vertAlign w:val="superscript"/>
        </w:rPr>
        <w:t>10</w:t>
      </w:r>
      <w:r>
        <w:rPr>
          <w:rFonts w:ascii="Times New Roman" w:hAnsi="Times New Roman"/>
          <w:sz w:val="24"/>
        </w:rPr>
        <w:t>, Stefano Cacciatore</w:t>
      </w:r>
      <w:r>
        <w:rPr>
          <w:rFonts w:ascii="Times New Roman" w:hAnsi="Times New Roman"/>
          <w:sz w:val="24"/>
          <w:vertAlign w:val="superscript"/>
        </w:rPr>
        <w:t>1,2</w:t>
      </w:r>
    </w:p>
    <w:p w14:paraId="634CDF87" w14:textId="77777777" w:rsidR="007D0F75" w:rsidRDefault="007D0F75">
      <w:pPr>
        <w:spacing w:after="60"/>
        <w:jc w:val="both"/>
        <w:rPr>
          <w:rFonts w:ascii="Times New Roman" w:eastAsia="Times New Roman" w:hAnsi="Times New Roman" w:cs="Times New Roman"/>
          <w:color w:val="000000"/>
          <w:sz w:val="24"/>
          <w:szCs w:val="24"/>
        </w:rPr>
      </w:pPr>
    </w:p>
    <w:p w14:paraId="17282F7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Bioinformatics Unit, International Centre for Genetic Engineering and Biotechnology, Cape Town 7925, Western Cape, South Africa.</w:t>
      </w:r>
    </w:p>
    <w:p w14:paraId="7BB2820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Department of Integrative Biomedical Sciences, Institute of Infectious Disease &amp; Molecular Medicine (IDM), University of Cape Town, Cape Town 7925, South Africa.</w:t>
      </w:r>
    </w:p>
    <w:p w14:paraId="0A337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Histopathology and Cytology Department, Faculty of Medical Laboratory Science, Omdurman Ahlia University, Omdurman, Sudan.</w:t>
      </w:r>
    </w:p>
    <w:p w14:paraId="72CAF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4</w:t>
      </w:r>
      <w:r>
        <w:rPr>
          <w:rFonts w:ascii="Times New Roman" w:eastAsia="Times New Roman" w:hAnsi="Times New Roman" w:cs="Times New Roman"/>
          <w:color w:val="000000"/>
          <w:sz w:val="24"/>
          <w:szCs w:val="24"/>
        </w:rPr>
        <w:t xml:space="preserve"> Department of Chemistry "Ugo Schiff", University of Florence, Sesto Fiorentino, Italy.</w:t>
      </w:r>
    </w:p>
    <w:p w14:paraId="6ED4BD70"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Magnetic Resonance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(CERM), University of Florence, Sesto Fiorentino, Italy.</w:t>
      </w:r>
    </w:p>
    <w:p w14:paraId="72745CE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Translational Bioinformatics Group, International Centre for Genetic Engineering and Biotechnology, New Delhi, India.</w:t>
      </w:r>
    </w:p>
    <w:p w14:paraId="751D2DC9"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Computational Biology Group, International Centre for Genetic Engineering and Biotechnology (ICGEB), Trieste, Italy</w:t>
      </w:r>
    </w:p>
    <w:p w14:paraId="7B725B7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Division of Anatomical Pathology, University of Cape Town and National Health Laboratory Service, Observatory, Cape Town, South Africa</w:t>
      </w:r>
    </w:p>
    <w:p w14:paraId="6D2B261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Bioinformatics Facility, Department of Cellular, Computational and Integrative Biology - CIBIO, University of Trento, Trento, Italy</w:t>
      </w:r>
    </w:p>
    <w:p>
      <w:pPr>
        <w:keepNext/>
        <w:spacing w:after="60"/>
        <w:jc w:val="both"/>
        <w:rPr>
          <w:rFonts w:ascii="Times New Roman" w:eastAsia="Times New Roman" w:hAnsi="Times New Roman" w:cs="Times New Roman"/>
          <w:color w:val="000000"/>
          <w:sz w:val="24"/>
          <w:szCs w:val="24"/>
        </w:rPr>
      </w:pPr>
      <w:r>
        <w:rPr>
          <w:rFonts w:ascii="Times New Roman" w:hAnsi="Times New Roman"/>
          <w:sz w:val="24"/>
          <w:vertAlign w:val="superscript"/>
        </w:rPr>
        <w:t>10</w:t>
      </w:r>
      <w:r>
        <w:rPr>
          <w:rFonts w:ascii="Times New Roman" w:hAnsi="Times New Roman"/>
          <w:sz w:val="24"/>
        </w:rPr>
        <w:t xml:space="preserve"> Department of Surgery, School of Clinical Medicine, Faculty of Health Sciences, University of the Witwatersrand, Johannesburg, Gauteng, South Africa.</w:t>
      </w:r>
    </w:p>
    <w:p w14:paraId="2B62108F" w14:textId="77777777" w:rsidR="007D0F75" w:rsidRDefault="007D0F75">
      <w:pPr>
        <w:jc w:val="both"/>
        <w:rPr>
          <w:rFonts w:ascii="Times New Roman" w:eastAsia="Times New Roman" w:hAnsi="Times New Roman" w:cs="Times New Roman"/>
          <w:b/>
          <w:bCs/>
          <w:sz w:val="24"/>
          <w:szCs w:val="24"/>
        </w:rPr>
      </w:pPr>
    </w:p>
    <w:p w14:paraId="6C2218AF" w14:textId="77777777" w:rsidR="007D0F75" w:rsidRDefault="007D0F75">
      <w:pPr>
        <w:jc w:val="both"/>
        <w:rPr>
          <w:rFonts w:ascii="Times New Roman" w:eastAsia="Times New Roman" w:hAnsi="Times New Roman" w:cs="Times New Roman"/>
          <w:b/>
          <w:bCs/>
          <w:sz w:val="24"/>
          <w:szCs w:val="24"/>
        </w:rPr>
      </w:pPr>
      <w:r>
        <w:rPr>
          <w:rFonts w:ascii="Times New Roman" w:hAnsi="Times New Roman"/>
          <w:b/>
          <w:sz w:val="24"/>
        </w:rPr>
        <w:t>Routine H&amp;E whole-slide imaging captures rich cellular and tissue architecture, but reproducible transformation of gigapixel histology into spatial single-cell data remains challenging. Here, we present CellPhenotyper, a modular Nextflow pipeline integrating artifact-aware quality control, three-model consensus cell identification, tissue-microarray-aware assignment, virtual-marker inference, paired spatial-grid morphology embeddings, scalable unsupervised phenotyping and anatomically guided tissue refinement. CellPhenotyper combines GrandQC, StarDist, HoVer-Net MoNuSAC, CellViT++, GigaTIME, UNI-2, KODAMA, Leiden clustering and MedSAM in containerized, hardware-aware workflows. After final tissue-compartment vectorization, the pipeline selects the connected section containing the largest number of CellViT++-identified neoplastic consensus cells, derives a 768-dimensional section representation with TITAN and CONCH, and supplies it to cancer-specific PathoFMPred models. The workflow produces traceable cell masks, named cell types, virtual-marker measurements, learned representations, phenotype assignments, refined tissue compartments and section-level molecular predictions from routine H&amp;E images.</w:t>
      </w:r>
    </w:p>
    <w:p w14:paraId="169E9AC3" w14:textId="05EB8A4E" w:rsidR="001200BD" w:rsidRDefault="00FD5E37" w:rsidP="00FD5E37">
      <w:pPr>
        <w:spacing w:before="240" w:after="240"/>
        <w:jc w:val="both"/>
        <w:rPr>
          <w:rFonts w:ascii="Times New Roman" w:eastAsia="Times New Roman" w:hAnsi="Times New Roman" w:cs="Times New Roman"/>
          <w:sz w:val="24"/>
          <w:szCs w:val="24"/>
        </w:rPr>
      </w:pPr>
      <w:proofErr w:type="spellStart"/>
      <w:r w:rsidRPr="00FD5E37">
        <w:rPr>
          <w:rFonts w:ascii="Times New Roman" w:eastAsia="Times New Roman" w:hAnsi="Times New Roman" w:cs="Times New Roman"/>
          <w:sz w:val="24"/>
          <w:szCs w:val="24"/>
        </w:rPr>
        <w:t>Hematoxylin</w:t>
      </w:r>
      <w:proofErr w:type="spellEnd"/>
      <w:r w:rsidRPr="00FD5E37">
        <w:rPr>
          <w:rFonts w:ascii="Times New Roman" w:eastAsia="Times New Roman" w:hAnsi="Times New Roman" w:cs="Times New Roman"/>
          <w:sz w:val="24"/>
          <w:szCs w:val="24"/>
        </w:rPr>
        <w:t xml:space="preserve"> and eosin (H&amp;E) staining remains the first-line investigation in diagnostic histopathology. As the most widely used technique in histopathology, </w:t>
      </w:r>
      <w:proofErr w:type="spellStart"/>
      <w:r w:rsidR="001200BD">
        <w:rPr>
          <w:rFonts w:ascii="Times New Roman" w:eastAsia="Times New Roman" w:hAnsi="Times New Roman" w:cs="Times New Roman"/>
          <w:sz w:val="24"/>
          <w:szCs w:val="24"/>
        </w:rPr>
        <w:t>h</w:t>
      </w:r>
      <w:r w:rsidR="001200BD" w:rsidRPr="00FD5E37">
        <w:rPr>
          <w:rFonts w:ascii="Times New Roman" w:eastAsia="Times New Roman" w:hAnsi="Times New Roman" w:cs="Times New Roman"/>
          <w:sz w:val="24"/>
          <w:szCs w:val="24"/>
        </w:rPr>
        <w:t>ematoxylin</w:t>
      </w:r>
      <w:proofErr w:type="spellEnd"/>
      <w:r w:rsidR="001200BD" w:rsidRPr="00FD5E37">
        <w:rPr>
          <w:rFonts w:ascii="Times New Roman" w:eastAsia="Times New Roman" w:hAnsi="Times New Roman" w:cs="Times New Roman"/>
          <w:sz w:val="24"/>
          <w:szCs w:val="24"/>
        </w:rPr>
        <w:t xml:space="preserve"> </w:t>
      </w:r>
      <w:r w:rsidR="001200BD">
        <w:rPr>
          <w:rFonts w:ascii="Times New Roman" w:eastAsia="Times New Roman" w:hAnsi="Times New Roman" w:cs="Times New Roman"/>
          <w:sz w:val="24"/>
          <w:szCs w:val="24"/>
        </w:rPr>
        <w:t xml:space="preserve">binds specifically to nuclei, providing clear visualization, while eosin provides high contrast for the cytoplasm, extracellular matrix, and tissue architecture, enabling assessment of cellular morphology, stromal organization, necrosis, glandular structure, and </w:t>
      </w:r>
      <w:proofErr w:type="spellStart"/>
      <w:r w:rsidR="001200BD">
        <w:rPr>
          <w:rFonts w:ascii="Times New Roman" w:eastAsia="Times New Roman" w:hAnsi="Times New Roman" w:cs="Times New Roman"/>
          <w:sz w:val="24"/>
          <w:szCs w:val="24"/>
        </w:rPr>
        <w:t>tumor</w:t>
      </w:r>
      <w:proofErr w:type="spellEnd"/>
      <w:r w:rsidR="001200BD">
        <w:rPr>
          <w:rFonts w:ascii="Times New Roman" w:eastAsia="Times New Roman" w:hAnsi="Times New Roman" w:cs="Times New Roman"/>
          <w:sz w:val="24"/>
          <w:szCs w:val="24"/>
        </w:rPr>
        <w:t>-associated</w:t>
      </w:r>
      <w:r w:rsidRPr="00FD5E37">
        <w:rPr>
          <w:rFonts w:ascii="Times New Roman" w:eastAsia="Times New Roman" w:hAnsi="Times New Roman" w:cs="Times New Roman"/>
          <w:sz w:val="24"/>
          <w:szCs w:val="24"/>
        </w:rPr>
        <w:t xml:space="preserve"> architectural patterns </w: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[1-3]</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 Its routine clinical use, low cost, rapid processing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compatibility with whole-slide digitization have made </w:t>
      </w:r>
      <w:r w:rsidR="001200BD">
        <w:rPr>
          <w:rFonts w:ascii="Times New Roman" w:eastAsia="Times New Roman" w:hAnsi="Times New Roman" w:cs="Times New Roman"/>
          <w:sz w:val="24"/>
          <w:szCs w:val="24"/>
        </w:rPr>
        <w:t>H&amp;E-stained</w:t>
      </w:r>
      <w:r w:rsidRPr="00FD5E37">
        <w:rPr>
          <w:rFonts w:ascii="Times New Roman" w:eastAsia="Times New Roman" w:hAnsi="Times New Roman" w:cs="Times New Roman"/>
          <w:sz w:val="24"/>
          <w:szCs w:val="24"/>
        </w:rPr>
        <w:t xml:space="preserve"> whole-slide images (WSIs) the principal substrate for large-scale quantitative pathology. In this context, H&amp;E WSIs provide both the diagnostic morphological reference and the image basis for downstream computational </w:t>
      </w:r>
      <w:r w:rsidRPr="00FD5E37">
        <w:rPr>
          <w:rFonts w:ascii="Times New Roman" w:eastAsia="Times New Roman" w:hAnsi="Times New Roman" w:cs="Times New Roman"/>
          <w:sz w:val="24"/>
          <w:szCs w:val="24"/>
        </w:rPr>
        <w:lastRenderedPageBreak/>
        <w:t>workflows, including tissue annotation, nuclear segmentation, cell-level feature extraction, representation learning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spatial phenotyping </w: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[2-6]</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w:t>
      </w:r>
    </w:p>
    <w:p w14:paraId="0F830933" w14:textId="7FCA80B9" w:rsidR="00C50959" w:rsidRPr="00FD5E37" w:rsidRDefault="00C50959" w:rsidP="00FD5E37">
      <w:pPr>
        <w:spacing w:before="240" w:after="240"/>
        <w:jc w:val="both"/>
        <w:rPr>
          <w:rFonts w:ascii="Times New Roman" w:eastAsia="Times New Roman" w:hAnsi="Times New Roman" w:cs="Times New Roman"/>
          <w:sz w:val="24"/>
          <w:szCs w:val="24"/>
        </w:rPr>
      </w:pPr>
      <w:r w:rsidRPr="00C50959">
        <w:rPr>
          <w:rFonts w:ascii="Times New Roman" w:eastAsia="Times New Roman" w:hAnsi="Times New Roman" w:cs="Times New Roman"/>
          <w:sz w:val="24"/>
          <w:szCs w:val="24"/>
        </w:rPr>
        <w:t>Despite their clinical ubiquity and biological richness, routine H&amp;E whole-slide images remain difficult to convert into scalable, reproducible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spatially resolved tissue representations</w:t>
      </w:r>
      <w:r w:rsidR="00CC1F3F">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CC1F3F">
        <w:rPr>
          <w:rFonts w:ascii="Times New Roman" w:eastAsia="Times New Roman" w:hAnsi="Times New Roman" w:cs="Times New Roman"/>
          <w:sz w:val="24"/>
          <w:szCs w:val="24"/>
        </w:rPr>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[7-10]</w:t>
      </w:r>
      <w:r w:rsidR="00CC1F3F">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First, H&amp;E WSIs are gigapixel-scale images</w:t>
      </w:r>
      <w:r>
        <w:rPr>
          <w:rFonts w:ascii="Times New Roman" w:eastAsia="Times New Roman" w:hAnsi="Times New Roman" w:cs="Times New Roman"/>
          <w:sz w:val="24"/>
          <w:szCs w:val="24"/>
        </w:rPr>
        <w:t xml:space="preserve"> that require</w:t>
      </w:r>
      <w:r w:rsidRPr="00C50959">
        <w:rPr>
          <w:rFonts w:ascii="Times New Roman" w:eastAsia="Times New Roman" w:hAnsi="Times New Roman" w:cs="Times New Roman"/>
          <w:sz w:val="24"/>
          <w:szCs w:val="24"/>
        </w:rPr>
        <w:t xml:space="preserve"> efficient data handling, multiscale access, tiled processing</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reconstruction of outputs in the original slide coordinate space</w:t>
      </w:r>
      <w:r w:rsidR="00CC1F3F">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&lt;EndNote&gt;&lt;Cite&gt;&lt;Author&gt;Tellez&lt;/Author&gt;&lt;Year&gt;2018&lt;/Year&gt;&lt;RecNum&gt;28&lt;/RecNum&gt;&lt;DisplayText&gt;[8, 11]&lt;/DisplayText&gt;&lt;record&gt;&lt;rec-number&gt;28&lt;/rec-number&gt;&lt;foreign-keys&gt;&lt;key app="EN" db-id="rt02ferdmf02z1e0wxpp2fd8awf22fdt2xdp" timestamp="1778239471"&gt;28&lt;/key&gt;&lt;/foreign-keys&gt;&lt;ref-type name="Journal Article"&gt;17&lt;/ref-type&gt;&lt;contributors&gt;&lt;authors&gt;&lt;author&gt;Tellez, David&lt;/author&gt;&lt;author&gt;Balkenhol, Maschenka&lt;/author&gt;&lt;author&gt;Otte-Holler, Irene&lt;/author&gt;&lt;author&gt;van de Loo, Rob&lt;/author&gt;&lt;author&gt;Vogels, Rutger&lt;/author&gt;&lt;author&gt;Bult, Peter&lt;/author&gt;&lt;author&gt;Wauters, Cynthia&lt;/author&gt;&lt;author&gt;Vreuls, Wouter&lt;/author&gt;&lt;author&gt;Mol, Sarah&lt;/author&gt;&lt;author&gt;Karssemeijer, Nico&lt;/author&gt;&lt;author&gt;van der Laak, Jeroen&lt;/author&gt;&lt;/authors&gt;&lt;/contributors&gt;&lt;titles&gt;&lt;title&gt;Whole-slide mitosis detection in H&amp;amp;E breast histology using PHH3 as a reference&lt;/title&gt;&lt;secondary-title&gt;IEEE Transactions on Medical Imaging&lt;/secondary-title&gt;&lt;/titles&gt;&lt;periodical&gt;&lt;full-title&gt;IEEE Transactions on Medical Imaging&lt;/full-title&gt;&lt;/periodical&gt;&lt;pages&gt;2126-2136&lt;/pages&gt;&lt;volume&gt;37&lt;/volume&gt;&lt;number&gt;9&lt;/number&gt;&lt;dates&gt;&lt;year&gt;2018&lt;/year&gt;&lt;/dates&gt;&lt;urls&gt;&lt;related-urls&gt;&lt;url&gt;https://doi.org/10.1109/TMI.2018.2820199&lt;/url&gt;&lt;/related-urls&gt;&lt;/urls&gt;&lt;electronic-resource-num&gt;10.1109/tmi.2018.2820199&lt;/electronic-resource-num&gt;&lt;/record&gt;&lt;/Cite&gt;&lt;Cite&gt;&lt;Author&gt;Dimitriou&lt;/Author&gt;&lt;Year&gt;2024&lt;/Year&gt;&lt;RecNum&gt;35&lt;/RecNum&gt;&lt;record&gt;&lt;rec-number&gt;35&lt;/rec-number&gt;&lt;foreign-keys&gt;&lt;key app="EN" db-id="rt02ferdmf02z1e0wxpp2fd8awf22fdt2xdp" timestamp="1778584093"&gt;35&lt;/key&gt;&lt;/foreign-keys&gt;&lt;ref-type name="Journal Article"&gt;17&lt;/ref-type&gt;&lt;contributors&gt;&lt;authors&gt;&lt;author&gt;Dimitriou, Neofytos&lt;/author&gt;&lt;author&gt;Arandjelović, Ognjen&lt;/author&gt;&lt;author&gt;Harrison, David J&lt;/author&gt;&lt;/authors&gt;&lt;/contributors&gt;&lt;titles&gt;&lt;title&gt;Magnifying networks for histopathological images with billions of pixels&lt;/title&gt;&lt;secondary-title&gt;Diagnostics&lt;/secondary-title&gt;&lt;/titles&gt;&lt;periodical&gt;&lt;full-title&gt;Diagnostics&lt;/full-title&gt;&lt;/periodical&gt;&lt;pages&gt;524&lt;/pages&gt;&lt;volume&gt;14&lt;/volume&gt;&lt;number&gt;5&lt;/number&gt;&lt;dates&gt;&lt;year&gt;2024&lt;/year&gt;&lt;/dates&gt;&lt;isbn&gt;2075-4418&lt;/isbn&gt;&lt;urls&gt;&lt;/urls&gt;&lt;/record&gt;&lt;/Cite&gt;&lt;/EndNote&gt;</w:instrText>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[8, 11]</w:t>
      </w:r>
      <w:r w:rsidR="00CC1F3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Second, they encode complex tissue information across multiple spatial scales, from nuclear morphology and cellular organization to extracellular matrix, glands, vessels, inflammation, necrosis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broader tissue architecture, with these features varying within and between sections </w:t>
      </w:r>
      <w:r>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 </w:instrText>
      </w:r>
      <w:r w:rsidR="001765D8">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EN.CITE.DATA </w:instrText>
      </w:r>
      <w:r w:rsidR="001765D8">
        <w:rPr>
          <w:rFonts w:ascii="Times New Roman" w:eastAsia="Times New Roman" w:hAnsi="Times New Roman" w:cs="Times New Roman"/>
        </w:rPr>
      </w:r>
      <w:r w:rsidR="001765D8">
        <w:rPr>
          <w:rFonts w:ascii="Times New Roman" w:eastAsia="Times New Roman" w:hAnsi="Times New Roman" w:cs="Times New Roman"/>
        </w:rPr>
        <w:fldChar w:fldCharType="end"/>
      </w:r>
      <w:r>
        <w:rPr>
          <w:rFonts w:ascii="Times New Roman" w:eastAsia="Times New Roman" w:hAnsi="Times New Roman" w:cs="Times New Roman"/>
        </w:rPr>
      </w:r>
      <w:r>
        <w:rPr>
          <w:rFonts w:ascii="Times New Roman" w:eastAsia="Times New Roman" w:hAnsi="Times New Roman" w:cs="Times New Roman"/>
        </w:rPr>
        <w:fldChar w:fldCharType="separate"/>
      </w:r>
      <w:r w:rsidR="001765D8">
        <w:rPr>
          <w:rFonts w:ascii="Times New Roman" w:eastAsia="Times New Roman" w:hAnsi="Times New Roman" w:cs="Times New Roman"/>
          <w:noProof/>
        </w:rPr>
        <w:t>[6, 7, 12]</w:t>
      </w:r>
      <w:r>
        <w:rPr>
          <w:rFonts w:ascii="Times New Roman" w:eastAsia="Times New Roman" w:hAnsi="Times New Roman" w:cs="Times New Roman"/>
        </w:rPr>
        <w:fldChar w:fldCharType="end"/>
      </w:r>
      <w:r w:rsidRPr="00C50959">
        <w:rPr>
          <w:rFonts w:ascii="Times New Roman" w:eastAsia="Times New Roman" w:hAnsi="Times New Roman" w:cs="Times New Roman"/>
          <w:sz w:val="24"/>
          <w:szCs w:val="24"/>
        </w:rPr>
        <w:t>. Third, although H&amp;E captures rich morphological information, it has limited molecular specificity and does not directly measure protein expression, gene expression</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or functional cell states</w:t>
      </w:r>
      <w:r w:rsidR="00204639">
        <w:rPr>
          <w:rFonts w:ascii="Times New Roman" w:eastAsia="Times New Roman" w:hAnsi="Times New Roman" w:cs="Times New Roman"/>
          <w:sz w:val="24"/>
          <w:szCs w:val="24"/>
        </w:rPr>
        <w:fldChar w:fldCharType="begin"/>
      </w:r>
      <w:r w:rsidR="00204639">
        <w:rPr>
          <w:rFonts w:ascii="Times New Roman" w:eastAsia="Times New Roman" w:hAnsi="Times New Roman" w:cs="Times New Roman"/>
          <w:sz w:val="24"/>
          <w:szCs w:val="24"/>
        </w:rPr>
        <w:instrText xml:space="preserve"> ADDIN EN.CITE &lt;EndNote&gt;&lt;Cite&gt;&lt;Author&gt;Wu&lt;/Author&gt;&lt;Year&gt;2025&lt;/Year&gt;&lt;RecNum&gt;36&lt;/RecNum&gt;&lt;DisplayText&gt;[13, 14]&lt;/DisplayText&gt;&lt;record&gt;&lt;rec-number&gt;36&lt;/rec-number&gt;&lt;foreign-keys&gt;&lt;key app="EN" db-id="rt02ferdmf02z1e0wxpp2fd8awf22fdt2xdp" timestamp="1778668162"&gt;36&lt;/key&gt;&lt;/foreign-keys&gt;&lt;ref-type name="Journal Article"&gt;17&lt;/ref-type&gt;&lt;contributors&gt;&lt;authors&gt;&lt;author&gt;Wu, Eric&lt;/author&gt;&lt;author&gt;Bieniosek, Matthew&lt;/author&gt;&lt;author&gt;Wu, Zhenqin&lt;/author&gt;&lt;author&gt;Thakkar, Nitya&lt;/author&gt;&lt;author&gt;Charville, Gregory W&lt;/author&gt;&lt;author&gt;Makky, Ahmad&lt;/author&gt;&lt;author&gt;Schürch, Christian M&lt;/author&gt;&lt;author&gt;Huyghe, Jeroen R&lt;/author&gt;&lt;author&gt;Peters, Ulrike&lt;/author&gt;&lt;author&gt;Li, Christopher I&lt;/author&gt;&lt;/authors&gt;&lt;/contributors&gt;&lt;titles&gt;&lt;title&gt;ROSIE: AI generation of multiplex immunofluorescence staining from histopathology images&lt;/title&gt;&lt;secondary-title&gt;Nature Communications&lt;/secondary-title&gt;&lt;/titles&gt;&lt;periodical&gt;&lt;full-title&gt;Nature Communications&lt;/full-title&gt;&lt;/periodical&gt;&lt;pages&gt;7633&lt;/pages&gt;&lt;volume&gt;16&lt;/volume&gt;&lt;number&gt;1&lt;/number&gt;&lt;dates&gt;&lt;year&gt;2025&lt;/year&gt;&lt;/dates&gt;&lt;isbn&gt;2041-1723&lt;/isbn&gt;&lt;urls&gt;&lt;/urls&gt;&lt;/record&gt;&lt;/Cite&gt;&lt;Cite&gt;&lt;Author&gt;Fu&lt;/Author&gt;&lt;Year&gt;2025&lt;/Year&gt;&lt;RecNum&gt;37&lt;/RecNum&gt;&lt;record&gt;&lt;rec-number&gt;37&lt;/rec-number&gt;&lt;foreign-keys&gt;&lt;key app="EN" db-id="rt02ferdmf02z1e0wxpp2fd8awf22fdt2xdp" timestamp="1778668188"&gt;37&lt;/key&gt;&lt;/foreign-keys&gt;&lt;ref-type name="Journal Article"&gt;17&lt;/ref-type&gt;&lt;contributors&gt;&lt;authors&gt;&lt;author&gt;Fu, Xiaohang&lt;/author&gt;&lt;author&gt;Cao, Yue&lt;/author&gt;&lt;author&gt;Bian, Beilei&lt;/author&gt;&lt;author&gt;Wang, Chuhan&lt;/author&gt;&lt;author&gt;Graham, Dinny&lt;/author&gt;&lt;author&gt;Pathmanathan, Nirmala&lt;/author&gt;&lt;author&gt;Patrick, Ellis&lt;/author&gt;&lt;author&gt;Kim, Jinman&lt;/author&gt;&lt;author&gt;Yang, Jean Yee Hwa&lt;/author&gt;&lt;/authors&gt;&lt;/contributors&gt;&lt;titles&gt;&lt;title&gt;Spatial gene expression at single-cell resolution from histology using deep learning with GHIST&lt;/title&gt;&lt;secondary-title&gt;Nature methods&lt;/secondary-title&gt;&lt;/titles&gt;&lt;periodical&gt;&lt;full-title&gt;Nature Methods&lt;/full-title&gt;&lt;/periodical&gt;&lt;pages&gt;1900-1910&lt;/pages&gt;&lt;volume&gt;22&lt;/volume&gt;&lt;number&gt;9&lt;/number&gt;&lt;dates&gt;&lt;year&gt;2025&lt;/year&gt;&lt;/dates&gt;&lt;isbn&gt;1548-7091&lt;/isbn&gt;&lt;urls&gt;&lt;/urls&gt;&lt;/record&gt;&lt;/Cite&gt;&lt;/EndNote&gt;</w:instrText>
      </w:r>
      <w:r w:rsidR="00204639">
        <w:rPr>
          <w:rFonts w:ascii="Times New Roman" w:eastAsia="Times New Roman" w:hAnsi="Times New Roman" w:cs="Times New Roman"/>
          <w:sz w:val="24"/>
          <w:szCs w:val="24"/>
        </w:rPr>
        <w:fldChar w:fldCharType="separate"/>
      </w:r>
      <w:r w:rsidR="00204639">
        <w:rPr>
          <w:rFonts w:ascii="Times New Roman" w:eastAsia="Times New Roman" w:hAnsi="Times New Roman" w:cs="Times New Roman"/>
          <w:noProof/>
          <w:sz w:val="24"/>
          <w:szCs w:val="24"/>
        </w:rPr>
        <w:t>[13, 14]</w:t>
      </w:r>
      <w:r w:rsidR="00204639">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Fourth, expert annotation remains time-consuming, expensive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difficult to scale, particularly when spatially detailed tissue maps are required</w:t>
      </w:r>
      <w:r w:rsidR="00657002">
        <w:rPr>
          <w:rFonts w:ascii="Times New Roman" w:eastAsia="Times New Roman" w:hAnsi="Times New Roman" w:cs="Times New Roman"/>
          <w:sz w:val="24"/>
          <w:szCs w:val="24"/>
        </w:rPr>
        <w:t xml:space="preserve"> </w:t>
      </w:r>
      <w:r w:rsidR="00657002">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[9, 10,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Fifth, tissue interpretation and region definitions can vary between observers, institutions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biological contexts, limiting reproducibility</w:t>
      </w:r>
      <w:r w:rsidR="00657002">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&lt;EndNote&gt;&lt;Cite&gt;&lt;Author&gt;Komura&lt;/Author&gt;&lt;Year&gt;2018&lt;/Year&gt;&lt;RecNum&gt;10&lt;/RecNum&gt;&lt;DisplayText&gt;[7, 12]&lt;/DisplayText&gt;&lt;record&gt;&lt;rec-number&gt;10&lt;/rec-number&gt;&lt;foreign-keys&gt;&lt;key app="EN" db-id="rt02ferdmf02z1e0wxpp2fd8awf22fdt2xdp" timestamp="1777558694"&gt;10&lt;/key&gt;&lt;/foreign-keys&gt;&lt;ref-type name="Journal Article"&gt;17&lt;/ref-type&gt;&lt;contributors&gt;&lt;authors&gt;&lt;author&gt;Komura, Daisuke&lt;/author&gt;&lt;author&gt;Ishikawa, Shumpei&lt;/author&gt;&lt;/authors&gt;&lt;/contributors&gt;&lt;titles&gt;&lt;title&gt;Machine learning methods for histopathological image analysis&lt;/title&gt;&lt;secondary-title&gt;Computational and Structural Biotechnology Journal&lt;/secondary-title&gt;&lt;/titles&gt;&lt;periodical&gt;&lt;full-title&gt;Computational and Structural Biotechnology Journal&lt;/full-title&gt;&lt;/periodical&gt;&lt;pages&gt;34-42&lt;/pages&gt;&lt;volume&gt;16&lt;/volume&gt;&lt;dates&gt;&lt;year&gt;2018&lt;/year&gt;&lt;/dates&gt;&lt;urls&gt;&lt;related-urls&gt;&lt;url&gt;https://doi.org/10.1016/j.csbj.2018.01.001&lt;/url&gt;&lt;/related-urls&gt;&lt;/urls&gt;&lt;electronic-resource-num&gt;10.1016/j.csbj.2018.01.001&lt;/electronic-resource-num&gt;&lt;/record&gt;&lt;/Cite&gt;&lt;Cite&gt;&lt;Author&gt;Nan&lt;/Author&gt;&lt;Year&gt;2025&lt;/Year&gt;&lt;RecNum&gt;27&lt;/RecNum&gt;&lt;record&gt;&lt;rec-number&gt;27&lt;/rec-number&gt;&lt;foreign-keys&gt;&lt;key app="EN" db-id="rt02ferdmf02z1e0wxpp2fd8awf22fdt2xdp" timestamp="1777558694"&gt;27&lt;/key&gt;&lt;/foreign-keys&gt;&lt;ref-type name="Journal Article"&gt;17&lt;/ref-type&gt;&lt;contributors&gt;&lt;authors&gt;&lt;author&gt;Nan, Tianhang&lt;/author&gt;&lt;author&gt;Zheng, Song&lt;/author&gt;&lt;author&gt;Qiao, Siyuan&lt;/author&gt;&lt;/authors&gt;&lt;/contributors&gt;&lt;titles&gt;&lt;title&gt;Deep learning quantifies pathologists&amp;apos; visual patterns for whole slide image diagnosis&lt;/title&gt;&lt;secondary-title&gt;Nature Communications&lt;/secondary-title&gt;&lt;/titles&gt;&lt;periodical&gt;&lt;full-title&gt;Nature Communications&lt;/full-title&gt;&lt;/periodical&gt;&lt;pages&gt;5493&lt;/pages&gt;&lt;volume&gt;16&lt;/volume&gt;&lt;dates&gt;&lt;year&gt;2025&lt;/year&gt;&lt;/dates&gt;&lt;urls&gt;&lt;related-urls&gt;&lt;url&gt;https://doi.org/10.1038/s41467-025-60307-1&lt;/url&gt;&lt;/related-urls&gt;&lt;/urls&gt;&lt;electronic-resource-num&gt;10.1038/s41467-025-60307-1&lt;/electronic-resource-num&gt;&lt;/record&gt;&lt;/Cite&gt;&lt;/EndNote&gt;</w:instrText>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Finally, multi-sample studies require consistent methods to identify, categorise and quantify comparable tissue regions or phenotypic compartments across sections</w:t>
      </w:r>
      <w:r w:rsidR="00657002">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[6, 9, 10]</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xml:space="preserve">. These challenges motivated the development of </w:t>
      </w:r>
      <w:proofErr w:type="spellStart"/>
      <w:r w:rsidRPr="00C50959">
        <w:rPr>
          <w:rFonts w:ascii="Times New Roman" w:eastAsia="Times New Roman" w:hAnsi="Times New Roman" w:cs="Times New Roman"/>
          <w:sz w:val="24"/>
          <w:szCs w:val="24"/>
        </w:rPr>
        <w:t>CellPhenotyper</w:t>
      </w:r>
      <w:proofErr w:type="spellEnd"/>
      <w:r w:rsidRPr="00C50959">
        <w:rPr>
          <w:rFonts w:ascii="Times New Roman" w:eastAsia="Times New Roman" w:hAnsi="Times New Roman" w:cs="Times New Roman"/>
          <w:sz w:val="24"/>
          <w:szCs w:val="24"/>
        </w:rPr>
        <w:t>, a modular and reproducible workflow for transforming routine H&amp;E WSIs into spatially resolved cellular and tissue-level annotations.</w:t>
      </w:r>
    </w:p>
    <w:p w14:paraId="3FB4CCCC" w14:textId="2EF902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CellPhenotyper begins with H&amp;E WSI ingestion, physical-scale recovery and image standardization. The implemented input registry currently recognizes 16 filename extensions representing approximately 12 image-format families. Raw slides are converted to pyramidal OME-TIFF while retaining micrometres-per-pixel metadata. GrandQC is then applied for tissue detection and multiclass artifact segmentation, producing masks and GeoJSON annotations for folds, dark spots or foreign material, pen markings, air bubbles or slide edges and out-of-focus regions [25]. User-supplied ROI annotations can subsequently restrict analysis to biologically relevant regions.</w:t>
      </w:r>
    </w:p>
    <w:p w14:paraId="1621907E" w14:textId="04C914D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identification combines three independent instance-segmentation procedures. StarDist first generates tiled nuclear instances and spatial metadata [15]. HoVer-Net, using a MoNuSAC-trained checkpoint, and CellViT++ then run serially on the same resolution-calibrated crop [26-28]. Numeric upstream classes are retained as type identifiers and accompanied by readable names: background, epithelial, lymphocyte, macrophage and neutrophil for HoVer-Net MoNuSAC; and neoplastic, inflammatory, connective, dead and epithelial for CellViT++. Predictions are aligned in physical coordinates and accepted when at least two methods support the same cell, yielding canonical cell identifiers, a consensus label image, contours and per-model provenance for downstream analysis.</w:t>
      </w:r>
    </w:p>
    <w:p w14:paraId="01ED1641" w14:textId="3745EBD0" w:rsidR="00431B37" w:rsidRDefault="00431B37"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After consensus identification, an automated TMA module determines whether the image contains a tissue microarray by evaluating separated tissue components, spot-size consistency and grid-like organization. For detected TMAs, spot polygons are exported as GeoJSON and each consensus cell is linked to a spot. ROI and TMA assignments are retained while CytoExpand expands consensus labels into non-overlapping, identity-preserving cytoplasm-associated regions.</w:t>
      </w:r>
    </w:p>
    <w:p w14:paraId="402ED934" w14:textId="598B4D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GigaTIME is incorporated to infer virtual molecular marker information directly from H&amp;E histology [16]. Slide metadata are used to resample input tiles to the model resolution, and overlapping predictions are blended into a spatially registered, pyramidal multichannel OME-TIFF. Predicted marker intensities are quantified for consensus nuclei and cytoplasm-associated regions, producing per-cell marker tables linked to slide coordinates.</w:t>
      </w:r>
    </w:p>
    <w:p w14:paraId="62E6F926" w14:textId="7E0A49B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By default, CellPhenotyper extracts resolution-calibrated image tiles on a regular GrandQC-filtered tissue grid for UNI-2, without executing the cell-centred route. A single UNI-2-h forward pass generates two complementary representations for each spatial observation: the full-tile vector from CLS-token pooling and an inner-square vector obtained by averaging patch tokens whose centres fall within a fixed 90-pixel square in the 224 x 224 model input. This token-subsetting implementation avoids a second masked-image forward pass while preserving local and contextual morphology [17]. Nucleus-centred sampling remains available only as an explicit alternative or paired comparison route.</w:t>
      </w:r>
    </w:p>
    <w:p w14:paraId="51F1104E" w14:textId="2606E1CE"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For unsupervised phenotyping, spatial feature selection is applied separately to the tile and inner-square representations, the retained features are combined and reduced to 20 principal components, and raw embedding matrices are released from memory. KODAMA learns a nonlinear visualization using landmarks [18]. For large observation sets, Leiden clustering is performed on inverse-density-weighted landmarks and labels for the remaining observations are propagated by k-nearest neighbours, providing scalable clustering without constructing a full all-observation graph.</w:t>
      </w:r>
    </w:p>
    <w:p w14:paraId="18D09005" w14:textId="692BE47D" w:rsidR="007D0F75" w:rsidRDefault="00ED4FC0" w:rsidP="004050B8">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For the default grid route, cluster assignments are rasterized across adjacent inner cores to produce a dense spatial cluster map, which proceeds directly to MedSAM without cell-seeded tissue growth. If the cell-centred route is selected explicitly, cluster assignments are projected through the consensus-cell and cytoplasm masks and tissue-constrained growth converts sparse labels into continuous compartment candidates. MedSAM refines editable borders while preserving cluster seeds [19]. Refined masks are exported as pyramidal OME-TIFF, full-resolution quality-control panels and class-aware GeoJSON. Connected tissue sections are then ranked by the number of consensus cells carrying the named CellViT++ neoplastic class. The selected section is encoded by TITAN using CONCH v1.5 patch features, and its slide-level representation can be analysed by a cancer-specific PathoFMPred model [29,30]. All stages are orchestrated by Nextflow DSL2 with resumable execution, containerized dependencies, hardware-aware CPU, RAM and GPU allocation, execution traces and a project-wide output catalogue.</w:t>
      </w:r>
    </w:p>
    <w:p w14:paraId="1431DDD2" w14:textId="3DAE4228" w:rsidR="007D0F75"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benchmarking and demonstration, we used twenty publicly available tissue samples from The Cancer Genome Atlas, representing five cancer types: colon adenocarcinoma, prostate cancer, lung adenocarcinoma, breast cancer</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cervical cancer. Figure 1 summarizes the end-to-end workflow applied to a representative whole-slide image, with additional examples provided in the Supplementary Materials. Raw H&amp;E whole-slide images were provided in Aperio SVS format and converted to pyramidal OME-TIFF to support efficient multiscale visualization, standardized image access</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compatibility with downstream digital pathology tools </w:t>
      </w:r>
      <w:r w:rsidR="00156E38">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 </w:instrText>
      </w:r>
      <w:r w:rsidR="00204639">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EN.CITE.DATA </w:instrText>
      </w:r>
      <w:r w:rsidR="00204639">
        <w:rPr>
          <w:rFonts w:ascii="Times New Roman" w:eastAsia="Times New Roman" w:hAnsi="Times New Roman" w:cs="Times New Roman"/>
        </w:rPr>
      </w:r>
      <w:r w:rsidR="00204639">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204639">
        <w:rPr>
          <w:rFonts w:ascii="Times New Roman" w:eastAsia="Times New Roman" w:hAnsi="Times New Roman" w:cs="Times New Roman"/>
          <w:noProof/>
        </w:rPr>
        <w:t>[9, 20, 21]</w:t>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t>.</w:t>
      </w:r>
    </w:p>
    <w:p w14:paraId="58177823" w14:textId="77777777" w:rsidR="007D0F75" w:rsidRDefault="00000000">
      <w:pPr>
        <w:spacing w:before="240" w:after="240"/>
        <w:jc w:val="both"/>
        <w:rPr>
          <w:rFonts w:ascii="Times New Roman" w:eastAsia="Times New Roman" w:hAnsi="Times New Roman" w:cs="Times New Roman"/>
          <w:sz w:val="24"/>
          <w:szCs w:val="24"/>
        </w:rPr>
      </w:pPr>
      <w:r>
        <w:rPr>
          <w:rFonts w:ascii="Times New Roman" w:hAnsi="Times New Roman"/>
          <w:b w:val="0"/>
          <w:sz w:val="24"/>
        </w:rPr>
        <w:t>As illustrated in Figure 1a, the updated workflow proceeds from physical-scale-aware OME-TIFF conversion through GrandQC tissue and artifact analysis, three-model cell segmentation and consensus alignment, TMA/ROI assignment, cytoplasm expansion and virtual-marker inference. Every derived object remains linked to the coordinate system of the source slide.</w:t>
      </w:r>
    </w:p>
    <w:p w14:paraId="1768AF0F" w14:textId="6F9572A2"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candidates were generated independently by StarDist, HoVer-Net with a MoNuSAC checkpoint and CellViT++ (Figure 1b). The models use different geometric formulations and inductive biases; their outputs were therefore not concatenated directly. Instead, centroid matching in micrometres formed cross-model components, and a two-of-three agreement rule generated a canonical consensus mask and alignment table.</w:t>
      </w:r>
    </w:p>
    <w:p w14:paraId="26108BD9" w14:textId="42E1A6CD"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To extend the analysis beyond morphology, GigaTIME inferred virtual multiplex-marker images after exact resampling from slide metadata to 0.25 micrometres per pixel (Figure 1c). Selected markers were written as channels of one pyramidal OME-TIFF rather than concatenated image panels, and all 23 model markers remained available for single-cell nuclear and cytoplasmic quantification.</w:t>
      </w:r>
    </w:p>
    <w:p w14:paraId="00828E2F" w14:textId="4E98D840" w:rsidR="0070442B" w:rsidRDefault="00000000" w:rsidP="0070442B">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TMA images, spot polygons and cell-to-spot assignments were generated before downstream quantification. For all images, consensus labels were mapped to user-defined ROIs and expanded into non-overlapping cytoplasm-associated regions while preserving canonical cell identity. These masks supported spatially consistent marker quantification and cluster reconstruction.</w:t>
      </w:r>
    </w:p>
    <w:p w14:paraId="6FFC2767" w14:textId="086891BF" w:rsidR="0070442B" w:rsidRDefault="0070442B">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CellPhenotyper is organized as eighteen numbered output stages: input conversion; GrandQC; cell segmentation and three-model consensus; TMA detection; GigaTIME and marker quantification; ROI processing; cell assignment; cytoplasm expansion; UNI-2 embeddings; KODAMA; clustering; cluster-mask reconstruction; grown-tissue reconstruction; MedSAM refinement; GeoJSON export; neoplastic-section selection; TITAN embedding; and PathoFMPred analysis. Each stage publishes stable outputs and unique identifiers in a project catalogue while Nextflow retains resumable work products and timing information.</w:t>
      </w:r>
    </w:p>
    <w:p w14:paraId="48A6B166" w14:textId="69D01D2D"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UNI-2 tile and inner-square embeddings were generated together from regular GrandQC-filtered spatial-grid inputs by default (Figure 1e), analysed using KODAMA and clustered with a landmark-based Leiden procedure (Figure 1f). Inverse-distance landmark sampling emphasized locally dense regions of the KODAMA visualization, after which k-nearest-neighbour voting assigned the remaining observations. Cluster labels were then projected into image space. The cell-centred route was not executed unless explicitly selected.</w:t>
      </w:r>
    </w:p>
    <w:p w14:paraId="3DF06687" w14:textId="7630A90C"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final workflow outputs include GrandQC artifact annotations, three-model consensus cell masks and named type provenance, TMA spot assignments, multichannel pyramidal GigaTIME images, per-cell marker tables, paired spatial-grid UNI-2 embeddings, KODAMA coordinates, Leiden cluster assignments, cluster and grown-tissue masks, MedSAM quality-control panels, non-overlapping class-aware GeoJSON polygons, a neoplastic-cell-ranked tissue-section crop, CONCH patch features, a 768-dimensional TITAN embedding and PathoFMPred research reports (Figure 1g).</w:t>
      </w:r>
    </w:p>
    <w:p w14:paraId="4A9A2607" w14:textId="77777777" w:rsidR="007D0F75" w:rsidRDefault="007D0F75">
      <w:pPr>
        <w:jc w:val="both"/>
        <w:rPr>
          <w:rFonts w:ascii="Times New Roman" w:eastAsia="Times New Roman" w:hAnsi="Times New Roman" w:cs="Times New Roman"/>
          <w:sz w:val="24"/>
          <w:szCs w:val="24"/>
        </w:rPr>
      </w:pPr>
    </w:p>
    <w:p w14:paraId="77E57D52" w14:textId="77777777" w:rsidR="00522B18" w:rsidRDefault="00522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6B1C458" w14:textId="78B2A15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Methods</w:t>
      </w:r>
    </w:p>
    <w:p w14:paraId="3CC629BA"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Tissue samples: </w:t>
      </w:r>
      <w:r>
        <w:rPr>
          <w:rFonts w:ascii="Times New Roman" w:eastAsia="Times New Roman" w:hAnsi="Times New Roman" w:cs="Times New Roman"/>
          <w:sz w:val="24"/>
          <w:szCs w:val="24"/>
        </w:rPr>
        <w:t>Twenty human tissue samples obtained from TCGA were used to evaluate the pipeline. These comprised whole-slide images from colon adenocarcinoma, prostate, lung adenocarcinoma, breast, and cervical cancers, capturing diverse tissue architectures and staining variability.</w:t>
      </w:r>
    </w:p>
    <w:p w14:paraId="18D8DA51" w14:textId="51118DA3"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sz w:val="24"/>
        </w:rPr>
        <w:t xml:space="preserve">Image conversion and quality control: </w:t>
      </w:r>
      <w:r>
        <w:rPr>
          <w:rFonts w:ascii="Times New Roman" w:hAnsi="Times New Roman"/>
          <w:sz w:val="24"/>
        </w:rPr>
        <w:t>Input WSIs were converted to pyramidal OME-TIFF while retaining slide dimensions and micrometres-per-pixel metadata. CellPhenotyper recognizes 16 filename extensions representing approximately 12 image-format families: pyramidal OME-TIFF (.ome.tif and .ome.tiff), BigTIFF (.btf), Zeiss CZI (.czi), Olympus VSI (.vsi), Aperio SVS (.svs), Hamamatsu NDPI (.ndpi), Leica SCN (.scn), 3DHISTECH MRXS (.mrxs), Hamamatsu VMS/VMU (.vms and .vmu), conventional TIFF (.tif and .tiff), PNG (.png), and JPEG (.jpg and .jpeg). Recognition denotes implemented input routing and conversion support rather than validation of every vendor-specific subtype, scene layout, metadata dialect, or compression variant. Olympus VSI files require the header to remain beside its corresponding _&lt;sample&gt;_ companion directory, and the whole-slide series is selected explicitly before conversion. If a brightfield input is represented as three planar MINISBLACK channels, including this layout when exported from Olympus VSI by Bio-Formats, the conversion stage streams the planes into an explicit interleaved RGB OME-TIFF while preserving the pyramid and physical scale. Source planes are interpreted as RGB by default; any permutation can be declared when scanner metadata or visual quality control establishes a different channel order, but the normalized output remains canonical RGB. The shared analysis crop (crop_roi.tif) was then written as a tiled, pyramidal RGB OME-TIFF using the same configured compression and JPEG quality as the normalized input. Its OME dimensions, physical pixel size, codec and pyramid geometry were validated before publication. GrandQC tissue and artifact models were run before cell analysis using overlapping, resolution-calibrated tiles [25]. Tile probabilities were blended in slide coordinates to avoid seam artifacts. The module exported tissue, clean-tissue and multiclass artifact masks, previews and GeoJSON annotations.</w:t>
      </w:r>
    </w:p>
    <w:p>
      <w:pPr>
        <w:jc w:val="both"/>
        <w:rPr>
          <w:rFonts w:ascii="Times New Roman" w:eastAsia="Times New Roman" w:hAnsi="Times New Roman" w:cs="Times New Roman"/>
          <w:sz w:val="24"/>
          <w:szCs w:val="24"/>
        </w:rPr>
      </w:pPr>
      <w:r>
        <w:rPr>
          <w:rFonts w:ascii="Times New Roman" w:hAnsi="Times New Roman"/>
          <w:b/>
          <w:sz w:val="24"/>
        </w:rPr>
        <w:t xml:space="preserve">Region-of-interest processing: </w:t>
      </w:r>
      <w:r>
        <w:rPr>
          <w:rFonts w:ascii="Times New Roman" w:hAnsi="Times New Roman"/>
          <w:sz w:val="24"/>
        </w:rPr>
        <w:t>GeoJSON annotations were rasterized into binary or labelled masks and aligned with the OME-TIFF coordinate system. ROI masks restricted segmentation, cell assignment, cytoplasm expansion, marker quantification and feature extraction without changing source-slide coordinates.</w:t>
      </w:r>
    </w:p>
    <w:p w14:paraId="193BA288" w14:textId="7490053E"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sz w:val="24"/>
        </w:rPr>
        <w:t xml:space="preserve">StarDist: </w:t>
      </w:r>
      <w:r>
        <w:rPr>
          <w:rFonts w:ascii="Times New Roman" w:hAnsi="Times New Roman"/>
          <w:sz w:val="24"/>
        </w:rPr>
        <w:t>The 2D_versatile_he model was applied by tiled inference to produce nuclear instances, centroids, contours and object-level spatial metadata [15]. Predictions were stitched into the crop coordinate system and filtered for implausibly small detections.</w:t>
      </w:r>
    </w:p>
    <w:p w14:paraId="1FD70CB5" w14:textId="5935AB7D" w:rsidR="007D0F75" w:rsidRDefault="00000000">
      <w:pPr>
        <w:jc w:val="both"/>
        <w:rPr>
          <w:rFonts w:ascii="Times New Roman" w:eastAsia="Times New Roman" w:hAnsi="Times New Roman" w:cs="Times New Roman"/>
          <w:sz w:val="24"/>
          <w:szCs w:val="24"/>
        </w:rPr>
      </w:pPr>
      <w:r>
        <w:rPr>
          <w:rFonts w:ascii="Times New Roman" w:hAnsi="Times New Roman"/>
          <w:b/>
          <w:sz w:val="24"/>
        </w:rPr>
        <w:t>Multi-model cell segmentation:</w:t>
      </w:r>
      <w:r>
        <w:rPr>
          <w:rFonts w:ascii="Times New Roman" w:hAnsi="Times New Roman"/>
          <w:sz w:val="24"/>
        </w:rPr>
        <w:t xml:space="preserve"> After StarDist, HoVer-Net with the fast MoNuSAC checkpoint and CellViT++ with a histopathology foundation-model encoder were applied serially on the same crop to limit peak GPU memory [26-28]. Each wrapper recovered the source MPP, resampled input where required, transformed predictions back to crop coordinates and exported per-instance contours, centroids, confidence information, the original numeric type identifier and a readable type name. The MoNuSAC mapping was 0 background, 1 epithelial, 2 lymphocyte, 3 macrophage and 4 neutrophil. The CellViT++ PanNuke mapping was 1 neoplastic, 2 inflammatory, 3 connective, 4 dead and 5 epithelial.</w:t>
      </w:r>
    </w:p>
    <w:p>
      <w:pPr>
        <w:jc w:val="both"/>
        <w:rPr>
          <w:rFonts w:ascii="Times New Roman" w:eastAsia="Times New Roman" w:hAnsi="Times New Roman" w:cs="Times New Roman"/>
          <w:sz w:val="24"/>
          <w:szCs w:val="24"/>
        </w:rPr>
      </w:pPr>
      <w:r>
        <w:rPr>
          <w:rFonts w:ascii="Times New Roman" w:hAnsi="Times New Roman"/>
          <w:b/>
          <w:sz w:val="24"/>
        </w:rPr>
        <w:t xml:space="preserve">Consensus cell identification: </w:t>
      </w:r>
      <w:r>
        <w:rPr>
          <w:rFonts w:ascii="Times New Roman" w:hAnsi="Times New Roman"/>
          <w:sz w:val="24"/>
        </w:rPr>
        <w:t>Instances from StarDist, HoVer-Net and CellViT++ were linked by centroid distance after converting the default 4-micrometre matching radius to pixels from slide metadata. Connected cross-model groups were accepted when supported by at least two methods. The canonical centroid was the mean of member centroids; contour selection followed a deterministic CellViT++-then-HoVer-Net priority when available. The module emitted a consensus label image, object table, GeoJSON, model-to-consensus alignment table and support summary.</w:t>
      </w:r>
    </w:p>
    <w:p>
      <w:pPr>
        <w:jc w:val="both"/>
        <w:rPr>
          <w:rFonts w:ascii="Times New Roman" w:eastAsia="Times New Roman" w:hAnsi="Times New Roman" w:cs="Times New Roman"/>
          <w:sz w:val="24"/>
          <w:szCs w:val="24"/>
        </w:rPr>
      </w:pPr>
      <w:r>
        <w:rPr>
          <w:rFonts w:ascii="Times New Roman" w:hAnsi="Times New Roman"/>
          <w:b/>
          <w:sz w:val="24"/>
        </w:rPr>
        <w:t xml:space="preserve">Tissue-microarray detection: </w:t>
      </w:r>
      <w:r>
        <w:rPr>
          <w:rFonts w:ascii="Times New Roman" w:hAnsi="Times New Roman"/>
          <w:sz w:val="24"/>
        </w:rPr>
        <w:t>A thumbnail-based module segmented compact separated tissue components and evaluated their count, area consistency, circularity, solidity, eccentricity and grid arrangement. Images meeting the configured criteria were classified as TMAs. Spot polygons were exported to GeoJSON and consensus-cell centroids were assigned to spots; non-TMA images passed through with explicit status metadata.</w:t>
      </w:r>
    </w:p>
    <w:p w14:paraId="2325703F" w14:textId="3CC3AD7A" w:rsidR="009C515D" w:rsidRDefault="00431B37" w:rsidP="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Cell and region assignment: </w:t>
      </w:r>
      <w:r>
        <w:rPr>
          <w:rFonts w:ascii="Times New Roman" w:hAnsi="Times New Roman"/>
          <w:sz w:val="24"/>
        </w:rPr>
        <w:t>Consensus cells were assigned to ROI polygons and, when applicable, TMA spots using their spatial coordinates. Assignment tables retained canonical cell identifiers and source-model provenance.</w:t>
      </w:r>
    </w:p>
    <w:p w14:paraId="5ABD16ED" w14:textId="2102719F"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CytoExpand: </w:t>
      </w:r>
      <w:r>
        <w:rPr>
          <w:rFonts w:ascii="Times New Roman" w:hAnsi="Times New Roman"/>
          <w:sz w:val="24"/>
        </w:rPr>
        <w:t>Consensus instance labels were expanded into surrounding cell-associated regions while preserving cell identity and preventing overlap through nearest-label/Voronoi constraints. Nuclear and cytoplasm-associated masks were retained separately for marker quantification and spatial reconstruction.</w:t>
      </w:r>
    </w:p>
    <w:p w14:paraId="798FAC8D" w14:textId="6A81C9C5" w:rsidR="002F4369" w:rsidRPr="009C515D" w:rsidRDefault="002F4369">
      <w:pPr>
        <w:jc w:val="both"/>
        <w:rPr>
          <w:rFonts w:ascii="Times New Roman" w:eastAsia="Times New Roman" w:hAnsi="Times New Roman" w:cs="Times New Roman"/>
          <w:b/>
          <w:bCs/>
          <w:sz w:val="24"/>
          <w:szCs w:val="24"/>
        </w:rPr>
      </w:pPr>
      <w:r>
        <w:rPr>
          <w:rFonts w:ascii="Times New Roman" w:hAnsi="Times New Roman"/>
          <w:b w:val="0"/>
          <w:sz w:val="24"/>
        </w:rPr>
        <w:t>The expansion distance was configurable in pixels and applied in the resolution-preserving crop coordinate system. This procedure approximated per-cell context without asserting that the expanded region represented a manually delineated cytoplasmic boundary [22].</w:t>
      </w:r>
    </w:p>
    <w:p w14:paraId="180F324E" w14:textId="3C574AEF"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GigaTIME virtual marker inference: </w:t>
      </w:r>
      <w:r>
        <w:rPr>
          <w:rFonts w:ascii="Times New Roman" w:hAnsi="Times New Roman"/>
          <w:sz w:val="24"/>
        </w:rPr>
        <w:t>GigaTIME was applied to H&amp;E crops after resolving source MPP and resampling the image by the exact floating-point ratio required to reach 0.25 micrometres per pixel [16]. WSI-scale inference used overlapping tiles and weighted blending. Predictions were stored first in a chunked Zarr array and exported as one pyramidal, multichannel OME-TIFF with marker names and physical pixel size encoded in the metadata.</w:t>
      </w:r>
    </w:p>
    <w:p w14:paraId="59C58618" w14:textId="6AFB26A6" w:rsidR="009C515D"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Predicted marker channels were spatially aligned with consensus nuclei and cytoplasm-associated masks. Per-cell means, sums and maxima were exported for all 23 model markers, while five selected channels were persisted in the image and rendered as lightweight quality-control previews. Separating image generation from quantification limited peak memory use for large WSIs.</w:t>
      </w:r>
    </w:p>
    <w:p w14:paraId="2DB800D8" w14:textId="4006A644" w:rsidR="009C515D" w:rsidRPr="009C515D" w:rsidRDefault="009C515D">
      <w:pPr>
        <w:jc w:val="both"/>
        <w:rPr>
          <w:rFonts w:ascii="Times New Roman" w:eastAsia="Times New Roman" w:hAnsi="Times New Roman" w:cs="Times New Roman"/>
          <w:b/>
          <w:bCs/>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Spatial-grid tiling: </w:t>
      </w:r>
      <w:r>
        <w:rPr>
          <w:rFonts w:ascii="Times New Roman" w:hAnsi="Times New Roman"/>
          <w:sz w:val="24"/>
        </w:rPr>
        <w:t xml:space="preserve"> By default, tile centres were placed on a regular grid within GrandQC-clean tissue; the calibrated 90-pixel inner cores were adjacent while the surrounding 224 x 224 UNI-2-h context fields overlapped. Source crops were calibrated to 0.25 micrometres per pixel. Tiles were streamed in buckets and batches, and PNG export was disabled by default because downstream KODAMA analysis consumes embedding tables directly. Cell-centred tiling required explicit selection of the cells or both sampling mode.</w:t>
      </w:r>
    </w:p>
    <w:p w14:paraId="7CEB26B6" w14:textId="77777777"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UNI-2 foundation model: </w:t>
      </w:r>
      <w:r>
        <w:rPr>
          <w:rFonts w:ascii="Times New Roman" w:hAnsi="Times New Roman"/>
          <w:sz w:val="24"/>
        </w:rPr>
        <w:t>UNI-2-h was used as a frozen histopathology encoder to derive complementary local and contextual morphology representations [17]. Model assets were stored in a shared cache to avoid duplicate downloads across runs.</w:t>
      </w:r>
    </w:p>
    <w:p w14:paraId="519F99F6" w14:textId="6384B8EA" w:rsidR="002F4369" w:rsidRDefault="002F4369">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each spatial-grid observation, the primary tile representation was obtained from CLS-token pooling. In the same forward pass, the inner_square representation was generated by selecting patch tokens whose centres fell within a centred 90-pixel square in the 224 x 224 model input and averaging those tokens. Thus, inner_square was neither a cytoplasm mask nor a second masked-image forward pass.</w:t>
      </w:r>
    </w:p>
    <w:p w14:paraId="64391810" w14:textId="353DBEAD" w:rsidR="007D0F75" w:rsidRDefault="00000000">
      <w:pPr>
        <w:jc w:val="both"/>
        <w:rPr>
          <w:rFonts w:ascii="Times New Roman" w:eastAsia="Times New Roman" w:hAnsi="Times New Roman" w:cs="Times New Roman"/>
          <w:sz w:val="24"/>
          <w:szCs w:val="24"/>
        </w:rPr>
      </w:pPr>
      <w:r>
        <w:rPr>
          <w:rFonts w:ascii="Times New Roman" w:hAnsi="Times New Roman"/>
          <w:b w:val="0"/>
          <w:sz w:val="24"/>
        </w:rPr>
        <w:t>The paired token-subsetting implementation produced aligned 1,536-dimensional tile and inner-square vectors with the same spatial-observation identifiers. Checkpoint markers and bucket-level outputs allowed interrupted extraction to resume from the last completed bucket rather than recomputing all observations.</w:t>
      </w:r>
    </w:p>
    <w:p w14:paraId="7D5D1911" w14:textId="4965B0DB" w:rsidR="007D0F75" w:rsidRDefault="00000000">
      <w:pPr>
        <w:jc w:val="both"/>
        <w:rPr>
          <w:rFonts w:ascii="Times New Roman" w:eastAsia="Times New Roman" w:hAnsi="Times New Roman" w:cs="Times New Roman"/>
          <w:sz w:val="24"/>
          <w:szCs w:val="24"/>
        </w:rPr>
      </w:pPr>
      <w:r>
        <w:rPr>
          <w:rFonts w:ascii="Times New Roman" w:hAnsi="Times New Roman"/>
          <w:b/>
          <w:sz w:val="24"/>
        </w:rPr>
        <w:t>KODAMA representation learning:</w:t>
      </w:r>
      <w:r>
        <w:rPr>
          <w:rFonts w:ascii="Times New Roman" w:hAnsi="Times New Roman"/>
          <w:b w:val="0"/>
          <w:sz w:val="24"/>
        </w:rPr>
        <w:t xml:space="preserve"> Tile and inner-square matrices were aligned by spatial-observation ID. KODAMA spatial feature selection ranked features from each family using grid coordinates; the top 100 features per family were retained, with variance ranking used only as a fallback [18]. The selected matrices were combined, centred, scaled and reduced to exactly 20 principal components. Raw embedding matrices were deleted from the R session after PCA to reduce peak RAM.</w:t>
      </w:r>
    </w:p>
    <w:p w14:paraId="779799A8" w14:textId="78F3D6E3" w:rsidR="007D0F75" w:rsidRDefault="00000000">
      <w:pPr>
        <w:jc w:val="both"/>
        <w:rPr>
          <w:rFonts w:ascii="Times New Roman" w:eastAsia="Times New Roman" w:hAnsi="Times New Roman" w:cs="Times New Roman"/>
          <w:sz w:val="24"/>
          <w:szCs w:val="24"/>
        </w:rPr>
      </w:pPr>
      <w:r>
        <w:rPr>
          <w:rFonts w:ascii="Times New Roman" w:hAnsi="Times New Roman"/>
          <w:b w:val="0"/>
          <w:sz w:val="24"/>
        </w:rPr>
        <w:t>KODAMA was run on the PCA representation with spatial coordinates, 1,000 internal landmarks and a two-component internal optimization. For observation sets above the exact-analysis threshold, KODAMA was fitted to a reproducible subset and the remaining observations were projected from PCA space by nearest-neighbour interpolation. The resulting two-dimensional visualization retained canonical spatial-observation identifiers.</w:t>
      </w:r>
    </w:p>
    <w:p w14:paraId="0DEEC53C" w14:textId="7365B3B3"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Clustering was performed on the KODAMA visualization using Leiden community detection. Ten thousand landmarks were sampled with probability proportional to the inverse square of each observation's mean distance to its 50 nearest neighbours. A 50-neighbour graph was constructed on landmarks at resolution 0.3, and labels for non-landmark observations were assigned by 50-nearest-neighbour voting using Rnanoflann. This strategy avoided constructing an all-observation graph for very large slides.</w:t>
      </w:r>
    </w:p>
    <w:p w14:paraId="0B384D74" w14:textId="7F7893B4" w:rsidR="009C515D" w:rsidRDefault="009C515D">
      <w:pPr>
        <w:jc w:val="both"/>
        <w:rPr>
          <w:rFonts w:ascii="Times New Roman" w:eastAsia="Times New Roman" w:hAnsi="Times New Roman" w:cs="Times New Roman"/>
          <w:sz w:val="24"/>
          <w:szCs w:val="24"/>
        </w:rPr>
      </w:pPr>
      <w:r>
        <w:rPr>
          <w:rFonts w:ascii="Times New Roman" w:hAnsi="Times New Roman"/>
          <w:b w:val="0"/>
          <w:sz w:val="24"/>
        </w:rPr>
        <w:t>Projection of clusters into image space: For the default grid route, cluster labels were joined to spatial-observation identifiers and rasterized across adjacent inner cores to form a dense cluster mask. The optional cell-centred route instead joined labels to canonical consensus IDs and mapped them through the cytoplasm-associated label image. Both routes preserved links among model provenance, UNI-2 embeddings, KODAMA coordinates and phenotype assignments.</w:t>
      </w:r>
    </w:p>
    <w:p w14:paraId="17299C16" w14:textId="5CF70139"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Grown-tissue reconstruction: This stage is skipped by the default grid route because adjacent inner cores already produce a dense tissue-domain mask. When the cell-centred route is selected explicitly, sparse cluster seeds are expanded only within the tissue mask, preserving cluster identities while filling unassigned tissue by nearest seeded labels and morphological regularization. All connected tissue components are retained so TMA cores and fragmented specimens are not discarded.</w:t>
      </w:r>
    </w:p>
    <w:p w14:paraId="5E2E89E3" w14:textId="5E701E4F" w:rsid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MedSAM-assisted refinement: </w:t>
      </w:r>
      <w:r>
        <w:rPr>
          <w:rFonts w:ascii="Times New Roman" w:hAnsi="Times New Roman"/>
          <w:sz w:val="24"/>
        </w:rPr>
        <w:t>MedSAM was used only to refine borders of cluster-defined tissue compartments, not to discover clusters de novo [19]. Overlapping full-resolution tiles were selected around editable borders; empty tiles were skipped, and inference used CUDA when available.</w:t>
      </w:r>
    </w:p>
    <w:p w14:paraId="5C41200B" w14:textId="77777777" w:rsidR="009C515D" w:rsidRP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H&amp;E crop, cluster seed mask and route-specific baseline mask jointly constrained refinement. Core seed pixels were protected, whereas a configurable boundary band allowed MedSAM to add, remove or relabel pixels. Cluster labels were processed independently, including tiles containing only one cluster, before overlap resolution and conservative morphological cleanup.</w:t>
      </w:r>
    </w:p>
    <w:p w14:paraId="7268D98D" w14:textId="2FE1F81C"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The module exported the refined OME-TIFF mask, whole-slide overlays, change maps, raw-versus-final panels and a randomly selected 1,024 x 1,024 full-resolution quality-control region. A JSON summary recorded device, runtime, processed and skipped tiles, failures and changed-pixel counts.</w:t>
      </w:r>
    </w:p>
    <w:p w14:paraId="07EDD937" w14:textId="0E136C5D" w:rsidR="008170A7" w:rsidRDefault="008170A7">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GeoJSON conversion: Refined class masks were vectorized into non-overlapping MultiPolygon features. Small artifacts were removed, holes were handled explicitly, boundaries were smoothed and cluster values were retained as properties for QuPath and other spatial-analysis tools.</w:t>
      </w:r>
    </w:p>
    <w:p>
      <w:pPr/>
      <w:r>
        <w:rPr>
          <w:rFonts w:ascii="Times New Roman" w:hAnsi="Times New Roman"/>
          <w:b/>
          <w:sz w:val="24"/>
        </w:rPr>
        <w:t>Neoplastic-section selection:</w:t>
      </w:r>
      <w:r>
        <w:rPr>
          <w:rFonts w:ascii="Times New Roman" w:hAnsi="Times New Roman"/>
          <w:b w:val="0"/>
          <w:sz w:val="24"/>
        </w:rPr>
        <w:t xml:space="preserve"> The final class-aware GeoJSON was split into connected Polygon or MultiPolygon components. Consensus-cell centroids were assigned by exact point-in-polygon testing, and a cell was counted as neoplastic only when its normalized CellViT++ type name matched the configured neoplastic vocabulary. Components were ranked first by neoplastic-cell count, then by total consensus-cell count, area and stable section identifier to resolve ties deterministically. The selected component was exported in ROI-crop and local crop coordinates together with a tiled mask, a 256-micrometre-padded full-resolution pyramidal OME-TIFF crop, a count table, coordinate transform, summary and preview.</w:t>
      </w:r>
    </w:p>
    <w:p>
      <w:pPr/>
      <w:r>
        <w:rPr>
          <w:rFonts w:ascii="Times New Roman" w:hAnsi="Times New Roman"/>
          <w:b/>
          <w:sz w:val="24"/>
        </w:rPr>
        <w:t>TITAN section representation:</w:t>
      </w:r>
      <w:r>
        <w:rPr>
          <w:rFonts w:ascii="Times New Roman" w:hAnsi="Times New Roman"/>
          <w:b w:val="0"/>
          <w:sz w:val="24"/>
        </w:rPr>
        <w:t xml:space="preserve"> TITAN was applied only to the selected tissue section [29]. The physical field represented by a 512-pixel patch at 0.5 micrometres per pixel was converted to source pixels from the slide MPP, extracted on a regular grid and resized to the official input size. Patches containing at least 20% selected-section tissue were transformed with the official CONCH v1.5 preprocessing and encoded on the GPU into 768-dimensional patch features [30]. Patch coordinates were regularized to the 20x reference grid and passed, with a leading slide dimension, to TITAN encode_slide_from_patch_features. The resulting finite 768-dimensional section vector, patch features, coordinates, tissue coverage and complete physical-scale metadata were retained.</w:t>
      </w:r>
    </w:p>
    <w:p>
      <w:pPr/>
      <w:r>
        <w:rPr>
          <w:rFonts w:ascii="Times New Roman" w:hAnsi="Times New Roman"/>
          <w:b/>
          <w:sz w:val="24"/>
        </w:rPr>
        <w:t>PathoFMPred analysis:</w:t>
      </w:r>
      <w:r>
        <w:rPr>
          <w:rFonts w:ascii="Times New Roman" w:hAnsi="Times New Roman"/>
          <w:b w:val="0"/>
          <w:sz w:val="24"/>
        </w:rPr>
        <w:t xml:space="preserve"> The TITAN vector was validated against the exact feature schema titan_000 to titan_767 and supplied to PathoFMPred with an explicitly configured cancer code; BRCA was used for breast tissue. The module exported prediction tables, binary and radar plots, an HTML report, runtime and provenance metadata. PathoFMPred outputs are exploratory research estimates derived from disease-specific fitted models; binary scores are not calibrated clinical probabilities and require external validation before biological or clinical interpretation.</w:t>
      </w:r>
    </w:p>
    <w:p w14:paraId="7D3CD8C5" w14:textId="050783EE" w:rsidR="007D0F75" w:rsidRDefault="00000000">
      <w:pPr>
        <w:jc w:val="both"/>
        <w:rPr>
          <w:rFonts w:ascii="Times New Roman" w:eastAsia="Times New Roman" w:hAnsi="Times New Roman" w:cs="Times New Roman"/>
          <w:sz w:val="24"/>
          <w:szCs w:val="24"/>
        </w:rPr>
      </w:pPr>
      <w:r>
        <w:rPr>
          <w:rFonts w:ascii="Times New Roman" w:hAnsi="Times New Roman"/>
          <w:b/>
          <w:sz w:val="24"/>
        </w:rPr>
        <w:t>Pipeline implementation:</w:t>
      </w:r>
      <w:r>
        <w:rPr>
          <w:rFonts w:ascii="Times New Roman" w:hAnsi="Times New Roman"/>
          <w:b w:val="0"/>
          <w:sz w:val="24"/>
        </w:rPr>
        <w:t xml:space="preserve"> CellPhenotyper was implemented in Nextflow DSL2 with Docker and Singularity profiles. Processes declare CPU, RAM, GPU and timeout requirements; GPU-heavy models run serially where necessary, whereas resource parameters scale to available hardware. Nextflow caching supports stage-specific restart and UNI-2 additionally checkpoints completed buckets. TITAN is a GPU-only stage and can operate from a checksum-verified local model snapshot without network access. PathoFMPred is installed in a separate protected R library and is not embedded in the public runtime image. Each run writes a trace, timeline, report, directed acyclic graph, final status report and project output catalogue containing a unique identifier and absolute address for every published result.</w:t>
      </w:r>
    </w:p>
    <w:p w14:paraId="2254FCA6"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availability</w:t>
      </w:r>
    </w:p>
    <w:p w14:paraId="316D222E"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the tissue sample images are available on the official TCGA website. The images can also be accessed through [DOI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Link]</w:t>
      </w:r>
    </w:p>
    <w:p w14:paraId="42C50931"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availability</w:t>
      </w:r>
    </w:p>
    <w:p w14:paraId="1BFE6569" w14:textId="63A67E72"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CellPhenotyper code is openly available at https://github.com/tkcaccia/CellPhenotyper. The PathoFMPred source is maintained at https://github.com/tkcaccia/PathoFMPred; fitted model assets are distributed separately subject to repository access permissions.</w:t>
      </w:r>
    </w:p>
    <w:p w14:paraId="09852100"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534FA4C9" w14:textId="149EE8B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all contributors and early users of the </w:t>
      </w:r>
      <w:proofErr w:type="spellStart"/>
      <w:r>
        <w:rPr>
          <w:rFonts w:ascii="Times New Roman" w:eastAsia="Times New Roman" w:hAnsi="Times New Roman" w:cs="Times New Roman"/>
          <w:sz w:val="24"/>
          <w:szCs w:val="24"/>
        </w:rPr>
        <w:t>CellPhenotyper</w:t>
      </w:r>
      <w:proofErr w:type="spellEnd"/>
      <w:r>
        <w:rPr>
          <w:rFonts w:ascii="Times New Roman" w:eastAsia="Times New Roman" w:hAnsi="Times New Roman" w:cs="Times New Roman"/>
          <w:sz w:val="24"/>
          <w:szCs w:val="24"/>
        </w:rPr>
        <w:t xml:space="preserve"> pipeline for valuable feedback and testing during development. This work was fully supported by the International </w:t>
      </w:r>
      <w:proofErr w:type="spellStart"/>
      <w:r w:rsidR="00ED17BE">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for Genetic Engineering and Biotechnology (ICGEB).</w:t>
      </w:r>
    </w:p>
    <w:p w14:paraId="31719E2B" w14:textId="77777777" w:rsidR="007D0F75" w:rsidRDefault="007D0F75">
      <w:pPr>
        <w:spacing w:after="0"/>
        <w:jc w:val="both"/>
        <w:rPr>
          <w:rFonts w:ascii="Times New Roman" w:eastAsia="Times New Roman" w:hAnsi="Times New Roman" w:cs="Times New Roman"/>
          <w:sz w:val="24"/>
          <w:szCs w:val="24"/>
        </w:rPr>
      </w:pPr>
    </w:p>
    <w:p w14:paraId="6ECDA7B8"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62A81E59" w14:textId="77777777" w:rsidR="007D0F75" w:rsidRDefault="007D0F75">
      <w:pPr>
        <w:spacing w:after="0"/>
        <w:jc w:val="both"/>
        <w:rPr>
          <w:rFonts w:ascii="Times New Roman" w:eastAsia="Times New Roman" w:hAnsi="Times New Roman" w:cs="Times New Roman"/>
          <w:sz w:val="24"/>
          <w:szCs w:val="24"/>
        </w:rPr>
      </w:pPr>
    </w:p>
    <w:p w14:paraId="66A13ABC"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Competing interests</w:t>
      </w:r>
    </w:p>
    <w:p w14:paraId="5257288B" w14:textId="7777777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competing interest at the time of this manuscript write-up.</w:t>
      </w:r>
    </w:p>
    <w:p w14:paraId="74BB4C10" w14:textId="77777777" w:rsidR="007D0F75" w:rsidRDefault="00000000">
      <w:pPr>
        <w:keepNext/>
        <w:spacing w:after="0"/>
        <w:ind w:right="-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Information</w:t>
      </w:r>
    </w:p>
    <w:p>
      <w:pPr/>
      <w:r>
        <w:rPr>
          <w:b/>
        </w:rPr>
        <w:t>Input image-format coverage</w:t>
      </w:r>
    </w:p>
    <w:p>
      <w:pPr/>
      <w:r>
        <w:t>The estimate of approximately 12 supported image-format families was calculated from the 16 filename extensions registered in the pipeline at release: .ome.tif, .ome.tiff, .btf, .czi, .vsi, .svs, .ndpi, .scn, .mrxs, .vms, .vmu, .tif, .tiff, .png, .jpg, and .jpeg. Extensions that represent the same logical family, such as .ome.tif/.ome.tiff, .tif/.tiff, and .jpg/.jpeg, were counted once. VMS and VMU were treated as one Hamamatsu family for this estimate. All inputs are normalized to pyramidal OME-TIFF before downstream analysis. For three-plane brightfield inputs, explicit RGB conversion is automatic and the source-plane order is recorded as a configurable conversion parameter (RGB by default). Vendor-specific variants remain subject to strict checks of dimensions, RGB compatibility, pyramid structure, physical pixel size, and metadata consistency.</w:t>
      </w:r>
    </w:p>
    <w:p w14:paraId="5061ED69" w14:textId="77777777" w:rsidR="007D0F75" w:rsidRDefault="007D0F75">
      <w:pPr>
        <w:ind w:left="720"/>
        <w:jc w:val="both"/>
        <w:rPr>
          <w:rFonts w:ascii="Times New Roman" w:eastAsia="Times New Roman" w:hAnsi="Times New Roman" w:cs="Times New Roman"/>
          <w:sz w:val="24"/>
          <w:szCs w:val="24"/>
        </w:rPr>
      </w:pPr>
    </w:p>
    <w:p w14:paraId="57DDA8B0" w14:textId="77777777" w:rsidR="007D0F75" w:rsidRDefault="00000000">
      <w:pPr>
        <w:rPr>
          <w:rFonts w:ascii="Times New Roman" w:eastAsia="Times New Roman" w:hAnsi="Times New Roman" w:cs="Times New Roman"/>
          <w:b/>
          <w:bCs/>
          <w:sz w:val="24"/>
          <w:szCs w:val="24"/>
        </w:rPr>
      </w:pPr>
      <w:r>
        <w:br w:type="page"/>
      </w:r>
    </w:p>
    <w:p w14:paraId="6D9D5614" w14:textId="14D2778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Figure </w:t>
      </w:r>
      <w:r w:rsidR="00ED17B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00ED17BE">
        <w:rPr>
          <w:rFonts w:ascii="Times New Roman" w:eastAsia="Times New Roman" w:hAnsi="Times New Roman" w:cs="Times New Roman"/>
          <w:b/>
          <w:bCs/>
          <w:sz w:val="24"/>
          <w:szCs w:val="24"/>
        </w:rPr>
        <w:t>| Overview</w:t>
      </w:r>
      <w:r>
        <w:rPr>
          <w:rFonts w:ascii="Times New Roman" w:eastAsia="Times New Roman" w:hAnsi="Times New Roman" w:cs="Times New Roman"/>
          <w:b/>
          <w:bCs/>
          <w:sz w:val="24"/>
          <w:szCs w:val="24"/>
        </w:rPr>
        <w:t xml:space="preserve"> of the </w:t>
      </w:r>
      <w:proofErr w:type="spellStart"/>
      <w:r>
        <w:rPr>
          <w:rFonts w:ascii="Times New Roman" w:eastAsia="Times New Roman" w:hAnsi="Times New Roman" w:cs="Times New Roman"/>
          <w:b/>
          <w:bCs/>
          <w:sz w:val="24"/>
          <w:szCs w:val="24"/>
        </w:rPr>
        <w:t>CellPhenotyper</w:t>
      </w:r>
      <w:proofErr w:type="spellEnd"/>
      <w:r>
        <w:rPr>
          <w:rFonts w:ascii="Times New Roman" w:eastAsia="Times New Roman" w:hAnsi="Times New Roman" w:cs="Times New Roman"/>
          <w:b/>
          <w:bCs/>
          <w:sz w:val="24"/>
          <w:szCs w:val="24"/>
        </w:rPr>
        <w:t xml:space="preserve"> Pipeline</w:t>
      </w:r>
    </w:p>
    <w:p w14:paraId="47FC3DEB" w14:textId="54599164" w:rsidR="007D0F75" w:rsidRDefault="001713A3">
      <w:pPr>
        <w:rPr>
          <w:rFonts w:ascii="Times New Roman" w:eastAsia="Times New Roman" w:hAnsi="Times New Roman" w:cs="Times New Roman"/>
          <w:b/>
          <w:bCs/>
          <w:sz w:val="24"/>
          <w:szCs w:val="24"/>
        </w:rPr>
      </w:pPr>
      <w:r>
        <w:rPr>
          <w:noProof/>
        </w:rPr>
        <w:drawing>
          <wp:inline distT="0" distB="0" distL="0" distR="0" wp14:anchorId="290A5FB4" wp14:editId="4E318C63">
            <wp:extent cx="5785324" cy="8181975"/>
            <wp:effectExtent l="0" t="0" r="0" b="0"/>
            <wp:docPr id="813984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0802" cy="8189723"/>
                    </a:xfrm>
                    <a:prstGeom prst="rect">
                      <a:avLst/>
                    </a:prstGeom>
                    <a:noFill/>
                    <a:ln>
                      <a:noFill/>
                    </a:ln>
                  </pic:spPr>
                </pic:pic>
              </a:graphicData>
            </a:graphic>
          </wp:inline>
        </w:drawing>
      </w:r>
      <w:r>
        <w:br w:type="page"/>
      </w:r>
    </w:p>
    <w:p>
      <w:pPr>
        <w:jc w:val="both"/>
        <w:rPr>
          <w:rFonts w:ascii="Times New Roman" w:eastAsia="Times New Roman" w:hAnsi="Times New Roman" w:cs="Times New Roman"/>
          <w:b/>
          <w:bCs/>
          <w:sz w:val="24"/>
          <w:szCs w:val="24"/>
        </w:rPr>
      </w:pPr>
      <w:r>
        <w:rPr>
          <w:rFonts w:ascii="Times New Roman" w:hAnsi="Times New Roman"/>
          <w:b/>
          <w:sz w:val="24"/>
        </w:rPr>
        <w:t>Figure 1 | a, Updated computational workflow from image conversion and GrandQC through three-model cell consensus, TMA/ROI assignment, GigaTIME, paired UNI-2 representations, KODAMA, landmark-based Leiden clustering, spatial reconstruction, MedSAM and GeoJSON export. b, Representative H&amp;E region and cell-identification input with numeric and named per-model cell types. c, GigaTIME virtual multiplex-marker output. d, Default spatial-grid sampling. e, Paired UNI-2 morphology encoding. f, KODAMA visualization and phenotype clustering. g, MedSAM-refined tissue compartments. The extended workflow subsequently ranks connected tissue sections by named neoplastic-cell count, derives a TITAN section embedding and performs PathoFMPred analysis. MPP, micrometres per pixel; TMA, tissue microarray; ROI, region of interest.</w:t>
      </w:r>
      <w:r>
        <w:rPr>
          <w:rFonts w:ascii="Times New Roman" w:hAnsi="Times New Roman"/>
          <w:sz w:val="24"/>
        </w:rPr>
      </w:r>
    </w:p>
    <w:p w14:paraId="099A8660" w14:textId="600C3417" w:rsidR="00FD5E37" w:rsidRPr="005E55A8" w:rsidRDefault="00000000" w:rsidP="005E55A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References </w:t>
      </w:r>
    </w:p>
    <w:p w14:paraId="794F8FA6" w14:textId="61992259" w:rsidR="00204639" w:rsidRPr="00204639" w:rsidRDefault="00FD5E37" w:rsidP="00204639">
      <w:pPr>
        <w:pStyle w:val="EndNoteBibliography"/>
        <w:spacing w:after="0"/>
        <w:ind w:left="720" w:hanging="720"/>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EN.REFLIST </w:instrText>
      </w:r>
      <w:r>
        <w:rPr>
          <w:rFonts w:ascii="Times New Roman" w:eastAsia="Times New Roman" w:hAnsi="Times New Roman" w:cs="Times New Roman"/>
          <w:sz w:val="24"/>
          <w:szCs w:val="24"/>
        </w:rPr>
        <w:fldChar w:fldCharType="separate"/>
      </w:r>
      <w:r w:rsidR="00204639" w:rsidRPr="00204639">
        <w:t>1.</w:t>
      </w:r>
      <w:r w:rsidR="00204639" w:rsidRPr="00204639">
        <w:tab/>
        <w:t xml:space="preserve">de Haan, K., Y. Zhang, and J.E. Zuckerman. Deep learning-based transformation of H&amp;E stained tissues into special stains. Nature Communications 12, 4884 (2021). </w:t>
      </w:r>
      <w:hyperlink r:id="rId8" w:history="1">
        <w:r w:rsidR="00204639" w:rsidRPr="00204639">
          <w:rPr>
            <w:rStyle w:val="Hyperlink"/>
          </w:rPr>
          <w:t>https://doi.org/10.1038/s41467-021-25221-2</w:t>
        </w:r>
      </w:hyperlink>
      <w:r w:rsidR="00204639" w:rsidRPr="00204639">
        <w:t>.</w:t>
      </w:r>
    </w:p>
    <w:p w14:paraId="66222A5E" w14:textId="50DDCCFF" w:rsidR="00204639" w:rsidRPr="00204639" w:rsidRDefault="00204639" w:rsidP="00204639">
      <w:pPr>
        <w:pStyle w:val="EndNoteBibliography"/>
        <w:spacing w:after="0"/>
        <w:ind w:left="720" w:hanging="720"/>
      </w:pPr>
      <w:r w:rsidRPr="00204639">
        <w:t>2.</w:t>
      </w:r>
      <w:r w:rsidRPr="00204639">
        <w:tab/>
        <w:t xml:space="preserve">Li, Z., S.H. Mirjahanmardi, and R. Sali. Automated cell annotation and classification on histopathology for spatial biomarker discovery. Nature Communications 16, 6240 (2025). </w:t>
      </w:r>
      <w:hyperlink r:id="rId9" w:history="1">
        <w:r w:rsidRPr="00204639">
          <w:rPr>
            <w:rStyle w:val="Hyperlink"/>
          </w:rPr>
          <w:t>https://doi.org/10.1038/s41467-025-61349-1</w:t>
        </w:r>
      </w:hyperlink>
      <w:r w:rsidRPr="00204639">
        <w:t>.</w:t>
      </w:r>
    </w:p>
    <w:p w14:paraId="078D5566" w14:textId="07097AFA" w:rsidR="00204639" w:rsidRPr="00204639" w:rsidRDefault="00204639" w:rsidP="00204639">
      <w:pPr>
        <w:pStyle w:val="EndNoteBibliography"/>
        <w:spacing w:after="0"/>
        <w:ind w:left="720" w:hanging="720"/>
      </w:pPr>
      <w:r w:rsidRPr="00204639">
        <w:t>3.</w:t>
      </w:r>
      <w:r w:rsidRPr="00204639">
        <w:tab/>
        <w:t xml:space="preserve">Sun, J., J. Ye, and S. Chen. Artificial intelligence assisted multi-model pathological diagnosis of breast cancer based on multispectral autofluorescence images. npj Breast Cancer 12, 62 (2026). </w:t>
      </w:r>
      <w:hyperlink r:id="rId10" w:history="1">
        <w:r w:rsidRPr="00204639">
          <w:rPr>
            <w:rStyle w:val="Hyperlink"/>
          </w:rPr>
          <w:t>https://doi.org/10.1038/s41523-026-00915-2</w:t>
        </w:r>
      </w:hyperlink>
      <w:r w:rsidRPr="00204639">
        <w:t>.</w:t>
      </w:r>
    </w:p>
    <w:p w14:paraId="23B166EB" w14:textId="6524AE46" w:rsidR="00204639" w:rsidRPr="00204639" w:rsidRDefault="00204639" w:rsidP="00204639">
      <w:pPr>
        <w:pStyle w:val="EndNoteBibliography"/>
        <w:spacing w:after="0"/>
        <w:ind w:left="720" w:hanging="720"/>
      </w:pPr>
      <w:r w:rsidRPr="00204639">
        <w:t>4.</w:t>
      </w:r>
      <w:r w:rsidRPr="00204639">
        <w:tab/>
        <w:t xml:space="preserve">Vorontsov, E., A. Bozkurt, and A. Casson. A foundation model for clinical-grade computational pathology and rare cancers detection. Nature Medicine 30, 2924–2935 (2024). </w:t>
      </w:r>
      <w:hyperlink r:id="rId11" w:history="1">
        <w:r w:rsidRPr="00204639">
          <w:rPr>
            <w:rStyle w:val="Hyperlink"/>
          </w:rPr>
          <w:t>https://doi.org/10.1038/s41591-024-03141-0</w:t>
        </w:r>
      </w:hyperlink>
      <w:r w:rsidRPr="00204639">
        <w:t>.</w:t>
      </w:r>
    </w:p>
    <w:p w14:paraId="57AD0276" w14:textId="42D2198F" w:rsidR="00204639" w:rsidRPr="00204639" w:rsidRDefault="00204639" w:rsidP="00204639">
      <w:pPr>
        <w:pStyle w:val="EndNoteBibliography"/>
        <w:spacing w:after="0"/>
        <w:ind w:left="720" w:hanging="720"/>
      </w:pPr>
      <w:r w:rsidRPr="00204639">
        <w:t>5.</w:t>
      </w:r>
      <w:r w:rsidRPr="00204639">
        <w:tab/>
        <w:t xml:space="preserve">Li, Z., Y. Li, and J. Xiang. AI-enabled virtual spatial proteomics from histopathology for interpretable biomarker discovery in lung cancer. Nature Medicine 32, 231–244 (2026). </w:t>
      </w:r>
      <w:hyperlink r:id="rId12" w:history="1">
        <w:r w:rsidRPr="00204639">
          <w:rPr>
            <w:rStyle w:val="Hyperlink"/>
          </w:rPr>
          <w:t>https://doi.org/10.1038/s41591-025-04060-4</w:t>
        </w:r>
      </w:hyperlink>
      <w:r w:rsidRPr="00204639">
        <w:t>.</w:t>
      </w:r>
    </w:p>
    <w:p w14:paraId="3F2DFFF7" w14:textId="59F6D53C" w:rsidR="00204639" w:rsidRPr="00204639" w:rsidRDefault="00204639" w:rsidP="00204639">
      <w:pPr>
        <w:pStyle w:val="EndNoteBibliography"/>
        <w:spacing w:after="0"/>
        <w:ind w:left="720" w:hanging="720"/>
      </w:pPr>
      <w:r w:rsidRPr="00204639">
        <w:t>6.</w:t>
      </w:r>
      <w:r w:rsidRPr="00204639">
        <w:tab/>
        <w:t xml:space="preserve">Zhao, W., Z. Guo, and Y. Fan. Aligning knowledge concepts to whole slide images for precise histopathology image analysis. npj Digital Medicine 7, 383 (2024). </w:t>
      </w:r>
      <w:hyperlink r:id="rId13" w:history="1">
        <w:r w:rsidRPr="00204639">
          <w:rPr>
            <w:rStyle w:val="Hyperlink"/>
          </w:rPr>
          <w:t>https://doi.org/10.1038/s41746-024-01411-2</w:t>
        </w:r>
      </w:hyperlink>
      <w:r w:rsidRPr="00204639">
        <w:t>.</w:t>
      </w:r>
    </w:p>
    <w:p w14:paraId="348DD14A" w14:textId="4C3CEC0E" w:rsidR="00204639" w:rsidRPr="00204639" w:rsidRDefault="00204639" w:rsidP="00204639">
      <w:pPr>
        <w:pStyle w:val="EndNoteBibliography"/>
        <w:spacing w:after="0"/>
        <w:ind w:left="720" w:hanging="720"/>
      </w:pPr>
      <w:r w:rsidRPr="00204639">
        <w:t>7.</w:t>
      </w:r>
      <w:r w:rsidRPr="00204639">
        <w:tab/>
        <w:t xml:space="preserve">Komura, D. and S. Ishikawa. Machine learning methods for histopathological image analysis. Computational and Structural Biotechnology Journal 16, 34–42 (2018). </w:t>
      </w:r>
      <w:hyperlink r:id="rId14" w:history="1">
        <w:r w:rsidRPr="00204639">
          <w:rPr>
            <w:rStyle w:val="Hyperlink"/>
          </w:rPr>
          <w:t>https://doi.org/10.1016/j.csbj.2018.01.001</w:t>
        </w:r>
      </w:hyperlink>
      <w:r w:rsidRPr="00204639">
        <w:t>.</w:t>
      </w:r>
    </w:p>
    <w:p w14:paraId="6F3244F3" w14:textId="77777777" w:rsidR="00204639" w:rsidRPr="00204639" w:rsidRDefault="00204639" w:rsidP="00204639">
      <w:pPr>
        <w:pStyle w:val="EndNoteBibliography"/>
        <w:spacing w:after="0"/>
        <w:ind w:left="720" w:hanging="720"/>
      </w:pPr>
      <w:r w:rsidRPr="00204639">
        <w:t>8.</w:t>
      </w:r>
      <w:r w:rsidRPr="00204639">
        <w:tab/>
        <w:t>Dimitriou, N., O. Arandjelović, and D.J. Harrison. Magnifying networks for histopathological images with billions of pixels. Diagnostics 14, 524 (2024).</w:t>
      </w:r>
    </w:p>
    <w:p w14:paraId="0F2C157C" w14:textId="43162496" w:rsidR="00204639" w:rsidRPr="00204639" w:rsidRDefault="00204639" w:rsidP="00204639">
      <w:pPr>
        <w:pStyle w:val="EndNoteBibliography"/>
        <w:spacing w:after="0"/>
        <w:ind w:left="720" w:hanging="720"/>
      </w:pPr>
      <w:r w:rsidRPr="00204639">
        <w:t>9.</w:t>
      </w:r>
      <w:r w:rsidRPr="00204639">
        <w:tab/>
        <w:t xml:space="preserve">Campanella, G., et al. Clinical-grade computational pathology using weakly supervised deep learning on whole slide images. Nature Medicine 25, 1301–1309 (2019). </w:t>
      </w:r>
      <w:hyperlink r:id="rId15" w:history="1">
        <w:r w:rsidRPr="00204639">
          <w:rPr>
            <w:rStyle w:val="Hyperlink"/>
          </w:rPr>
          <w:t>https://doi.org/10.1038/s41591-019-0508-1</w:t>
        </w:r>
      </w:hyperlink>
      <w:r w:rsidRPr="00204639">
        <w:t>.</w:t>
      </w:r>
    </w:p>
    <w:p w14:paraId="6724013F" w14:textId="77777777" w:rsidR="00204639" w:rsidRPr="00204639" w:rsidRDefault="00204639" w:rsidP="00204639">
      <w:pPr>
        <w:pStyle w:val="EndNoteBibliography"/>
        <w:spacing w:after="0"/>
        <w:ind w:left="720" w:hanging="720"/>
      </w:pPr>
      <w:r w:rsidRPr="00204639">
        <w:t>10.</w:t>
      </w:r>
      <w:r w:rsidRPr="00204639">
        <w:tab/>
        <w:t>Lu, M.Y., et al. Data-efficient and weakly supervised computational pathology on whole-slide images. Nature biomedical engineering 5, 555–570 (2021).</w:t>
      </w:r>
    </w:p>
    <w:p w14:paraId="14FF458A" w14:textId="4013EBFF" w:rsidR="00204639" w:rsidRPr="00204639" w:rsidRDefault="00204639" w:rsidP="00204639">
      <w:pPr>
        <w:pStyle w:val="EndNoteBibliography"/>
        <w:spacing w:after="0"/>
        <w:ind w:left="720" w:hanging="720"/>
      </w:pPr>
      <w:r w:rsidRPr="00204639">
        <w:t>11.</w:t>
      </w:r>
      <w:r w:rsidRPr="00204639">
        <w:tab/>
        <w:t xml:space="preserve">Tellez, D., et al. Whole-slide mitosis detection in H&amp;E breast histology using PHH3 as a reference. IEEE Transactions on Medical Imaging 37, 2126–2136 (2018). </w:t>
      </w:r>
      <w:hyperlink r:id="rId16" w:history="1">
        <w:r w:rsidRPr="00204639">
          <w:rPr>
            <w:rStyle w:val="Hyperlink"/>
          </w:rPr>
          <w:t>https://doi.org/10.1109/TMI.2018.2820199</w:t>
        </w:r>
      </w:hyperlink>
      <w:r w:rsidRPr="00204639">
        <w:t>.</w:t>
      </w:r>
    </w:p>
    <w:p w14:paraId="56F35A86" w14:textId="38DF1C2E" w:rsidR="00204639" w:rsidRPr="00204639" w:rsidRDefault="00204639" w:rsidP="00204639">
      <w:pPr>
        <w:pStyle w:val="EndNoteBibliography"/>
        <w:spacing w:after="0"/>
        <w:ind w:left="720" w:hanging="720"/>
      </w:pPr>
      <w:r w:rsidRPr="00204639">
        <w:t>12.</w:t>
      </w:r>
      <w:r w:rsidRPr="00204639">
        <w:tab/>
        <w:t xml:space="preserve">Nan, T., S. Zheng, and S. Qiao. Deep learning quantifies pathologists' visual patterns for whole slide image diagnosis. Nature Communications 16, 5493 (2025). </w:t>
      </w:r>
      <w:hyperlink r:id="rId17" w:history="1">
        <w:r w:rsidRPr="00204639">
          <w:rPr>
            <w:rStyle w:val="Hyperlink"/>
          </w:rPr>
          <w:t>https://doi.org/10.1038/s41467-025-60307-1</w:t>
        </w:r>
      </w:hyperlink>
      <w:r w:rsidRPr="00204639">
        <w:t>.</w:t>
      </w:r>
    </w:p>
    <w:p w14:paraId="019D530C" w14:textId="77777777" w:rsidR="00204639" w:rsidRPr="00204639" w:rsidRDefault="00204639" w:rsidP="00204639">
      <w:pPr>
        <w:pStyle w:val="EndNoteBibliography"/>
        <w:spacing w:after="0"/>
        <w:ind w:left="720" w:hanging="720"/>
      </w:pPr>
      <w:r w:rsidRPr="00204639">
        <w:t>13.</w:t>
      </w:r>
      <w:r w:rsidRPr="00204639">
        <w:tab/>
        <w:t>Wu, E., et al. ROSIE: AI generation of multiplex immunofluorescence staining from histopathology images. Nature Communications 16, 7633 (2025).</w:t>
      </w:r>
    </w:p>
    <w:p w14:paraId="6DD33484" w14:textId="77777777" w:rsidR="00204639" w:rsidRPr="00204639" w:rsidRDefault="00204639" w:rsidP="00204639">
      <w:pPr>
        <w:pStyle w:val="EndNoteBibliography"/>
        <w:spacing w:after="0"/>
        <w:ind w:left="720" w:hanging="720"/>
      </w:pPr>
      <w:r w:rsidRPr="00204639">
        <w:t>14.</w:t>
      </w:r>
      <w:r w:rsidRPr="00204639">
        <w:tab/>
        <w:t>Fu, X., et al. Spatial gene expression at single-cell resolution from histology using deep learning with GHIST. Nature methods 22, 1900–1910 (2025).</w:t>
      </w:r>
    </w:p>
    <w:p w14:paraId="741C3A93" w14:textId="430582BD" w:rsidR="00204639" w:rsidRPr="00204639" w:rsidRDefault="00204639" w:rsidP="00204639">
      <w:pPr>
        <w:pStyle w:val="EndNoteBibliography"/>
        <w:spacing w:after="0"/>
        <w:ind w:left="720" w:hanging="720"/>
      </w:pPr>
      <w:r w:rsidRPr="00204639">
        <w:t>15.</w:t>
      </w:r>
      <w:r w:rsidRPr="00204639">
        <w:tab/>
        <w:t xml:space="preserve">Schmidt, U., et al. Cell detection with star-convex polygons. Medical Image Analysis 61, 101664 (2020). </w:t>
      </w:r>
      <w:hyperlink r:id="rId18" w:history="1">
        <w:r w:rsidRPr="00204639">
          <w:rPr>
            <w:rStyle w:val="Hyperlink"/>
          </w:rPr>
          <w:t>https://doi.org/10.1016/j.media.2019.101664</w:t>
        </w:r>
      </w:hyperlink>
      <w:r w:rsidRPr="00204639">
        <w:t>.</w:t>
      </w:r>
    </w:p>
    <w:p w14:paraId="4359F1F2" w14:textId="7FF0010B" w:rsidR="00204639" w:rsidRPr="00204639" w:rsidRDefault="00204639" w:rsidP="00204639">
      <w:pPr>
        <w:pStyle w:val="EndNoteBibliography"/>
        <w:spacing w:after="0"/>
        <w:ind w:left="720" w:hanging="720"/>
      </w:pPr>
      <w:r w:rsidRPr="00204639">
        <w:t>16.</w:t>
      </w:r>
      <w:r w:rsidRPr="00204639">
        <w:tab/>
        <w:t xml:space="preserve">Yang, S.-P. and D. Yu. (Giga) TIME for the era of AI: virtual multiplex immunofluorescence from routine H&amp;E for large populations. Signal Transduction and Targeted Therapy 11, 116 (2026). </w:t>
      </w:r>
      <w:hyperlink r:id="rId19" w:history="1">
        <w:r w:rsidRPr="00204639">
          <w:rPr>
            <w:rStyle w:val="Hyperlink"/>
          </w:rPr>
          <w:t>https://doi.org/10.1038/s41392-026-02643-2</w:t>
        </w:r>
      </w:hyperlink>
      <w:r w:rsidRPr="00204639">
        <w:t>.</w:t>
      </w:r>
    </w:p>
    <w:p w14:paraId="7B62616C" w14:textId="63AD9AE2" w:rsidR="00204639" w:rsidRPr="00204639" w:rsidRDefault="00204639" w:rsidP="00204639">
      <w:pPr>
        <w:pStyle w:val="EndNoteBibliography"/>
        <w:spacing w:after="0"/>
        <w:ind w:left="720" w:hanging="720"/>
      </w:pPr>
      <w:r w:rsidRPr="00204639">
        <w:t>17.</w:t>
      </w:r>
      <w:r w:rsidRPr="00204639">
        <w:tab/>
        <w:t xml:space="preserve">Chen, R.J., et al. Towards a general-purpose foundation model for computational pathology. Nature Medicine 30, 850–862 (2024). </w:t>
      </w:r>
      <w:hyperlink r:id="rId20" w:history="1">
        <w:r w:rsidRPr="00204639">
          <w:rPr>
            <w:rStyle w:val="Hyperlink"/>
          </w:rPr>
          <w:t>https://doi.org/10.1038/s41591-024-02857-3</w:t>
        </w:r>
      </w:hyperlink>
      <w:r w:rsidRPr="00204639">
        <w:t>.</w:t>
      </w:r>
    </w:p>
    <w:p w14:paraId="2B2AEF66" w14:textId="494F72B7" w:rsidR="00204639" w:rsidRPr="00204639" w:rsidRDefault="00204639" w:rsidP="00204639">
      <w:pPr>
        <w:pStyle w:val="EndNoteBibliography"/>
        <w:spacing w:after="0"/>
        <w:ind w:left="720" w:hanging="720"/>
      </w:pPr>
      <w:r w:rsidRPr="00204639">
        <w:t>18.</w:t>
      </w:r>
      <w:r w:rsidRPr="00204639">
        <w:tab/>
        <w:t xml:space="preserve">Cacciatore, S., et al. KODAMA: an R package for knowledge discovery and data mining. Bioinformatics 33, 621–623 (2017). </w:t>
      </w:r>
      <w:hyperlink r:id="rId21" w:history="1">
        <w:r w:rsidRPr="00204639">
          <w:rPr>
            <w:rStyle w:val="Hyperlink"/>
          </w:rPr>
          <w:t>https://doi.org/10.1093/bioinformatics/btw705</w:t>
        </w:r>
      </w:hyperlink>
      <w:r w:rsidRPr="00204639">
        <w:t>.</w:t>
      </w:r>
    </w:p>
    <w:p w14:paraId="01B4CBD7" w14:textId="7BE6D548" w:rsidR="00204639" w:rsidRPr="00204639" w:rsidRDefault="00204639" w:rsidP="00204639">
      <w:pPr>
        <w:pStyle w:val="EndNoteBibliography"/>
        <w:spacing w:after="0"/>
        <w:ind w:left="720" w:hanging="720"/>
        <w:jc w:val="both"/>
      </w:pPr>
      <w:r>
        <w:t>19.</w:t>
        <w:tab/>
        <w:t>Ma, J., He, Y., Li, F., Han, L., You, C. &amp; Wang, B. Segment anything in medical images. Nature Communications 15, 654 (2024). https://doi.org/10.1038/s41467-024-44824-z.</w:t>
      </w:r>
    </w:p>
    <w:p w14:paraId="273760AE" w14:textId="1B867E41" w:rsidR="00204639" w:rsidRPr="00204639" w:rsidRDefault="00204639" w:rsidP="00204639">
      <w:pPr>
        <w:pStyle w:val="EndNoteBibliography"/>
        <w:spacing w:after="0"/>
        <w:ind w:left="720" w:hanging="720"/>
      </w:pPr>
      <w:r w:rsidRPr="00204639">
        <w:lastRenderedPageBreak/>
        <w:t>20.</w:t>
      </w:r>
      <w:r w:rsidRPr="00204639">
        <w:tab/>
        <w:t xml:space="preserve">Aeffner, F., et al. Introduction to Digital Image Analysis in Whole-slide Imaging: A White Paper from the Digital Pathology Association. Journal of Pathology Informatics 10, 9 (2019). </w:t>
      </w:r>
      <w:hyperlink r:id="rId23" w:history="1">
        <w:r w:rsidRPr="00204639">
          <w:rPr>
            <w:rStyle w:val="Hyperlink"/>
          </w:rPr>
          <w:t>https://doi.org/10.4103/jpi.jpi_82_18</w:t>
        </w:r>
      </w:hyperlink>
      <w:r w:rsidRPr="00204639">
        <w:t>.</w:t>
      </w:r>
    </w:p>
    <w:p w14:paraId="00C1FB51" w14:textId="309647C0" w:rsidR="00204639" w:rsidRPr="00204639" w:rsidRDefault="00204639" w:rsidP="00204639">
      <w:pPr>
        <w:pStyle w:val="EndNoteBibliography"/>
        <w:spacing w:after="0"/>
        <w:ind w:left="720" w:hanging="720"/>
      </w:pPr>
      <w:r w:rsidRPr="00204639">
        <w:t>21.</w:t>
      </w:r>
      <w:r w:rsidRPr="00204639">
        <w:tab/>
        <w:t xml:space="preserve">Chen, R.J., et al., </w:t>
      </w:r>
      <w:r w:rsidRPr="00204639">
        <w:rPr>
          <w:i/>
        </w:rPr>
        <w:t>Scaling Vision Transformers to Gigapixel Images via Hierarchical Self-Supervised Learning</w:t>
      </w:r>
      <w:r w:rsidRPr="00204639">
        <w:t xml:space="preserve">, in </w:t>
      </w:r>
      <w:r w:rsidRPr="00204639">
        <w:rPr>
          <w:i/>
        </w:rPr>
        <w:t>Proceedings of the IEEE/CVF Conference on Computer Vision and Pattern Recognition (CVPR)</w:t>
      </w:r>
      <w:r w:rsidRPr="00204639">
        <w:t>. 2022. p. 16144–16155</w:t>
      </w:r>
      <w:hyperlink r:id="rId24" w:history="1">
        <w:r w:rsidRPr="00204639">
          <w:rPr>
            <w:rStyle w:val="Hyperlink"/>
          </w:rPr>
          <w:t>https://doi.org/10.1109/CVPR52688.2022.01567</w:t>
        </w:r>
      </w:hyperlink>
      <w:r w:rsidRPr="00204639">
        <w:t>.</w:t>
      </w:r>
    </w:p>
    <w:p w14:paraId="35BEAA4B" w14:textId="5B431C35" w:rsidR="00204639" w:rsidRPr="00204639" w:rsidRDefault="00204639" w:rsidP="00204639">
      <w:pPr>
        <w:pStyle w:val="EndNoteBibliography"/>
        <w:spacing w:after="0"/>
        <w:ind w:left="720" w:hanging="720"/>
      </w:pPr>
      <w:r w:rsidRPr="00204639">
        <w:t>22.</w:t>
      </w:r>
      <w:r w:rsidRPr="00204639">
        <w:tab/>
        <w:t xml:space="preserve">Stringer, C., et al. Cellpose: a generalist algorithm for cellular segmentation. Nature Methods 18, 100–106 (2021). </w:t>
      </w:r>
      <w:hyperlink r:id="rId25" w:history="1">
        <w:r w:rsidRPr="00204639">
          <w:rPr>
            <w:rStyle w:val="Hyperlink"/>
          </w:rPr>
          <w:t>https://doi.org/10.1038/s41592-020-01018-x</w:t>
        </w:r>
      </w:hyperlink>
      <w:r w:rsidRPr="00204639">
        <w:t>.</w:t>
      </w:r>
    </w:p>
    <w:p w14:paraId="267406E5" w14:textId="70222BBD" w:rsidR="00204639" w:rsidRPr="00204639" w:rsidRDefault="00204639" w:rsidP="00204639">
      <w:pPr>
        <w:pStyle w:val="EndNoteBibliography"/>
        <w:spacing w:after="0"/>
        <w:ind w:left="720" w:hanging="720"/>
      </w:pPr>
      <w:r w:rsidRPr="00204639">
        <w:t>23.</w:t>
      </w:r>
      <w:r w:rsidRPr="00204639">
        <w:tab/>
        <w:t xml:space="preserve">Ciga, O., T. Xu, and A.L. Martel. Self supervised contrastive learning for digital histopathology. Machine Learning with Applications 7, 100198 (2022). </w:t>
      </w:r>
      <w:hyperlink r:id="rId26" w:history="1">
        <w:r w:rsidRPr="00204639">
          <w:rPr>
            <w:rStyle w:val="Hyperlink"/>
          </w:rPr>
          <w:t>https://doi.org/10.1016/j.mlwa.2021.100198</w:t>
        </w:r>
      </w:hyperlink>
      <w:r w:rsidRPr="00204639">
        <w:t>.</w:t>
      </w:r>
    </w:p>
    <w:p w14:paraId="00FAFB95" w14:textId="5F757313" w:rsidR="00204639" w:rsidRPr="00204639" w:rsidRDefault="00204639" w:rsidP="00204639">
      <w:pPr>
        <w:pStyle w:val="EndNoteBibliography"/>
        <w:ind w:left="720" w:hanging="720"/>
      </w:pPr>
      <w:r w:rsidRPr="00204639">
        <w:t>24.</w:t>
      </w:r>
      <w:r w:rsidRPr="00204639">
        <w:tab/>
        <w:t xml:space="preserve">Kitao, A. Principal component analysis and related methods for investigating the dynamics of biological macromolecules. J 5, 298–317 (2022). </w:t>
      </w:r>
      <w:hyperlink r:id="rId27" w:history="1">
        <w:r w:rsidRPr="00204639">
          <w:rPr>
            <w:rStyle w:val="Hyperlink"/>
          </w:rPr>
          <w:t>https://doi.org/10.3390/j5020021</w:t>
        </w:r>
      </w:hyperlink>
      <w:r w:rsidRPr="00204639">
        <w:t>.</w:t>
      </w:r>
    </w:p>
    <w:p>
      <w:pPr>
        <w:pStyle w:val="EndNoteBibliography"/>
        <w:spacing w:after="0"/>
        <w:ind w:left="720" w:hanging="720"/>
        <w:jc w:val="both"/>
      </w:pPr>
      <w:r>
        <w:t>25.</w:t>
        <w:tab/>
        <w:t>Weng, Z., Seper, A., Pryalukhin, A. et al. GrandQC: a comprehensive solution to quality control problem in digital pathology. Nature Communications 15, 10685 (2024). https://doi.org/10.1038/s41467-024-54769-y.</w:t>
      </w:r>
    </w:p>
    <w:p>
      <w:pPr>
        <w:pStyle w:val="EndNoteBibliography"/>
        <w:spacing w:after="0"/>
        <w:ind w:left="720" w:hanging="720"/>
        <w:jc w:val="both"/>
      </w:pPr>
      <w:r>
        <w:t>26.</w:t>
        <w:tab/>
        <w:t>Graham, S., Vu, Q.D., Raza, S.E.A. et al. HoVer-Net: simultaneous segmentation and classification of nuclei in multi-tissue histology images. Medical Image Analysis 58, 101563 (2019). https://doi.org/10.1016/j.media.2019.101563.</w:t>
      </w:r>
    </w:p>
    <w:p>
      <w:pPr>
        <w:pStyle w:val="EndNoteBibliography"/>
        <w:spacing w:after="0"/>
        <w:ind w:left="720" w:hanging="720"/>
        <w:jc w:val="both"/>
      </w:pPr>
      <w:r>
        <w:t>27.</w:t>
        <w:tab/>
        <w:t>Hörst, F., Rempe, M., Becker, H., Heine, L., Keyl, J. &amp; Kleesiek, J. CellViT++: energy-efficient and adaptive cell segmentation and classification using foundation models. Computer Methods and Programs in Biomedicine 277, 109206 (2026). https://doi.org/10.1016/j.cmpb.2025.109206.</w:t>
      </w:r>
    </w:p>
    <w:p>
      <w:pPr>
        <w:pStyle w:val="EndNoteBibliography"/>
        <w:spacing w:after="0"/>
        <w:ind w:left="720" w:hanging="720"/>
        <w:jc w:val="both"/>
      </w:pPr>
      <w:r>
        <w:t>28.</w:t>
        <w:tab/>
        <w:t>Verma, R., Kumar, N., Patil, A. et al. MoNuSAC2020: a multi-organ nuclei segmentation and classification challenge. IEEE Transactions on Medical Imaging 40, 3413–3423 (2021). https://doi.org/10.1109/TMI.2021.3085712.</w:t>
      </w:r>
    </w:p>
    <w:p>
      <w:pPr>
        <w:pStyle w:val="EndNoteBibliography"/>
      </w:pPr>
      <w:r>
        <w:t>29. Ding, T., Wagner, S.J., Song, A.H. et al. A multimodal whole-slide foundation model for pathology. Nature Medicine 31, 3749-3761 (2025). https://doi.org/10.1038/s41591-025-03982-3.</w:t>
      </w:r>
    </w:p>
    <w:p>
      <w:pPr>
        <w:pStyle w:val="EndNoteBibliography"/>
      </w:pPr>
      <w:r>
        <w:t>30. Lu, M.Y., Chen, B., Williamson, D.F.K. et al. A visual-language foundation model for computational pathology. Nature Medicine 30, 863-874 (2024). https://doi.org/10.1038/s41591-024-02856-4.</w:t>
      </w:r>
    </w:p>
    <w:p w14:paraId="7326216C" w14:textId="4EF3FB42" w:rsidR="007D0F75" w:rsidRDefault="00FD5E37">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7D0F75">
      <w:footerReference w:type="even" r:id="rId28"/>
      <w:footerReference w:type="default" r:id="rId29"/>
      <w:pgSz w:w="11906" w:h="16838"/>
      <w:pgMar w:top="1008" w:right="1008" w:bottom="1008" w:left="1008"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83D3" w14:textId="77777777" w:rsidR="005D0B53" w:rsidRDefault="005D0B53">
      <w:pPr>
        <w:spacing w:after="0" w:line="240" w:lineRule="auto"/>
      </w:pPr>
      <w:r>
        <w:separator/>
      </w:r>
    </w:p>
  </w:endnote>
  <w:endnote w:type="continuationSeparator" w:id="0">
    <w:p w14:paraId="5C23350D" w14:textId="77777777" w:rsidR="005D0B53" w:rsidRDefault="005D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181061B-2E6C-1442-9A62-76A277A47125}"/>
    <w:embedBold r:id="rId2" w:fontKey="{7099EF85-C682-F141-86D7-415E844EE5A6}"/>
    <w:embedItalic r:id="rId3" w:fontKey="{1E3E903F-5327-564B-B39C-A17313100DF6}"/>
  </w:font>
  <w:font w:name="Cambria">
    <w:panose1 w:val="02040503050406030204"/>
    <w:charset w:val="00"/>
    <w:family w:val="roman"/>
    <w:pitch w:val="variable"/>
    <w:sig w:usb0="E00006FF" w:usb1="420024FF" w:usb2="02000000" w:usb3="00000000" w:csb0="0000019F" w:csb1="00000000"/>
    <w:embedRegular r:id="rId4" w:fontKey="{DB0565A0-1598-C64C-9EF1-471DC14DFD50}"/>
  </w:font>
  <w:font w:name="Times New Roman">
    <w:panose1 w:val="02020603050405020304"/>
    <w:charset w:val="00"/>
    <w:family w:val="roman"/>
    <w:pitch w:val="variable"/>
    <w:sig w:usb0="E0002EFF" w:usb1="C000785B" w:usb2="00000009" w:usb3="00000000" w:csb0="000001FF" w:csb1="00000000"/>
    <w:embedRegular r:id="rId5" w:fontKey="{224141FC-E1C0-B44A-BAA6-504E81F2D0D2}"/>
    <w:embedBold r:id="rId6" w:fontKey="{4ED86D69-1440-C643-B569-0B783503E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8414" w14:textId="77777777" w:rsidR="007D0F75" w:rsidRDefault="007D0F75">
    <w:pPr>
      <w:rPr>
        <w:b/>
        <w:bCs/>
      </w:rPr>
    </w:pPr>
  </w:p>
  <w:p w14:paraId="5CF1B7D3" w14:textId="77777777" w:rsidR="007D0F75" w:rsidRDefault="007D0F75">
    <w:pPr>
      <w:pBdr>
        <w:top w:val="nil"/>
        <w:left w:val="nil"/>
        <w:bottom w:val="nil"/>
        <w:right w:val="nil"/>
        <w:between w:val="nil"/>
      </w:pBdr>
      <w:tabs>
        <w:tab w:val="center" w:pos="4513"/>
        <w:tab w:val="right" w:pos="9026"/>
      </w:tabs>
      <w:spacing w:after="0" w:line="240" w:lineRule="auto"/>
      <w:jc w:val="right"/>
      <w:rPr>
        <w:color w:val="000000"/>
      </w:rPr>
    </w:pPr>
  </w:p>
  <w:p w14:paraId="4025FB36" w14:textId="77777777" w:rsidR="007D0F75" w:rsidRDefault="007D0F7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5B8B" w14:textId="77777777" w:rsidR="007D0F75" w:rsidRDefault="007D0F75">
    <w:pPr>
      <w:rPr>
        <w:b/>
        <w:bCs/>
      </w:rPr>
    </w:pPr>
  </w:p>
  <w:p w14:paraId="29B3B1F3" w14:textId="77777777" w:rsidR="007D0F75" w:rsidRDefault="007D0F75">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32F4" w14:textId="77777777" w:rsidR="005D0B53" w:rsidRDefault="005D0B53">
      <w:pPr>
        <w:spacing w:after="0" w:line="240" w:lineRule="auto"/>
      </w:pPr>
      <w:r>
        <w:separator/>
      </w:r>
    </w:p>
  </w:footnote>
  <w:footnote w:type="continuationSeparator" w:id="0">
    <w:p w14:paraId="2E9BC40B" w14:textId="77777777" w:rsidR="005D0B53" w:rsidRDefault="005D0B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02ferdmf02z1e0wxpp2fd8awf22fdt2xdp&quot;&gt;Cellphenotyper&lt;record-ids&gt;&lt;item&gt;1&lt;/item&gt;&lt;item&gt;2&lt;/item&gt;&lt;item&gt;3&lt;/item&gt;&lt;item&gt;4&lt;/item&gt;&lt;item&gt;5&lt;/item&gt;&lt;item&gt;7&lt;/item&gt;&lt;item&gt;10&lt;/item&gt;&lt;item&gt;11&lt;/item&gt;&lt;item&gt;15&lt;/item&gt;&lt;item&gt;16&lt;/item&gt;&lt;item&gt;18&lt;/item&gt;&lt;item&gt;19&lt;/item&gt;&lt;item&gt;20&lt;/item&gt;&lt;item&gt;21&lt;/item&gt;&lt;item&gt;22&lt;/item&gt;&lt;item&gt;23&lt;/item&gt;&lt;item&gt;24&lt;/item&gt;&lt;item&gt;25&lt;/item&gt;&lt;item&gt;26&lt;/item&gt;&lt;item&gt;27&lt;/item&gt;&lt;item&gt;28&lt;/item&gt;&lt;item&gt;35&lt;/item&gt;&lt;item&gt;36&lt;/item&gt;&lt;item&gt;37&lt;/item&gt;&lt;/record-ids&gt;&lt;/item&gt;&lt;/Libraries&gt;"/>
  </w:docVars>
  <w:rsids>
    <w:rsidRoot w:val="007D0F75"/>
    <w:rsid w:val="000C4194"/>
    <w:rsid w:val="001200BD"/>
    <w:rsid w:val="001226A6"/>
    <w:rsid w:val="00156E38"/>
    <w:rsid w:val="001713A3"/>
    <w:rsid w:val="001765D8"/>
    <w:rsid w:val="00176863"/>
    <w:rsid w:val="001B39F0"/>
    <w:rsid w:val="001C0B96"/>
    <w:rsid w:val="00204639"/>
    <w:rsid w:val="002F4369"/>
    <w:rsid w:val="003732EB"/>
    <w:rsid w:val="00395F7C"/>
    <w:rsid w:val="00397A0A"/>
    <w:rsid w:val="00400670"/>
    <w:rsid w:val="004050B8"/>
    <w:rsid w:val="00431B37"/>
    <w:rsid w:val="004526F8"/>
    <w:rsid w:val="0051174D"/>
    <w:rsid w:val="00522B18"/>
    <w:rsid w:val="00527769"/>
    <w:rsid w:val="00535DC8"/>
    <w:rsid w:val="00560AF6"/>
    <w:rsid w:val="005D0B53"/>
    <w:rsid w:val="005E55A8"/>
    <w:rsid w:val="00657002"/>
    <w:rsid w:val="00670B42"/>
    <w:rsid w:val="0070442B"/>
    <w:rsid w:val="00720404"/>
    <w:rsid w:val="0073666E"/>
    <w:rsid w:val="007D0F75"/>
    <w:rsid w:val="007F7BEA"/>
    <w:rsid w:val="008170A7"/>
    <w:rsid w:val="00827D22"/>
    <w:rsid w:val="008C640A"/>
    <w:rsid w:val="00925586"/>
    <w:rsid w:val="009C0014"/>
    <w:rsid w:val="009C515D"/>
    <w:rsid w:val="00A82925"/>
    <w:rsid w:val="00B232F5"/>
    <w:rsid w:val="00B256E7"/>
    <w:rsid w:val="00B70046"/>
    <w:rsid w:val="00C0429F"/>
    <w:rsid w:val="00C40055"/>
    <w:rsid w:val="00C4331E"/>
    <w:rsid w:val="00C50959"/>
    <w:rsid w:val="00CB32B8"/>
    <w:rsid w:val="00CB34F8"/>
    <w:rsid w:val="00CC1F3F"/>
    <w:rsid w:val="00CE5D4B"/>
    <w:rsid w:val="00D22FA5"/>
    <w:rsid w:val="00EA600F"/>
    <w:rsid w:val="00ED17BE"/>
    <w:rsid w:val="00ED4FC0"/>
    <w:rsid w:val="00FD5E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7BB0"/>
  <w15:docId w15:val="{C1D33D42-E5A2-47CC-B53D-F64D3F2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paragraph" w:customStyle="1" w:styleId="EndNoteBibliographyTitle">
    <w:name w:val="EndNote Bibliography Title"/>
    <w:basedOn w:val="Normal"/>
    <w:link w:val="EndNoteBibliographyTitleChar"/>
    <w:rsid w:val="00FD5E37"/>
    <w:pPr>
      <w:spacing w:after="0"/>
      <w:jc w:val="center"/>
    </w:pPr>
    <w:rPr>
      <w:noProof/>
    </w:rPr>
  </w:style>
  <w:style w:type="character" w:customStyle="1" w:styleId="EndNoteBibliographyTitleChar">
    <w:name w:val="EndNote Bibliography Title Char"/>
    <w:basedOn w:val="DefaultParagraphFont"/>
    <w:link w:val="EndNoteBibliographyTitle"/>
    <w:rsid w:val="00FD5E37"/>
    <w:rPr>
      <w:noProof/>
    </w:rPr>
  </w:style>
  <w:style w:type="paragraph" w:customStyle="1" w:styleId="EndNoteBibliography">
    <w:name w:val="EndNote Bibliography"/>
    <w:basedOn w:val="Normal"/>
    <w:link w:val="EndNoteBibliographyChar"/>
    <w:rsid w:val="00FD5E37"/>
    <w:pPr>
      <w:spacing w:line="240" w:lineRule="auto"/>
    </w:pPr>
    <w:rPr>
      <w:noProof/>
    </w:rPr>
  </w:style>
  <w:style w:type="character" w:customStyle="1" w:styleId="EndNoteBibliographyChar">
    <w:name w:val="EndNote Bibliography Char"/>
    <w:basedOn w:val="DefaultParagraphFont"/>
    <w:link w:val="EndNoteBibliography"/>
    <w:rsid w:val="00FD5E37"/>
    <w:rPr>
      <w:noProof/>
    </w:rPr>
  </w:style>
  <w:style w:type="character" w:styleId="Hyperlink">
    <w:name w:val="Hyperlink"/>
    <w:basedOn w:val="DefaultParagraphFont"/>
    <w:uiPriority w:val="99"/>
    <w:unhideWhenUsed/>
    <w:rsid w:val="00FD5E37"/>
    <w:rPr>
      <w:color w:val="0000FF" w:themeColor="hyperlink"/>
      <w:u w:val="single"/>
    </w:rPr>
  </w:style>
  <w:style w:type="character" w:styleId="UnresolvedMention">
    <w:name w:val="Unresolved Mention"/>
    <w:basedOn w:val="DefaultParagraphFont"/>
    <w:uiPriority w:val="99"/>
    <w:semiHidden/>
    <w:unhideWhenUsed/>
    <w:rsid w:val="00FD5E37"/>
    <w:rPr>
      <w:color w:val="605E5C"/>
      <w:shd w:val="clear" w:color="auto" w:fill="E1DFDD"/>
    </w:rPr>
  </w:style>
  <w:style w:type="character" w:styleId="FollowedHyperlink">
    <w:name w:val="FollowedHyperlink"/>
    <w:basedOn w:val="DefaultParagraphFont"/>
    <w:uiPriority w:val="99"/>
    <w:semiHidden/>
    <w:unhideWhenUsed/>
    <w:rsid w:val="004006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467-021-25221-2" TargetMode="External"/><Relationship Id="rId13" Type="http://schemas.openxmlformats.org/officeDocument/2006/relationships/hyperlink" Target="https://doi.org/10.1038/s41746-024-01411-2" TargetMode="External"/><Relationship Id="rId18" Type="http://schemas.openxmlformats.org/officeDocument/2006/relationships/hyperlink" Target="https://doi.org/10.1016/j.media.2019.101664" TargetMode="External"/><Relationship Id="rId26" Type="http://schemas.openxmlformats.org/officeDocument/2006/relationships/hyperlink" Target="https://doi.org/10.1016/j.mlwa.2021.100198" TargetMode="External"/><Relationship Id="rId3" Type="http://schemas.openxmlformats.org/officeDocument/2006/relationships/webSettings" Target="webSettings.xml"/><Relationship Id="rId21" Type="http://schemas.openxmlformats.org/officeDocument/2006/relationships/hyperlink" Target="https://doi.org/10.1093/bioinformatics/btw705" TargetMode="External"/><Relationship Id="rId7" Type="http://schemas.openxmlformats.org/officeDocument/2006/relationships/image" Target="media/image1.png"/><Relationship Id="rId12" Type="http://schemas.openxmlformats.org/officeDocument/2006/relationships/hyperlink" Target="https://doi.org/10.1038/s41591-025-04060-4" TargetMode="External"/><Relationship Id="rId17" Type="http://schemas.openxmlformats.org/officeDocument/2006/relationships/hyperlink" Target="https://doi.org/10.1038/s41467-025-60307-1" TargetMode="External"/><Relationship Id="rId25" Type="http://schemas.openxmlformats.org/officeDocument/2006/relationships/hyperlink" Target="https://doi.org/10.1038/s41592-020-01018-x" TargetMode="External"/><Relationship Id="rId2" Type="http://schemas.openxmlformats.org/officeDocument/2006/relationships/settings" Target="settings.xml"/><Relationship Id="rId16" Type="http://schemas.openxmlformats.org/officeDocument/2006/relationships/hyperlink" Target="https://doi.org/10.1109/TMI.2018.2820199" TargetMode="External"/><Relationship Id="rId20" Type="http://schemas.openxmlformats.org/officeDocument/2006/relationships/hyperlink" Target="https://doi.org/10.1038/s41591-024-02857-3"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tkcaccia/CellPhenotyper" TargetMode="External"/><Relationship Id="rId11" Type="http://schemas.openxmlformats.org/officeDocument/2006/relationships/hyperlink" Target="https://doi.org/10.1038/s41591-024-03141-0" TargetMode="External"/><Relationship Id="rId24" Type="http://schemas.openxmlformats.org/officeDocument/2006/relationships/hyperlink" Target="https://doi.org/10.1109/CVPR52688.2022.01567" TargetMode="External"/><Relationship Id="rId5" Type="http://schemas.openxmlformats.org/officeDocument/2006/relationships/endnotes" Target="endnotes.xml"/><Relationship Id="rId15" Type="http://schemas.openxmlformats.org/officeDocument/2006/relationships/hyperlink" Target="https://doi.org/10.1038/s41591-019-0508-1" TargetMode="External"/><Relationship Id="rId23" Type="http://schemas.openxmlformats.org/officeDocument/2006/relationships/hyperlink" Target="https://doi.org/10.4103/jpi.jpi_82_18" TargetMode="External"/><Relationship Id="rId28" Type="http://schemas.openxmlformats.org/officeDocument/2006/relationships/footer" Target="footer1.xml"/><Relationship Id="rId10" Type="http://schemas.openxmlformats.org/officeDocument/2006/relationships/hyperlink" Target="https://doi.org/10.1038/s41523-026-00915-2" TargetMode="External"/><Relationship Id="rId19" Type="http://schemas.openxmlformats.org/officeDocument/2006/relationships/hyperlink" Target="https://doi.org/10.1038/s41392-026-02643-2"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38/s41467-025-61349-1" TargetMode="External"/><Relationship Id="rId14" Type="http://schemas.openxmlformats.org/officeDocument/2006/relationships/hyperlink" Target="https://doi.org/10.1016/j.csbj.2018.01.001" TargetMode="External"/><Relationship Id="rId22" Type="http://schemas.openxmlformats.org/officeDocument/2006/relationships/hyperlink" Target="https://doi.org/10.1038/s41592-025-02879-w" TargetMode="External"/><Relationship Id="rId27" Type="http://schemas.openxmlformats.org/officeDocument/2006/relationships/hyperlink" Target="https://doi.org/10.3390/j5020021"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6833</Words>
  <Characters>38949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CACCIATORE</cp:lastModifiedBy>
  <cp:revision>2</cp:revision>
  <cp:lastPrinted>2026-05-12T15:06:00Z</cp:lastPrinted>
  <dcterms:created xsi:type="dcterms:W3CDTF">2026-05-13T15:38:00Z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0x01010033C19C67D4DEFF4E86390D47ECCDB9AE</vt:lpwstr>
  </property>
  <property fmtid="{D5CDD505-2E9C-101B-9397-08002B2CF9AE}" pid="3" name="GrammarlyDocumentId">
    <vt:lpwstr>320bcc3f-040a-4ac2-8a35-c3267a11838a</vt:lpwstr>
  </property>
</Properties>
</file>